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300" w:lineRule="auto"/>
        <w:jc w:val="both"/>
        <w:rPr>
          <w:rFonts w:hint="eastAsia" w:ascii="宋体" w:hAnsi="宋体" w:eastAsia="宋体" w:cs="宋体"/>
          <w:b/>
          <w:bCs/>
          <w:color w:val="auto"/>
          <w:sz w:val="44"/>
          <w:szCs w:val="44"/>
          <w:highlight w:val="none"/>
        </w:rPr>
      </w:pPr>
    </w:p>
    <w:p>
      <w:pPr>
        <w:tabs>
          <w:tab w:val="left" w:pos="6300"/>
        </w:tabs>
        <w:snapToGrid w:val="0"/>
        <w:spacing w:line="300" w:lineRule="auto"/>
        <w:jc w:val="center"/>
        <w:rPr>
          <w:rFonts w:hint="eastAsia" w:ascii="宋体" w:hAnsi="宋体" w:eastAsia="宋体" w:cs="宋体"/>
          <w:b/>
          <w:bCs/>
          <w:color w:val="auto"/>
          <w:sz w:val="44"/>
          <w:szCs w:val="44"/>
          <w:highlight w:val="none"/>
          <w:lang w:val="en-US" w:eastAsia="zh-CN"/>
        </w:rPr>
      </w:pPr>
      <w:bookmarkStart w:id="0" w:name="_Hlk144918715"/>
      <w:r>
        <w:rPr>
          <w:rFonts w:hint="eastAsia" w:ascii="宋体" w:hAnsi="宋体" w:eastAsia="宋体" w:cs="宋体"/>
          <w:b/>
          <w:bCs/>
          <w:color w:val="auto"/>
          <w:sz w:val="40"/>
          <w:szCs w:val="40"/>
          <w:highlight w:val="none"/>
          <w:lang w:val="en-US" w:eastAsia="zh-CN"/>
        </w:rPr>
        <w:t>南通市新城小区66号附2号楼加装电梯及配套设施施工项目</w:t>
      </w:r>
    </w:p>
    <w:bookmarkEnd w:id="0"/>
    <w:p>
      <w:pPr>
        <w:pStyle w:val="17"/>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tabs>
          <w:tab w:val="left" w:pos="6300"/>
        </w:tabs>
        <w:snapToGrid w:val="0"/>
        <w:spacing w:line="300" w:lineRule="auto"/>
        <w:jc w:val="center"/>
        <w:rPr>
          <w:rFonts w:hint="eastAsia" w:ascii="宋体" w:hAnsi="宋体" w:eastAsia="宋体" w:cs="宋体"/>
          <w:b/>
          <w:bCs/>
          <w:color w:val="auto"/>
          <w:w w:val="80"/>
          <w:sz w:val="96"/>
          <w:szCs w:val="96"/>
          <w:highlight w:val="none"/>
        </w:rPr>
      </w:pPr>
    </w:p>
    <w:p>
      <w:pPr>
        <w:tabs>
          <w:tab w:val="left" w:pos="6300"/>
        </w:tabs>
        <w:snapToGrid w:val="0"/>
        <w:spacing w:line="300" w:lineRule="auto"/>
        <w:jc w:val="center"/>
        <w:rPr>
          <w:rFonts w:hint="eastAsia" w:ascii="宋体" w:hAnsi="宋体" w:eastAsia="宋体" w:cs="宋体"/>
          <w:b/>
          <w:bCs/>
          <w:color w:val="auto"/>
          <w:w w:val="80"/>
          <w:sz w:val="96"/>
          <w:szCs w:val="96"/>
          <w:highlight w:val="none"/>
        </w:rPr>
      </w:pPr>
      <w:r>
        <w:rPr>
          <w:rFonts w:hint="eastAsia" w:ascii="宋体" w:hAnsi="宋体" w:eastAsia="宋体" w:cs="宋体"/>
          <w:b/>
          <w:bCs/>
          <w:color w:val="auto"/>
          <w:w w:val="80"/>
          <w:sz w:val="96"/>
          <w:szCs w:val="96"/>
          <w:highlight w:val="none"/>
        </w:rPr>
        <w:t>竞争性磋商文件</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项目编号：HSNT202411</w:t>
      </w:r>
    </w:p>
    <w:p>
      <w:pPr>
        <w:snapToGrid w:val="0"/>
        <w:spacing w:line="360" w:lineRule="auto"/>
        <w:jc w:val="center"/>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b/>
          <w:bCs/>
          <w:color w:val="auto"/>
          <w:sz w:val="44"/>
          <w:szCs w:val="44"/>
          <w:highlight w:val="none"/>
        </w:rPr>
      </w:pPr>
    </w:p>
    <w:p>
      <w:pPr>
        <w:snapToGrid w:val="0"/>
        <w:spacing w:line="360" w:lineRule="auto"/>
        <w:rPr>
          <w:rFonts w:hint="eastAsia" w:ascii="宋体" w:hAnsi="宋体" w:eastAsia="宋体" w:cs="宋体"/>
          <w:b/>
          <w:bCs/>
          <w:color w:val="auto"/>
          <w:sz w:val="36"/>
          <w:szCs w:val="36"/>
          <w:highlight w:val="none"/>
        </w:rPr>
      </w:pPr>
    </w:p>
    <w:p>
      <w:pPr>
        <w:pStyle w:val="17"/>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adjustRightInd w:val="0"/>
        <w:snapToGrid w:val="0"/>
        <w:spacing w:line="480" w:lineRule="auto"/>
        <w:jc w:val="left"/>
        <w:rPr>
          <w:rFonts w:hint="eastAsia" w:ascii="宋体" w:hAnsi="宋体" w:eastAsia="宋体" w:cs="宋体"/>
          <w:b/>
          <w:bCs/>
          <w:color w:val="auto"/>
          <w:sz w:val="30"/>
          <w:szCs w:val="30"/>
          <w:highlight w:val="none"/>
          <w:lang w:eastAsia="zh-CN"/>
        </w:rPr>
      </w:pPr>
      <w:bookmarkStart w:id="1" w:name="_Toc8895738"/>
      <w:bookmarkStart w:id="2" w:name="_Toc11500279"/>
      <w:bookmarkStart w:id="3" w:name="_Toc94585339"/>
      <w:bookmarkStart w:id="4" w:name="_Toc521203417"/>
      <w:bookmarkStart w:id="5" w:name="_Toc94544743"/>
      <w:bookmarkStart w:id="6" w:name="_Toc12670502"/>
      <w:bookmarkStart w:id="7" w:name="_Toc94544827"/>
      <w:bookmarkStart w:id="8" w:name="_Toc11499583"/>
      <w:bookmarkStart w:id="9" w:name="_Toc11554638"/>
      <w:bookmarkStart w:id="10" w:name="_Toc521201596"/>
      <w:r>
        <w:rPr>
          <w:rFonts w:hint="eastAsia" w:ascii="宋体" w:hAnsi="宋体" w:eastAsia="宋体" w:cs="宋体"/>
          <w:b/>
          <w:bCs/>
          <w:color w:val="auto"/>
          <w:sz w:val="30"/>
          <w:szCs w:val="30"/>
          <w:highlight w:val="none"/>
        </w:rPr>
        <w:t xml:space="preserve">          采购单位：</w:t>
      </w:r>
      <w:r>
        <w:rPr>
          <w:rFonts w:hint="eastAsia" w:ascii="宋体" w:hAnsi="宋体" w:eastAsia="宋体" w:cs="宋体"/>
          <w:b/>
          <w:bCs/>
          <w:color w:val="auto"/>
          <w:sz w:val="30"/>
          <w:szCs w:val="30"/>
          <w:highlight w:val="none"/>
          <w:lang w:eastAsia="zh-CN"/>
        </w:rPr>
        <w:t>南通市中天房地产开发有限公司</w:t>
      </w:r>
    </w:p>
    <w:p>
      <w:pPr>
        <w:adjustRightInd w:val="0"/>
        <w:snapToGrid w:val="0"/>
        <w:spacing w:line="480" w:lineRule="auto"/>
        <w:ind w:firstLine="1506" w:firstLineChars="500"/>
        <w:jc w:val="left"/>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代理机构：</w:t>
      </w:r>
      <w:r>
        <w:rPr>
          <w:rFonts w:hint="eastAsia" w:ascii="宋体" w:hAnsi="宋体" w:eastAsia="宋体" w:cs="宋体"/>
          <w:b/>
          <w:bCs/>
          <w:color w:val="auto"/>
          <w:sz w:val="30"/>
          <w:szCs w:val="30"/>
          <w:highlight w:val="none"/>
          <w:lang w:eastAsia="zh-CN"/>
        </w:rPr>
        <w:t>江苏海审工程咨询有限公司</w:t>
      </w:r>
    </w:p>
    <w:p>
      <w:pPr>
        <w:adjustRightInd w:val="0"/>
        <w:snapToGrid w:val="0"/>
        <w:spacing w:line="480" w:lineRule="auto"/>
        <w:ind w:firstLine="1506" w:firstLineChars="50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日    期：二〇二四年</w:t>
      </w:r>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月</w:t>
      </w:r>
      <w:r>
        <w:rPr>
          <w:rFonts w:hint="eastAsia" w:ascii="宋体" w:hAnsi="宋体" w:eastAsia="宋体" w:cs="宋体"/>
          <w:b/>
          <w:bCs/>
          <w:color w:val="auto"/>
          <w:sz w:val="30"/>
          <w:szCs w:val="30"/>
          <w:highlight w:val="none"/>
          <w:lang w:val="en-US" w:eastAsia="zh-CN"/>
        </w:rPr>
        <w:t>七</w:t>
      </w:r>
      <w:r>
        <w:rPr>
          <w:rFonts w:hint="eastAsia" w:ascii="宋体" w:hAnsi="宋体" w:eastAsia="宋体" w:cs="宋体"/>
          <w:b/>
          <w:bCs/>
          <w:color w:val="auto"/>
          <w:sz w:val="30"/>
          <w:szCs w:val="30"/>
          <w:highlight w:val="none"/>
        </w:rPr>
        <w:t>日</w:t>
      </w:r>
    </w:p>
    <w:p>
      <w:pPr>
        <w:adjustRightInd w:val="0"/>
        <w:snapToGrid w:val="0"/>
        <w:spacing w:line="480" w:lineRule="auto"/>
        <w:ind w:firstLine="2209" w:firstLineChars="500"/>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br w:type="page"/>
      </w:r>
    </w:p>
    <w:p>
      <w:pPr>
        <w:pStyle w:val="9"/>
        <w:tabs>
          <w:tab w:val="left" w:pos="1050"/>
          <w:tab w:val="right" w:leader="dot" w:pos="9402"/>
        </w:tabs>
        <w:spacing w:line="960" w:lineRule="exact"/>
        <w:ind w:left="0"/>
        <w:jc w:val="center"/>
        <w:outlineLvl w:val="0"/>
        <w:rPr>
          <w:rFonts w:hint="eastAsia" w:ascii="宋体" w:hAnsi="宋体" w:eastAsia="宋体" w:cs="宋体"/>
          <w:b/>
          <w:bCs/>
          <w:i w:val="0"/>
          <w:iCs w:val="0"/>
          <w:color w:val="auto"/>
          <w:w w:val="80"/>
          <w:sz w:val="52"/>
          <w:szCs w:val="52"/>
          <w:highlight w:val="none"/>
        </w:rPr>
      </w:pPr>
      <w:r>
        <w:rPr>
          <w:rFonts w:hint="eastAsia" w:ascii="宋体" w:hAnsi="宋体" w:eastAsia="宋体" w:cs="宋体"/>
          <w:b/>
          <w:bCs/>
          <w:i w:val="0"/>
          <w:iCs w:val="0"/>
          <w:color w:val="auto"/>
          <w:w w:val="80"/>
          <w:sz w:val="52"/>
          <w:szCs w:val="52"/>
          <w:highlight w:val="none"/>
        </w:rPr>
        <w:t>目录</w:t>
      </w:r>
    </w:p>
    <w:p>
      <w:pPr>
        <w:pStyle w:val="14"/>
        <w:tabs>
          <w:tab w:val="right" w:leader="dot" w:pos="9528"/>
          <w:tab w:val="clear" w:pos="840"/>
          <w:tab w:val="clear" w:pos="9402"/>
        </w:tabs>
        <w:snapToGrid/>
        <w:spacing w:line="1200" w:lineRule="exact"/>
        <w:textAlignment w:val="baseline"/>
        <w:rPr>
          <w:rFonts w:hint="eastAsia" w:ascii="宋体" w:hAnsi="宋体" w:eastAsia="宋体" w:cs="宋体"/>
          <w:caps w:val="0"/>
          <w:color w:val="auto"/>
          <w:w w:val="100"/>
          <w:sz w:val="32"/>
          <w:szCs w:val="32"/>
          <w:highlight w:val="none"/>
        </w:rPr>
      </w:pPr>
      <w:r>
        <w:rPr>
          <w:rFonts w:hint="eastAsia" w:ascii="宋体" w:hAnsi="宋体" w:eastAsia="宋体" w:cs="宋体"/>
          <w:caps w:val="0"/>
          <w:color w:val="auto"/>
          <w:w w:val="100"/>
          <w:sz w:val="32"/>
          <w:szCs w:val="32"/>
          <w:highlight w:val="none"/>
        </w:rPr>
        <w:t>第一章 竞争性磋商公告</w:t>
      </w:r>
    </w:p>
    <w:p>
      <w:pPr>
        <w:pStyle w:val="14"/>
        <w:tabs>
          <w:tab w:val="right" w:leader="dot" w:pos="9528"/>
          <w:tab w:val="clear" w:pos="840"/>
          <w:tab w:val="clear" w:pos="9402"/>
        </w:tabs>
        <w:snapToGrid/>
        <w:spacing w:line="1200" w:lineRule="exact"/>
        <w:textAlignment w:val="baseline"/>
        <w:rPr>
          <w:rFonts w:hint="eastAsia" w:ascii="宋体" w:hAnsi="宋体" w:eastAsia="宋体" w:cs="宋体"/>
          <w:caps w:val="0"/>
          <w:color w:val="auto"/>
          <w:w w:val="100"/>
          <w:sz w:val="32"/>
          <w:szCs w:val="32"/>
          <w:highlight w:val="none"/>
        </w:rPr>
      </w:pPr>
      <w:r>
        <w:rPr>
          <w:rFonts w:hint="eastAsia" w:ascii="宋体" w:hAnsi="宋体" w:eastAsia="宋体" w:cs="宋体"/>
          <w:caps w:val="0"/>
          <w:color w:val="auto"/>
          <w:w w:val="100"/>
          <w:sz w:val="32"/>
          <w:szCs w:val="32"/>
          <w:highlight w:val="none"/>
        </w:rPr>
        <w:t>第二章 磋商供应商须知</w:t>
      </w:r>
    </w:p>
    <w:p>
      <w:pPr>
        <w:pStyle w:val="14"/>
        <w:tabs>
          <w:tab w:val="right" w:leader="dot" w:pos="9528"/>
          <w:tab w:val="clear" w:pos="840"/>
          <w:tab w:val="clear" w:pos="9402"/>
        </w:tabs>
        <w:snapToGrid/>
        <w:spacing w:line="1200" w:lineRule="exact"/>
        <w:textAlignment w:val="baseline"/>
        <w:rPr>
          <w:rFonts w:hint="eastAsia" w:ascii="宋体" w:hAnsi="宋体" w:eastAsia="宋体" w:cs="宋体"/>
          <w:caps w:val="0"/>
          <w:color w:val="auto"/>
          <w:w w:val="100"/>
          <w:sz w:val="32"/>
          <w:szCs w:val="32"/>
          <w:highlight w:val="none"/>
        </w:rPr>
      </w:pPr>
      <w:r>
        <w:rPr>
          <w:rFonts w:hint="eastAsia" w:ascii="宋体" w:hAnsi="宋体" w:eastAsia="宋体" w:cs="宋体"/>
          <w:caps w:val="0"/>
          <w:color w:val="auto"/>
          <w:w w:val="100"/>
          <w:sz w:val="32"/>
          <w:szCs w:val="32"/>
          <w:highlight w:val="none"/>
        </w:rPr>
        <w:t>第三章 项目需求</w:t>
      </w:r>
    </w:p>
    <w:p>
      <w:pPr>
        <w:pStyle w:val="14"/>
        <w:tabs>
          <w:tab w:val="right" w:leader="dot" w:pos="9528"/>
          <w:tab w:val="clear" w:pos="840"/>
          <w:tab w:val="clear" w:pos="9402"/>
        </w:tabs>
        <w:snapToGrid/>
        <w:spacing w:line="1200" w:lineRule="exact"/>
        <w:textAlignment w:val="baseline"/>
        <w:rPr>
          <w:rFonts w:hint="eastAsia" w:ascii="宋体" w:hAnsi="宋体" w:eastAsia="宋体" w:cs="宋体"/>
          <w:caps w:val="0"/>
          <w:color w:val="auto"/>
          <w:w w:val="100"/>
          <w:sz w:val="32"/>
          <w:szCs w:val="32"/>
          <w:highlight w:val="none"/>
        </w:rPr>
      </w:pPr>
      <w:r>
        <w:rPr>
          <w:rFonts w:hint="eastAsia" w:ascii="宋体" w:hAnsi="宋体" w:eastAsia="宋体" w:cs="宋体"/>
          <w:caps w:val="0"/>
          <w:color w:val="auto"/>
          <w:w w:val="100"/>
          <w:sz w:val="32"/>
          <w:szCs w:val="32"/>
          <w:highlight w:val="none"/>
        </w:rPr>
        <w:t>第四章 评审方法和程序</w:t>
      </w:r>
    </w:p>
    <w:p>
      <w:pPr>
        <w:pStyle w:val="14"/>
        <w:tabs>
          <w:tab w:val="right" w:leader="dot" w:pos="9528"/>
          <w:tab w:val="clear" w:pos="840"/>
          <w:tab w:val="clear" w:pos="9402"/>
        </w:tabs>
        <w:snapToGrid/>
        <w:spacing w:line="1200" w:lineRule="exact"/>
        <w:textAlignment w:val="baseline"/>
        <w:rPr>
          <w:rFonts w:hint="eastAsia" w:ascii="宋体" w:hAnsi="宋体" w:eastAsia="宋体" w:cs="宋体"/>
          <w:caps w:val="0"/>
          <w:color w:val="auto"/>
          <w:w w:val="100"/>
          <w:sz w:val="32"/>
          <w:szCs w:val="32"/>
          <w:highlight w:val="none"/>
        </w:rPr>
      </w:pPr>
      <w:r>
        <w:rPr>
          <w:rFonts w:hint="eastAsia" w:ascii="宋体" w:hAnsi="宋体" w:eastAsia="宋体" w:cs="宋体"/>
          <w:caps w:val="0"/>
          <w:color w:val="auto"/>
          <w:w w:val="100"/>
          <w:sz w:val="32"/>
          <w:szCs w:val="32"/>
          <w:highlight w:val="none"/>
        </w:rPr>
        <w:t>第五章 合同主要条款</w:t>
      </w:r>
    </w:p>
    <w:p>
      <w:pPr>
        <w:pStyle w:val="14"/>
        <w:tabs>
          <w:tab w:val="right" w:leader="dot" w:pos="9528"/>
          <w:tab w:val="clear" w:pos="840"/>
          <w:tab w:val="clear" w:pos="9402"/>
        </w:tabs>
        <w:snapToGrid/>
        <w:spacing w:line="1200" w:lineRule="exact"/>
        <w:textAlignment w:val="baseline"/>
        <w:rPr>
          <w:rFonts w:hint="eastAsia" w:ascii="宋体" w:hAnsi="宋体" w:eastAsia="宋体" w:cs="宋体"/>
          <w:caps w:val="0"/>
          <w:color w:val="auto"/>
          <w:w w:val="100"/>
          <w:sz w:val="32"/>
          <w:szCs w:val="32"/>
          <w:highlight w:val="none"/>
        </w:rPr>
      </w:pPr>
      <w:r>
        <w:rPr>
          <w:rFonts w:hint="eastAsia" w:ascii="宋体" w:hAnsi="宋体" w:eastAsia="宋体" w:cs="宋体"/>
          <w:caps w:val="0"/>
          <w:color w:val="auto"/>
          <w:w w:val="100"/>
          <w:sz w:val="32"/>
          <w:szCs w:val="32"/>
          <w:highlight w:val="none"/>
        </w:rPr>
        <w:t>第六章 合同授予</w:t>
      </w:r>
    </w:p>
    <w:p>
      <w:pPr>
        <w:pStyle w:val="14"/>
        <w:tabs>
          <w:tab w:val="right" w:leader="dot" w:pos="9528"/>
          <w:tab w:val="clear" w:pos="840"/>
          <w:tab w:val="clear" w:pos="9402"/>
        </w:tabs>
        <w:snapToGrid/>
        <w:spacing w:line="1200" w:lineRule="exact"/>
        <w:textAlignment w:val="baseline"/>
        <w:rPr>
          <w:rFonts w:hint="eastAsia" w:ascii="宋体" w:hAnsi="宋体" w:eastAsia="宋体" w:cs="宋体"/>
          <w:caps w:val="0"/>
          <w:color w:val="auto"/>
          <w:w w:val="100"/>
          <w:sz w:val="32"/>
          <w:szCs w:val="32"/>
          <w:highlight w:val="none"/>
        </w:rPr>
      </w:pPr>
      <w:r>
        <w:rPr>
          <w:rFonts w:hint="eastAsia" w:ascii="宋体" w:hAnsi="宋体" w:eastAsia="宋体" w:cs="宋体"/>
          <w:caps w:val="0"/>
          <w:color w:val="auto"/>
          <w:w w:val="100"/>
          <w:sz w:val="32"/>
          <w:szCs w:val="32"/>
          <w:highlight w:val="none"/>
        </w:rPr>
        <w:t>第七章 质疑提出和处理</w:t>
      </w:r>
    </w:p>
    <w:p>
      <w:pPr>
        <w:pStyle w:val="14"/>
        <w:tabs>
          <w:tab w:val="right" w:leader="dot" w:pos="9528"/>
        </w:tabs>
        <w:spacing w:line="1200" w:lineRule="exact"/>
        <w:textAlignment w:val="baseline"/>
        <w:rPr>
          <w:rFonts w:hint="eastAsia" w:ascii="宋体" w:hAnsi="宋体" w:eastAsia="宋体" w:cs="宋体"/>
          <w:caps w:val="0"/>
          <w:color w:val="auto"/>
          <w:w w:val="100"/>
          <w:sz w:val="32"/>
          <w:szCs w:val="32"/>
          <w:highlight w:val="none"/>
        </w:rPr>
      </w:pPr>
      <w:r>
        <w:rPr>
          <w:rFonts w:hint="eastAsia" w:ascii="宋体" w:hAnsi="宋体" w:eastAsia="宋体" w:cs="宋体"/>
          <w:caps w:val="0"/>
          <w:color w:val="auto"/>
          <w:w w:val="100"/>
          <w:sz w:val="32"/>
          <w:szCs w:val="32"/>
          <w:highlight w:val="none"/>
        </w:rPr>
        <w:t>第八章 响应文件组成及格式</w:t>
      </w:r>
    </w:p>
    <w:p>
      <w:pPr>
        <w:pStyle w:val="14"/>
        <w:tabs>
          <w:tab w:val="right" w:leader="dot" w:pos="9528"/>
        </w:tabs>
        <w:spacing w:line="1200" w:lineRule="exact"/>
        <w:textAlignment w:val="baseline"/>
        <w:rPr>
          <w:rFonts w:hint="eastAsia" w:ascii="宋体" w:hAnsi="宋体" w:eastAsia="宋体" w:cs="宋体"/>
          <w:caps w:val="0"/>
          <w:color w:val="auto"/>
          <w:w w:val="100"/>
          <w:sz w:val="32"/>
          <w:szCs w:val="32"/>
          <w:highlight w:val="none"/>
          <w:lang w:val="en-US" w:eastAsia="zh-CN"/>
        </w:rPr>
      </w:pPr>
      <w:r>
        <w:rPr>
          <w:rFonts w:hint="eastAsia" w:ascii="宋体" w:hAnsi="宋体" w:eastAsia="宋体" w:cs="宋体"/>
          <w:caps w:val="0"/>
          <w:color w:val="auto"/>
          <w:w w:val="100"/>
          <w:sz w:val="32"/>
          <w:szCs w:val="32"/>
          <w:highlight w:val="none"/>
        </w:rPr>
        <w:t>第九章 工程量清单</w:t>
      </w:r>
    </w:p>
    <w:p>
      <w:pPr>
        <w:rPr>
          <w:rFonts w:hint="eastAsia" w:ascii="宋体" w:hAnsi="宋体" w:eastAsia="宋体" w:cs="宋体"/>
          <w:color w:val="auto"/>
          <w:sz w:val="36"/>
          <w:szCs w:val="36"/>
          <w:highlight w:val="none"/>
        </w:rPr>
      </w:pPr>
    </w:p>
    <w:p>
      <w:pPr>
        <w:rPr>
          <w:rFonts w:hint="eastAsia" w:ascii="宋体" w:hAnsi="宋体" w:eastAsia="宋体" w:cs="宋体"/>
          <w:color w:val="auto"/>
          <w:sz w:val="36"/>
          <w:szCs w:val="36"/>
          <w:highlight w:val="none"/>
        </w:rPr>
        <w:sectPr>
          <w:headerReference r:id="rId3" w:type="default"/>
          <w:footerReference r:id="rId4" w:type="default"/>
          <w:pgSz w:w="11906" w:h="16838"/>
          <w:pgMar w:top="1440" w:right="1587" w:bottom="1440" w:left="1587" w:header="851" w:footer="992" w:gutter="0"/>
          <w:pgNumType w:fmt="numberInDash"/>
          <w:cols w:space="720" w:num="1"/>
          <w:titlePg/>
          <w:docGrid w:linePitch="312" w:charSpace="0"/>
        </w:sectPr>
      </w:pPr>
    </w:p>
    <w:p>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尊敬的磋商供应商：</w:t>
      </w:r>
    </w:p>
    <w:p>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欢迎参加本采购项目的竞争性磋商。为了保证本次磋商项目顺利进行，请在制作响应文件之前，仔细阅读本竞争性磋商文件的各项条款，并按要求制作和递交响应文件。谢谢合作！</w:t>
      </w:r>
    </w:p>
    <w:p>
      <w:pPr>
        <w:snapToGrid w:val="0"/>
        <w:spacing w:line="360" w:lineRule="auto"/>
        <w:rPr>
          <w:rFonts w:hint="eastAsia" w:ascii="宋体" w:hAnsi="宋体" w:eastAsia="宋体" w:cs="宋体"/>
          <w:b/>
          <w:bCs/>
          <w:color w:val="auto"/>
          <w:sz w:val="15"/>
          <w:szCs w:val="15"/>
          <w:highlight w:val="none"/>
        </w:rPr>
      </w:pPr>
    </w:p>
    <w:p>
      <w:pPr>
        <w:spacing w:before="156" w:beforeLines="50" w:after="156" w:afterLines="50" w:line="360" w:lineRule="auto"/>
        <w:jc w:val="center"/>
        <w:rPr>
          <w:rFonts w:hint="eastAsia" w:ascii="宋体" w:hAnsi="宋体" w:eastAsia="宋体" w:cs="宋体"/>
          <w:b/>
          <w:bCs/>
          <w:color w:val="auto"/>
          <w:w w:val="80"/>
          <w:sz w:val="44"/>
          <w:szCs w:val="44"/>
          <w:highlight w:val="none"/>
        </w:rPr>
      </w:pPr>
      <w:bookmarkStart w:id="11" w:name="_Toc363573853"/>
      <w:bookmarkStart w:id="12" w:name="OLE_LINK2"/>
      <w:bookmarkStart w:id="13" w:name="OLE_LINK3"/>
      <w:bookmarkStart w:id="14" w:name="_Hlk161928799"/>
      <w:r>
        <w:rPr>
          <w:rFonts w:hint="eastAsia" w:ascii="宋体" w:hAnsi="宋体" w:eastAsia="宋体" w:cs="宋体"/>
          <w:b/>
          <w:bCs/>
          <w:color w:val="auto"/>
          <w:w w:val="80"/>
          <w:sz w:val="44"/>
          <w:szCs w:val="44"/>
          <w:highlight w:val="none"/>
        </w:rPr>
        <w:t>第一章 竞争性磋商公</w:t>
      </w:r>
      <w:bookmarkEnd w:id="1"/>
      <w:bookmarkEnd w:id="2"/>
      <w:bookmarkEnd w:id="3"/>
      <w:bookmarkEnd w:id="4"/>
      <w:bookmarkEnd w:id="5"/>
      <w:bookmarkEnd w:id="6"/>
      <w:bookmarkEnd w:id="7"/>
      <w:bookmarkEnd w:id="8"/>
      <w:bookmarkEnd w:id="9"/>
      <w:bookmarkEnd w:id="10"/>
      <w:r>
        <w:rPr>
          <w:rFonts w:hint="eastAsia" w:ascii="宋体" w:hAnsi="宋体" w:eastAsia="宋体" w:cs="宋体"/>
          <w:b/>
          <w:bCs/>
          <w:color w:val="auto"/>
          <w:w w:val="80"/>
          <w:sz w:val="44"/>
          <w:szCs w:val="44"/>
          <w:highlight w:val="none"/>
        </w:rPr>
        <w:t>告</w:t>
      </w:r>
      <w:bookmarkEnd w:id="11"/>
      <w:bookmarkEnd w:id="12"/>
    </w:p>
    <w:p>
      <w:pPr>
        <w:pBdr>
          <w:top w:val="single" w:color="auto" w:sz="4" w:space="1"/>
          <w:left w:val="single" w:color="auto" w:sz="4" w:space="4"/>
          <w:bottom w:val="single" w:color="auto" w:sz="4" w:space="1"/>
          <w:right w:val="single" w:color="auto" w:sz="4" w:space="0"/>
        </w:pBdr>
        <w:snapToGrid w:val="0"/>
        <w:spacing w:line="360" w:lineRule="auto"/>
        <w:ind w:firstLine="482" w:firstLineChars="200"/>
        <w:rPr>
          <w:rFonts w:hint="eastAsia" w:ascii="宋体" w:hAnsi="宋体" w:eastAsia="宋体" w:cs="宋体"/>
          <w:b/>
          <w:color w:val="auto"/>
          <w:sz w:val="24"/>
          <w:highlight w:val="none"/>
        </w:rPr>
      </w:pPr>
      <w:bookmarkStart w:id="15" w:name="_Hlk67480463"/>
      <w:r>
        <w:rPr>
          <w:rFonts w:hint="eastAsia" w:ascii="宋体" w:hAnsi="宋体" w:eastAsia="宋体" w:cs="宋体"/>
          <w:b/>
          <w:color w:val="auto"/>
          <w:sz w:val="24"/>
          <w:highlight w:val="none"/>
        </w:rPr>
        <w:t>项目概况</w:t>
      </w:r>
    </w:p>
    <w:p>
      <w:pPr>
        <w:pBdr>
          <w:top w:val="single" w:color="auto" w:sz="4" w:space="1"/>
          <w:left w:val="single" w:color="auto" w:sz="4" w:space="4"/>
          <w:bottom w:val="single" w:color="auto" w:sz="4" w:space="1"/>
          <w:right w:val="single" w:color="auto" w:sz="4" w:space="0"/>
        </w:pBd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u w:val="single"/>
        </w:rPr>
        <w:t>南通市新城小区66号附2号楼加装电梯及配套设施施工项目</w:t>
      </w:r>
      <w:r>
        <w:rPr>
          <w:rFonts w:hint="eastAsia" w:ascii="宋体" w:hAnsi="宋体" w:eastAsia="宋体" w:cs="宋体"/>
          <w:b/>
          <w:color w:val="auto"/>
          <w:sz w:val="24"/>
          <w:highlight w:val="none"/>
        </w:rPr>
        <w:t>的潜在供应商应在</w:t>
      </w:r>
      <w:r>
        <w:rPr>
          <w:rFonts w:hint="eastAsia" w:ascii="宋体" w:hAnsi="宋体" w:eastAsia="宋体" w:cs="宋体"/>
          <w:b/>
          <w:color w:val="auto"/>
          <w:sz w:val="24"/>
          <w:highlight w:val="none"/>
          <w:u w:val="single"/>
        </w:rPr>
        <w:t>“</w:t>
      </w:r>
      <w:r>
        <w:rPr>
          <w:rFonts w:hint="eastAsia" w:ascii="宋体" w:hAnsi="宋体" w:eastAsia="宋体" w:cs="宋体"/>
          <w:b/>
          <w:color w:val="auto"/>
          <w:sz w:val="24"/>
          <w:highlight w:val="none"/>
          <w:u w:val="single"/>
          <w:lang w:val="en-US" w:eastAsia="zh-CN"/>
        </w:rPr>
        <w:t>南通市机关事务管理局</w:t>
      </w:r>
      <w:r>
        <w:rPr>
          <w:rFonts w:hint="eastAsia" w:ascii="宋体" w:hAnsi="宋体" w:eastAsia="宋体" w:cs="宋体"/>
          <w:b/>
          <w:color w:val="auto"/>
          <w:sz w:val="24"/>
          <w:highlight w:val="none"/>
          <w:u w:val="single"/>
        </w:rPr>
        <w:t>网（http://jgsw.nantong.gov.cn/）-公告公示”栏</w:t>
      </w:r>
      <w:r>
        <w:rPr>
          <w:rFonts w:hint="eastAsia" w:ascii="宋体" w:hAnsi="宋体" w:eastAsia="宋体" w:cs="宋体"/>
          <w:b/>
          <w:color w:val="auto"/>
          <w:sz w:val="24"/>
          <w:highlight w:val="none"/>
        </w:rPr>
        <w:t>内获取采购文件，并于</w:t>
      </w:r>
      <w:r>
        <w:rPr>
          <w:rFonts w:hint="eastAsia" w:ascii="宋体" w:hAnsi="宋体" w:eastAsia="宋体" w:cs="宋体"/>
          <w:b/>
          <w:color w:val="auto"/>
          <w:sz w:val="24"/>
          <w:szCs w:val="24"/>
          <w:highlight w:val="none"/>
          <w:u w:val="single"/>
        </w:rPr>
        <w:t>2024年</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月</w:t>
      </w:r>
      <w:r>
        <w:rPr>
          <w:rFonts w:hint="eastAsia" w:ascii="宋体" w:hAnsi="宋体" w:eastAsia="宋体" w:cs="宋体"/>
          <w:b/>
          <w:color w:val="auto"/>
          <w:sz w:val="24"/>
          <w:szCs w:val="24"/>
          <w:highlight w:val="none"/>
          <w:u w:val="single"/>
          <w:lang w:val="en-US" w:eastAsia="zh-CN"/>
        </w:rPr>
        <w:t>17</w:t>
      </w:r>
      <w:r>
        <w:rPr>
          <w:rFonts w:hint="eastAsia" w:ascii="宋体" w:hAnsi="宋体" w:eastAsia="宋体" w:cs="宋体"/>
          <w:b/>
          <w:color w:val="auto"/>
          <w:sz w:val="24"/>
          <w:szCs w:val="24"/>
          <w:highlight w:val="none"/>
          <w:u w:val="single"/>
        </w:rPr>
        <w:t>日</w:t>
      </w:r>
      <w:r>
        <w:rPr>
          <w:rFonts w:hint="eastAsia" w:ascii="宋体" w:hAnsi="宋体" w:eastAsia="宋体" w:cs="宋体"/>
          <w:b/>
          <w:color w:val="auto"/>
          <w:sz w:val="24"/>
          <w:szCs w:val="24"/>
          <w:highlight w:val="none"/>
          <w:u w:val="single"/>
          <w:lang w:val="en-US" w:eastAsia="zh-CN"/>
        </w:rPr>
        <w:t>14</w:t>
      </w:r>
      <w:r>
        <w:rPr>
          <w:rFonts w:hint="eastAsia" w:ascii="宋体" w:hAnsi="宋体" w:eastAsia="宋体" w:cs="宋体"/>
          <w:b/>
          <w:color w:val="auto"/>
          <w:sz w:val="24"/>
          <w:szCs w:val="24"/>
          <w:highlight w:val="none"/>
          <w:u w:val="single"/>
        </w:rPr>
        <w:t>时</w:t>
      </w:r>
      <w:r>
        <w:rPr>
          <w:rFonts w:hint="eastAsia" w:ascii="宋体" w:hAnsi="宋体" w:eastAsia="宋体" w:cs="宋体"/>
          <w:b/>
          <w:color w:val="auto"/>
          <w:sz w:val="24"/>
          <w:szCs w:val="24"/>
          <w:highlight w:val="none"/>
          <w:u w:val="single"/>
          <w:lang w:val="en-US" w:eastAsia="zh-CN"/>
        </w:rPr>
        <w:t>00</w:t>
      </w:r>
      <w:r>
        <w:rPr>
          <w:rFonts w:hint="eastAsia" w:ascii="宋体" w:hAnsi="宋体" w:eastAsia="宋体" w:cs="宋体"/>
          <w:b/>
          <w:color w:val="auto"/>
          <w:sz w:val="24"/>
          <w:szCs w:val="24"/>
          <w:highlight w:val="none"/>
          <w:u w:val="single"/>
        </w:rPr>
        <w:t>分00秒</w:t>
      </w:r>
      <w:r>
        <w:rPr>
          <w:rFonts w:hint="eastAsia" w:ascii="宋体" w:hAnsi="宋体" w:eastAsia="宋体" w:cs="宋体"/>
          <w:b/>
          <w:color w:val="auto"/>
          <w:sz w:val="24"/>
          <w:highlight w:val="none"/>
        </w:rPr>
        <w:t>（北京时间）前提交响应文件。</w:t>
      </w:r>
    </w:p>
    <w:bookmarkEnd w:id="15"/>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bookmarkStart w:id="16" w:name="OLE_LINK1"/>
      <w:r>
        <w:rPr>
          <w:rFonts w:hint="eastAsia" w:ascii="宋体" w:hAnsi="宋体" w:eastAsia="宋体" w:cs="宋体"/>
          <w:color w:val="auto"/>
          <w:sz w:val="24"/>
          <w:szCs w:val="24"/>
          <w:highlight w:val="none"/>
          <w:lang w:eastAsia="zh-CN"/>
        </w:rPr>
        <w:t>江苏海审工程咨询有限公司</w:t>
      </w:r>
      <w:r>
        <w:rPr>
          <w:rFonts w:hint="eastAsia" w:ascii="宋体" w:hAnsi="宋体" w:eastAsia="宋体" w:cs="宋体"/>
          <w:color w:val="auto"/>
          <w:sz w:val="24"/>
          <w:szCs w:val="24"/>
          <w:highlight w:val="none"/>
        </w:rPr>
        <w:t>（以下称采购代理机构）受</w:t>
      </w:r>
      <w:r>
        <w:rPr>
          <w:rFonts w:hint="eastAsia" w:ascii="宋体" w:hAnsi="宋体" w:eastAsia="宋体" w:cs="宋体"/>
          <w:color w:val="auto"/>
          <w:sz w:val="24"/>
          <w:szCs w:val="24"/>
          <w:highlight w:val="none"/>
          <w:lang w:eastAsia="zh-CN"/>
        </w:rPr>
        <w:t>南通市中天房地产开发有限公司</w:t>
      </w:r>
      <w:r>
        <w:rPr>
          <w:rFonts w:hint="eastAsia" w:ascii="宋体" w:hAnsi="宋体" w:eastAsia="宋体" w:cs="宋体"/>
          <w:color w:val="auto"/>
          <w:sz w:val="24"/>
          <w:szCs w:val="24"/>
          <w:highlight w:val="none"/>
        </w:rPr>
        <w:t>的委托，就南通市新城小区66号附2号楼加装电梯及配套设施施工项目组织竞争性磋商采购，诚邀符合条件的潜在供应商参加该项目的磋商。</w:t>
      </w:r>
    </w:p>
    <w:bookmarkEnd w:id="13"/>
    <w:bookmarkEnd w:id="16"/>
    <w:p>
      <w:pPr>
        <w:pageBreakBefore w:val="0"/>
        <w:kinsoku/>
        <w:wordWrap/>
        <w:overflowPunct/>
        <w:topLinePunct w:val="0"/>
        <w:autoSpaceDE/>
        <w:autoSpaceDN/>
        <w:bidi w:val="0"/>
        <w:adjustRightInd/>
        <w:snapToGrid/>
        <w:spacing w:line="360" w:lineRule="auto"/>
        <w:ind w:firstLine="482" w:firstLineChars="200"/>
        <w:jc w:val="both"/>
        <w:rPr>
          <w:rFonts w:hint="eastAsia" w:ascii="宋体" w:hAnsi="宋体" w:eastAsia="宋体" w:cs="宋体"/>
          <w:b/>
          <w:color w:val="auto"/>
          <w:sz w:val="24"/>
          <w:szCs w:val="24"/>
          <w:highlight w:val="none"/>
        </w:rPr>
      </w:pPr>
      <w:bookmarkStart w:id="17" w:name="_Toc521201597"/>
      <w:bookmarkStart w:id="18" w:name="_Toc94544744"/>
      <w:bookmarkStart w:id="19" w:name="_Toc94585340"/>
      <w:bookmarkStart w:id="20" w:name="_Toc11554639"/>
      <w:bookmarkStart w:id="21" w:name="_Toc11499584"/>
      <w:bookmarkStart w:id="22" w:name="_Toc8895739"/>
      <w:bookmarkStart w:id="23" w:name="_Toc94544828"/>
      <w:bookmarkStart w:id="24" w:name="_Toc11500280"/>
      <w:bookmarkStart w:id="25" w:name="_Toc12670503"/>
      <w:bookmarkStart w:id="26" w:name="_Toc521203418"/>
      <w:bookmarkStart w:id="27" w:name="_Toc363573854"/>
      <w:r>
        <w:rPr>
          <w:rFonts w:hint="eastAsia" w:ascii="宋体" w:hAnsi="宋体" w:eastAsia="宋体" w:cs="宋体"/>
          <w:b/>
          <w:color w:val="auto"/>
          <w:sz w:val="24"/>
          <w:szCs w:val="24"/>
          <w:highlight w:val="none"/>
        </w:rPr>
        <w:t>一、项目基本情况</w:t>
      </w: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1、项目编号：HSNT202411</w:t>
      </w: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2、项目名称：南通市新城小区66号附2号楼加装电梯及配套设施施工项目</w:t>
      </w: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3、所属行业：建筑业</w:t>
      </w: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4、采购方式：竞争性磋商</w:t>
      </w: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5、预算金额：</w:t>
      </w:r>
      <w:bookmarkStart w:id="28" w:name="_Hlk145064947"/>
      <w:r>
        <w:rPr>
          <w:rFonts w:hint="eastAsia" w:ascii="宋体" w:hAnsi="宋体" w:eastAsia="宋体" w:cs="宋体"/>
          <w:color w:val="auto"/>
          <w:sz w:val="24"/>
          <w:szCs w:val="24"/>
          <w:highlight w:val="none"/>
          <w:u w:val="single"/>
        </w:rPr>
        <w:t>人民币</w:t>
      </w:r>
      <w:r>
        <w:rPr>
          <w:rFonts w:hint="eastAsia" w:ascii="宋体" w:hAnsi="宋体" w:eastAsia="宋体" w:cs="宋体"/>
          <w:color w:val="auto"/>
          <w:sz w:val="24"/>
          <w:szCs w:val="24"/>
          <w:highlight w:val="none"/>
          <w:u w:val="single"/>
          <w:lang w:val="en-US" w:eastAsia="zh-CN"/>
        </w:rPr>
        <w:t>506003.7</w:t>
      </w:r>
      <w:r>
        <w:rPr>
          <w:rFonts w:hint="eastAsia" w:ascii="宋体" w:hAnsi="宋体" w:eastAsia="宋体" w:cs="宋体"/>
          <w:color w:val="auto"/>
          <w:sz w:val="24"/>
          <w:szCs w:val="24"/>
          <w:highlight w:val="none"/>
          <w:u w:val="single"/>
        </w:rPr>
        <w:t>元</w:t>
      </w:r>
      <w:bookmarkEnd w:id="28"/>
      <w:r>
        <w:rPr>
          <w:rFonts w:hint="eastAsia" w:ascii="宋体" w:hAnsi="宋体" w:eastAsia="宋体" w:cs="宋体"/>
          <w:color w:val="auto"/>
          <w:sz w:val="24"/>
          <w:szCs w:val="24"/>
          <w:highlight w:val="none"/>
          <w:u w:val="single"/>
        </w:rPr>
        <w:t>（暂列金</w:t>
      </w:r>
      <w:r>
        <w:rPr>
          <w:rFonts w:hint="eastAsia" w:ascii="宋体" w:hAnsi="宋体" w:eastAsia="宋体" w:cs="宋体"/>
          <w:color w:val="auto"/>
          <w:sz w:val="24"/>
          <w:szCs w:val="24"/>
          <w:highlight w:val="none"/>
          <w:u w:val="single"/>
          <w:lang w:val="en-US" w:eastAsia="zh-CN"/>
        </w:rPr>
        <w:t>25000</w:t>
      </w:r>
      <w:r>
        <w:rPr>
          <w:rFonts w:hint="eastAsia" w:ascii="宋体" w:hAnsi="宋体" w:eastAsia="宋体" w:cs="宋体"/>
          <w:color w:val="auto"/>
          <w:sz w:val="24"/>
          <w:szCs w:val="24"/>
          <w:highlight w:val="none"/>
          <w:u w:val="single"/>
        </w:rPr>
        <w:t>元）</w:t>
      </w: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6、最高限价：</w:t>
      </w:r>
      <w:r>
        <w:rPr>
          <w:rFonts w:hint="eastAsia" w:ascii="宋体" w:hAnsi="宋体" w:eastAsia="宋体" w:cs="宋体"/>
          <w:color w:val="auto"/>
          <w:sz w:val="24"/>
          <w:szCs w:val="24"/>
          <w:highlight w:val="none"/>
          <w:u w:val="single"/>
        </w:rPr>
        <w:t>本项目人民币</w:t>
      </w:r>
      <w:r>
        <w:rPr>
          <w:rFonts w:hint="eastAsia" w:ascii="宋体" w:hAnsi="宋体" w:eastAsia="宋体" w:cs="宋体"/>
          <w:color w:val="auto"/>
          <w:sz w:val="24"/>
          <w:szCs w:val="24"/>
          <w:highlight w:val="none"/>
          <w:u w:val="single"/>
          <w:lang w:val="en-US" w:eastAsia="zh-CN"/>
        </w:rPr>
        <w:t>506003.7</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，报价不得高于最高限价，否则做无效响应处理。</w:t>
      </w: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7、采购需求：具体详见竞争性磋商文件第三章。</w:t>
      </w: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8、合同履行期限：工期为</w:t>
      </w:r>
      <w:r>
        <w:rPr>
          <w:rFonts w:hint="eastAsia" w:ascii="宋体" w:hAnsi="宋体" w:eastAsia="宋体" w:cs="宋体"/>
          <w:color w:val="auto"/>
          <w:sz w:val="24"/>
          <w:szCs w:val="24"/>
          <w:highlight w:val="none"/>
          <w:u w:val="single"/>
          <w:lang w:val="en-US" w:eastAsia="zh-CN"/>
        </w:rPr>
        <w:t xml:space="preserve"> 60 </w:t>
      </w:r>
      <w:r>
        <w:rPr>
          <w:rFonts w:hint="eastAsia" w:ascii="宋体" w:hAnsi="宋体" w:eastAsia="宋体" w:cs="宋体"/>
          <w:color w:val="auto"/>
          <w:sz w:val="24"/>
          <w:szCs w:val="24"/>
          <w:highlight w:val="none"/>
        </w:rPr>
        <w:t>日历天。</w:t>
      </w: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9、本项目不接受联合体磋商。</w:t>
      </w:r>
    </w:p>
    <w:p>
      <w:pPr>
        <w:pStyle w:val="3"/>
        <w:pageBreakBefore w:val="0"/>
        <w:kinsoku/>
        <w:wordWrap/>
        <w:overflowPunct/>
        <w:topLinePunct w:val="0"/>
        <w:autoSpaceDE/>
        <w:autoSpaceDN/>
        <w:bidi w:val="0"/>
        <w:adjustRightInd/>
        <w:snapToGrid/>
        <w:spacing w:before="0" w:after="0" w:line="360" w:lineRule="auto"/>
        <w:ind w:firstLine="482" w:firstLineChars="200"/>
        <w:jc w:val="both"/>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二、申请人的资格要求：</w:t>
      </w: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（一）磋商响应供应商基本资格要求：</w:t>
      </w: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1、具有独立承担民事责任的能力；具有良好的商业信誉和健全的财务会计制度；具有履行合同所必需的设备和专业技术能力</w:t>
      </w:r>
      <w:r>
        <w:rPr>
          <w:rFonts w:hint="eastAsia" w:ascii="宋体" w:hAnsi="宋体" w:eastAsia="宋体" w:cs="宋体"/>
          <w:color w:val="auto"/>
          <w:sz w:val="24"/>
          <w:szCs w:val="24"/>
          <w:highlight w:val="none"/>
          <w:lang w:eastAsia="zh-CN"/>
        </w:rPr>
        <w:t>；具</w:t>
      </w:r>
      <w:r>
        <w:rPr>
          <w:rFonts w:hint="eastAsia" w:ascii="宋体" w:hAnsi="宋体" w:eastAsia="宋体" w:cs="宋体"/>
          <w:color w:val="auto"/>
          <w:sz w:val="24"/>
          <w:szCs w:val="24"/>
          <w:highlight w:val="none"/>
        </w:rPr>
        <w:t>有依法缴纳税收和社会保障资金的良好记录；参加采购活动前三年内，在经营活动中没有重大违法记录。</w:t>
      </w:r>
    </w:p>
    <w:p>
      <w:pPr>
        <w:pageBreakBefore w:val="0"/>
        <w:widowControl/>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未被“信用中国”网站（www.creditchina.gov.cn）、“中国政府采购网”（www.ccgp.gov.cn）列入失信被执行人、重大税收违法案件当事人名单、政府采购严重违法失信行为记录名单</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napToGrid/>
        <w:spacing w:line="360" w:lineRule="auto"/>
        <w:ind w:firstLine="480" w:firstLineChars="200"/>
        <w:jc w:val="both"/>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（二）本项目的特定资格要求：</w:t>
      </w:r>
    </w:p>
    <w:p>
      <w:pPr>
        <w:pageBreakBefore w:val="0"/>
        <w:kinsoku/>
        <w:wordWrap/>
        <w:overflowPunct/>
        <w:topLinePunct w:val="0"/>
        <w:autoSpaceDE/>
        <w:autoSpaceDN/>
        <w:bidi w:val="0"/>
        <w:adjustRightInd/>
        <w:snapToGrid/>
        <w:spacing w:line="360" w:lineRule="auto"/>
        <w:ind w:firstLine="480" w:firstLineChars="200"/>
        <w:jc w:val="both"/>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1、供应商须具有</w:t>
      </w:r>
      <w:bookmarkStart w:id="29" w:name="_Hlk139461020"/>
      <w:r>
        <w:rPr>
          <w:rFonts w:hint="eastAsia" w:ascii="宋体" w:hAnsi="宋体" w:eastAsia="宋体" w:cs="宋体"/>
          <w:color w:val="auto"/>
          <w:sz w:val="24"/>
          <w:szCs w:val="24"/>
          <w:highlight w:val="none"/>
          <w:lang w:val="en-US" w:eastAsia="zh-CN"/>
        </w:rPr>
        <w:t>有效的机电工程施工总承包三级或建筑机电安装工程专业承包三级</w:t>
      </w:r>
      <w:r>
        <w:rPr>
          <w:rFonts w:hint="eastAsia" w:ascii="宋体" w:hAnsi="宋体" w:eastAsia="宋体" w:cs="宋体"/>
          <w:color w:val="auto"/>
          <w:sz w:val="24"/>
          <w:szCs w:val="24"/>
          <w:highlight w:val="none"/>
        </w:rPr>
        <w:t>及以上资质</w:t>
      </w:r>
      <w:bookmarkEnd w:id="29"/>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napToGrid/>
        <w:spacing w:line="360" w:lineRule="auto"/>
        <w:ind w:firstLine="480" w:firstLineChars="200"/>
        <w:jc w:val="both"/>
        <w:outlineLvl w:val="1"/>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bookmarkStart w:id="30" w:name="_Hlk139461136"/>
      <w:r>
        <w:rPr>
          <w:rFonts w:hint="eastAsia" w:ascii="宋体" w:hAnsi="宋体" w:eastAsia="宋体" w:cs="宋体"/>
          <w:color w:val="auto"/>
          <w:sz w:val="24"/>
          <w:szCs w:val="24"/>
          <w:highlight w:val="none"/>
        </w:rPr>
        <w:t>供应商须具</w:t>
      </w:r>
      <w:r>
        <w:rPr>
          <w:rFonts w:hint="eastAsia" w:ascii="宋体" w:hAnsi="宋体" w:eastAsia="宋体" w:cs="宋体"/>
          <w:snapToGrid w:val="0"/>
          <w:color w:val="auto"/>
          <w:kern w:val="0"/>
          <w:sz w:val="24"/>
          <w:szCs w:val="24"/>
          <w:highlight w:val="none"/>
        </w:rPr>
        <w:t>有企业具备安全生产条件，并取得</w:t>
      </w:r>
      <w:r>
        <w:rPr>
          <w:rFonts w:hint="eastAsia" w:ascii="宋体" w:hAnsi="宋体" w:eastAsia="宋体" w:cs="宋体"/>
          <w:snapToGrid w:val="0"/>
          <w:color w:val="auto"/>
          <w:kern w:val="0"/>
          <w:sz w:val="24"/>
          <w:szCs w:val="24"/>
          <w:highlight w:val="none"/>
          <w:lang w:val="en-US" w:eastAsia="zh-CN"/>
        </w:rPr>
        <w:t>有效的</w:t>
      </w:r>
      <w:r>
        <w:rPr>
          <w:rFonts w:hint="eastAsia" w:ascii="宋体" w:hAnsi="宋体" w:eastAsia="宋体" w:cs="宋体"/>
          <w:snapToGrid w:val="0"/>
          <w:color w:val="auto"/>
          <w:kern w:val="0"/>
          <w:sz w:val="24"/>
          <w:szCs w:val="24"/>
          <w:highlight w:val="none"/>
        </w:rPr>
        <w:t>企业安全生产许可证；</w:t>
      </w:r>
      <w:bookmarkEnd w:id="30"/>
    </w:p>
    <w:p>
      <w:pPr>
        <w:pageBreakBefore w:val="0"/>
        <w:kinsoku/>
        <w:wordWrap/>
        <w:overflowPunct/>
        <w:topLinePunct w:val="0"/>
        <w:autoSpaceDE/>
        <w:autoSpaceDN/>
        <w:bidi w:val="0"/>
        <w:adjustRightInd/>
        <w:snapToGrid/>
        <w:spacing w:line="360" w:lineRule="auto"/>
        <w:ind w:firstLine="480" w:firstLineChars="200"/>
        <w:jc w:val="both"/>
        <w:outlineLvl w:val="1"/>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bookmarkStart w:id="31" w:name="_Hlk139461185"/>
      <w:r>
        <w:rPr>
          <w:rFonts w:hint="eastAsia" w:ascii="宋体" w:hAnsi="宋体" w:eastAsia="宋体" w:cs="宋体"/>
          <w:snapToGrid w:val="0"/>
          <w:color w:val="auto"/>
          <w:sz w:val="24"/>
          <w:szCs w:val="24"/>
          <w:highlight w:val="none"/>
        </w:rPr>
        <w:t>供应商拟派项目负责人须具备机电工程二级及以上注册建造师资质，并同时具有有效的建筑施工企业安全生产考核合格证书(B证)，</w:t>
      </w:r>
      <w:r>
        <w:rPr>
          <w:rFonts w:hint="eastAsia" w:ascii="宋体" w:hAnsi="宋体" w:eastAsia="宋体" w:cs="宋体"/>
          <w:snapToGrid w:val="0"/>
          <w:color w:val="auto"/>
          <w:sz w:val="24"/>
          <w:szCs w:val="24"/>
          <w:highlight w:val="none"/>
          <w:lang w:val="en-US" w:eastAsia="zh-CN"/>
        </w:rPr>
        <w:t>以上</w:t>
      </w:r>
      <w:r>
        <w:rPr>
          <w:rFonts w:hint="eastAsia" w:ascii="宋体" w:hAnsi="宋体" w:eastAsia="宋体" w:cs="宋体"/>
          <w:snapToGrid w:val="0"/>
          <w:color w:val="auto"/>
          <w:sz w:val="24"/>
          <w:szCs w:val="24"/>
          <w:highlight w:val="none"/>
        </w:rPr>
        <w:t>证书注册单位为</w:t>
      </w:r>
      <w:r>
        <w:rPr>
          <w:rFonts w:hint="eastAsia" w:ascii="宋体" w:hAnsi="宋体" w:eastAsia="宋体" w:cs="宋体"/>
          <w:snapToGrid w:val="0"/>
          <w:color w:val="auto"/>
          <w:sz w:val="24"/>
          <w:szCs w:val="24"/>
          <w:highlight w:val="none"/>
          <w:lang w:val="en-US" w:eastAsia="zh-CN"/>
        </w:rPr>
        <w:t>供应商</w:t>
      </w:r>
      <w:r>
        <w:rPr>
          <w:rFonts w:hint="eastAsia" w:ascii="宋体" w:hAnsi="宋体" w:eastAsia="宋体" w:cs="宋体"/>
          <w:snapToGrid w:val="0"/>
          <w:color w:val="auto"/>
          <w:sz w:val="24"/>
          <w:szCs w:val="24"/>
          <w:highlight w:val="none"/>
        </w:rPr>
        <w:t>单位</w:t>
      </w:r>
      <w:r>
        <w:rPr>
          <w:rFonts w:hint="eastAsia" w:ascii="宋体" w:hAnsi="宋体" w:eastAsia="宋体" w:cs="宋体"/>
          <w:snapToGrid w:val="0"/>
          <w:color w:val="auto"/>
          <w:kern w:val="0"/>
          <w:sz w:val="24"/>
          <w:szCs w:val="24"/>
          <w:highlight w:val="none"/>
        </w:rPr>
        <w:t>，且必须满足下列条件：</w:t>
      </w:r>
      <w:bookmarkEnd w:id="31"/>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napToGrid w:val="0"/>
          <w:color w:val="auto"/>
          <w:sz w:val="24"/>
          <w:szCs w:val="24"/>
          <w:highlight w:val="none"/>
        </w:rPr>
      </w:pPr>
      <w:bookmarkStart w:id="32" w:name="_Hlk139461248"/>
      <w:r>
        <w:rPr>
          <w:rFonts w:hint="eastAsia" w:ascii="宋体" w:hAnsi="宋体" w:eastAsia="宋体" w:cs="宋体"/>
          <w:snapToGrid w:val="0"/>
          <w:color w:val="auto"/>
          <w:sz w:val="24"/>
          <w:szCs w:val="24"/>
          <w:highlight w:val="none"/>
        </w:rPr>
        <w:t>(1)项目负责人不得同时在两个或者两个以上单位受聘或者执业。</w:t>
      </w: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w:t>
      </w:r>
      <w:r>
        <w:rPr>
          <w:rFonts w:hint="eastAsia" w:ascii="宋体" w:hAnsi="宋体" w:eastAsia="宋体" w:cs="宋体"/>
          <w:snapToGrid w:val="0"/>
          <w:color w:val="auto"/>
          <w:sz w:val="24"/>
          <w:szCs w:val="24"/>
          <w:highlight w:val="none"/>
          <w:lang w:val="en-US" w:eastAsia="zh-CN"/>
        </w:rPr>
        <w:t>采购</w:t>
      </w:r>
      <w:r>
        <w:rPr>
          <w:rFonts w:hint="eastAsia" w:ascii="宋体" w:hAnsi="宋体" w:eastAsia="宋体" w:cs="宋体"/>
          <w:snapToGrid w:val="0"/>
          <w:color w:val="auto"/>
          <w:sz w:val="24"/>
          <w:szCs w:val="24"/>
          <w:highlight w:val="none"/>
        </w:rPr>
        <w:t>的工程属于同一工程项目、同一项目批文、同一施工地点分段发包或分期施工的情况且总的工程规模在项目负责人执业范围之内。</w:t>
      </w: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3</w:t>
      </w:r>
      <w:r>
        <w:rPr>
          <w:rFonts w:hint="eastAsia" w:ascii="宋体" w:hAnsi="宋体" w:eastAsia="宋体" w:cs="宋体"/>
          <w:snapToGrid w:val="0"/>
          <w:color w:val="auto"/>
          <w:sz w:val="24"/>
          <w:szCs w:val="24"/>
          <w:highlight w:val="none"/>
        </w:rPr>
        <w:t>)拟派项目负责人必须为供应商的正式员工。提供供应商与其双方签订的有效劳动合同书复印件。</w:t>
      </w:r>
      <w:bookmarkEnd w:id="32"/>
    </w:p>
    <w:p>
      <w:pPr>
        <w:pageBreakBefore w:val="0"/>
        <w:widowControl/>
        <w:shd w:val="clear" w:color="auto" w:fill="FFFFFF"/>
        <w:kinsoku/>
        <w:wordWrap/>
        <w:overflowPunct/>
        <w:topLinePunct w:val="0"/>
        <w:autoSpaceDE/>
        <w:autoSpaceDN/>
        <w:bidi w:val="0"/>
        <w:adjustRightInd/>
        <w:snapToGrid/>
        <w:spacing w:line="360" w:lineRule="auto"/>
        <w:ind w:firstLine="482" w:firstLineChars="200"/>
        <w:jc w:val="both"/>
        <w:textAlignment w:val="baseline"/>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特别提示：</w:t>
      </w:r>
    </w:p>
    <w:p>
      <w:pPr>
        <w:pageBreakBefore w:val="0"/>
        <w:widowControl/>
        <w:shd w:val="clear" w:color="auto" w:fill="FFFFFF"/>
        <w:kinsoku/>
        <w:wordWrap/>
        <w:overflowPunct/>
        <w:topLinePunct w:val="0"/>
        <w:autoSpaceDE/>
        <w:autoSpaceDN/>
        <w:bidi w:val="0"/>
        <w:adjustRightInd/>
        <w:snapToGrid/>
        <w:spacing w:line="360" w:lineRule="auto"/>
        <w:ind w:firstLine="482" w:firstLineChars="200"/>
        <w:jc w:val="both"/>
        <w:textAlignment w:val="baseline"/>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①如供应商拟派的项目负责人为壹级建造师，必须根据《办公厅关于全面实行一级建造师电子注册证书的通知》（建办市〔2021〕40号）文件要求使用电子注册证书，</w:t>
      </w:r>
      <w:r>
        <w:rPr>
          <w:rFonts w:hint="eastAsia" w:ascii="宋体" w:hAnsi="宋体" w:eastAsia="宋体" w:cs="宋体"/>
          <w:b/>
          <w:snapToGrid w:val="0"/>
          <w:color w:val="auto"/>
          <w:kern w:val="0"/>
          <w:sz w:val="24"/>
          <w:szCs w:val="24"/>
          <w:highlight w:val="none"/>
          <w:lang w:val="en-US" w:eastAsia="zh-CN"/>
        </w:rPr>
        <w:t>否则</w:t>
      </w:r>
      <w:r>
        <w:rPr>
          <w:rFonts w:hint="eastAsia" w:ascii="宋体" w:hAnsi="宋体" w:eastAsia="宋体" w:cs="宋体"/>
          <w:b/>
          <w:snapToGrid w:val="0"/>
          <w:color w:val="auto"/>
          <w:kern w:val="0"/>
          <w:sz w:val="24"/>
          <w:szCs w:val="24"/>
          <w:highlight w:val="none"/>
        </w:rPr>
        <w:t>视为项目负责人的资格不符合要求。</w:t>
      </w:r>
    </w:p>
    <w:p>
      <w:pPr>
        <w:pStyle w:val="17"/>
        <w:pageBreakBefore w:val="0"/>
        <w:kinsoku/>
        <w:wordWrap/>
        <w:overflowPunct/>
        <w:topLinePunct w:val="0"/>
        <w:autoSpaceDE/>
        <w:autoSpaceDN/>
        <w:bidi w:val="0"/>
        <w:adjustRightInd/>
        <w:snapToGrid/>
        <w:spacing w:after="0" w:line="360" w:lineRule="auto"/>
        <w:ind w:firstLine="482"/>
        <w:jc w:val="both"/>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②</w:t>
      </w:r>
      <w:r>
        <w:rPr>
          <w:rFonts w:hint="eastAsia" w:ascii="宋体" w:hAnsi="宋体" w:eastAsia="宋体" w:cs="宋体"/>
          <w:b/>
          <w:snapToGrid w:val="0"/>
          <w:color w:val="auto"/>
          <w:kern w:val="0"/>
          <w:sz w:val="24"/>
          <w:szCs w:val="24"/>
          <w:highlight w:val="none"/>
          <w:lang w:val="en-US" w:eastAsia="zh-CN"/>
        </w:rPr>
        <w:t>企业注册地为江苏省内企业，</w:t>
      </w:r>
      <w:r>
        <w:rPr>
          <w:rFonts w:hint="eastAsia" w:ascii="宋体" w:hAnsi="宋体" w:eastAsia="宋体" w:cs="宋体"/>
          <w:b/>
          <w:snapToGrid w:val="0"/>
          <w:color w:val="auto"/>
          <w:kern w:val="0"/>
          <w:sz w:val="24"/>
          <w:szCs w:val="24"/>
          <w:highlight w:val="none"/>
        </w:rPr>
        <w:t>如本项目</w:t>
      </w:r>
      <w:r>
        <w:rPr>
          <w:rFonts w:hint="eastAsia" w:ascii="宋体" w:hAnsi="宋体" w:eastAsia="宋体" w:cs="宋体"/>
          <w:b/>
          <w:snapToGrid w:val="0"/>
          <w:color w:val="auto"/>
          <w:kern w:val="0"/>
          <w:sz w:val="24"/>
          <w:szCs w:val="24"/>
          <w:highlight w:val="none"/>
          <w:lang w:val="en-US" w:eastAsia="zh-CN"/>
        </w:rPr>
        <w:t>供应商</w:t>
      </w:r>
      <w:r>
        <w:rPr>
          <w:rFonts w:hint="eastAsia" w:ascii="宋体" w:hAnsi="宋体" w:eastAsia="宋体" w:cs="宋体"/>
          <w:b/>
          <w:snapToGrid w:val="0"/>
          <w:color w:val="auto"/>
          <w:kern w:val="0"/>
          <w:sz w:val="24"/>
          <w:szCs w:val="24"/>
          <w:highlight w:val="none"/>
        </w:rPr>
        <w:t>拟派的项目负责人为二级注册建造师的，必须根据《省住房和城乡建设厅关于我省二级建造师、二级造价工程师、二级注册建筑师、二级注册结构工程师注册证书电子证照换发的公告》〔2023〕第26号文件要求执行。</w:t>
      </w:r>
    </w:p>
    <w:p>
      <w:pPr>
        <w:pStyle w:val="5"/>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根据《关于在我省国有资金投资工程建设项目招标投标中应用建筑企业资质动态监管结果有关要求的通知》（苏建招办【2022】2号）文件要求，供应商在响应文件递交截止时间当日，建筑业企业资质动态监管结果不处于不合格状态。注：供应商某项被核查为不合格的资质，不得参加该资质的招投标（采购活动）、合同备案等经营活动。</w:t>
      </w:r>
    </w:p>
    <w:p>
      <w:pPr>
        <w:pStyle w:val="5"/>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b/>
          <w:bCs/>
          <w:color w:val="auto"/>
          <w:kern w:val="2"/>
          <w:sz w:val="24"/>
          <w:szCs w:val="24"/>
          <w:highlight w:val="none"/>
          <w:u w:val="single"/>
        </w:rPr>
      </w:pPr>
      <w:r>
        <w:rPr>
          <w:rFonts w:hint="eastAsia" w:ascii="宋体" w:hAnsi="宋体" w:eastAsia="宋体" w:cs="宋体"/>
          <w:color w:val="auto"/>
          <w:sz w:val="24"/>
          <w:szCs w:val="24"/>
          <w:highlight w:val="none"/>
        </w:rPr>
        <w:t>（三）落实采购政策需满足的资格要求：无</w:t>
      </w:r>
    </w:p>
    <w:p>
      <w:pPr>
        <w:pageBreakBefore w:val="0"/>
        <w:shd w:val="clear" w:color="auto" w:fill="FFFFFF"/>
        <w:kinsoku/>
        <w:wordWrap/>
        <w:overflowPunct/>
        <w:topLinePunct w:val="0"/>
        <w:autoSpaceDE/>
        <w:autoSpaceDN/>
        <w:bidi w:val="0"/>
        <w:adjustRightInd/>
        <w:snapToGrid/>
        <w:spacing w:line="360" w:lineRule="auto"/>
        <w:ind w:firstLine="482"/>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【特别提醒】</w:t>
      </w:r>
    </w:p>
    <w:p>
      <w:pPr>
        <w:pageBreakBefore w:val="0"/>
        <w:shd w:val="clear" w:color="auto" w:fill="FFFFFF"/>
        <w:kinsoku/>
        <w:wordWrap/>
        <w:overflowPunct/>
        <w:topLinePunct w:val="0"/>
        <w:autoSpaceDE/>
        <w:autoSpaceDN/>
        <w:bidi w:val="0"/>
        <w:adjustRightInd/>
        <w:snapToGrid/>
        <w:spacing w:line="360" w:lineRule="auto"/>
        <w:ind w:firstLine="482"/>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参与本项目竞争性磋商响应的供应商，应依照规定提交各类声明函、承诺函（如涉有），不再同时提供原件备查或提供有关部门出具的相关证明文件，但本项目成交的供应商（以下称成交人），应做好提交声明函、承诺函相应原件的核查准备；核查后发现虚假或违背承诺的，将依照相关法律法规规定处理。</w:t>
      </w:r>
    </w:p>
    <w:p>
      <w:pPr>
        <w:pageBreakBefore w:val="0"/>
        <w:shd w:val="clear" w:color="auto" w:fill="FFFFFF"/>
        <w:kinsoku/>
        <w:wordWrap/>
        <w:overflowPunct/>
        <w:topLinePunct w:val="0"/>
        <w:autoSpaceDE/>
        <w:autoSpaceDN/>
        <w:bidi w:val="0"/>
        <w:adjustRightInd/>
        <w:snapToGrid/>
        <w:spacing w:line="360" w:lineRule="auto"/>
        <w:ind w:firstLine="48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请各供应商认真对照资格条件，如不符合要求的，无意或故意参与磋商响应所产生的一切后果由供应商自行承担，磋商过程中，磋商响应供应商提供的相关证件如为虚假或伪造，或者其他人员持法定代表人或委托代理人的身份证参与磋商，一经发现则取消其磋商资格，并记入不良记录，上报财政部门后将其列入采购单位黑名单，视情公布在相关网站。如已成交，采购单位有权取消其成交资格，并由该供应商承担由此带来可能的一切责任和损失。</w:t>
      </w:r>
    </w:p>
    <w:p>
      <w:pPr>
        <w:pageBreakBefore w:val="0"/>
        <w:shd w:val="clear" w:color="auto" w:fill="FFFFFF"/>
        <w:kinsoku/>
        <w:wordWrap/>
        <w:overflowPunct/>
        <w:topLinePunct w:val="0"/>
        <w:autoSpaceDE/>
        <w:autoSpaceDN/>
        <w:bidi w:val="0"/>
        <w:adjustRightInd/>
        <w:snapToGrid/>
        <w:spacing w:line="360" w:lineRule="auto"/>
        <w:ind w:firstLine="482"/>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kern w:val="0"/>
          <w:sz w:val="24"/>
          <w:szCs w:val="24"/>
          <w:highlight w:val="none"/>
        </w:rPr>
        <w:t>法定代表人为同一个人的两个及两个以上法人，母公司、全资子公司及其控股公司，都不得在同一采购项目相同标段中同时参加磋商响应，一经发现，将视同围标处理。</w:t>
      </w:r>
    </w:p>
    <w:p>
      <w:pPr>
        <w:pStyle w:val="3"/>
        <w:keepNext w:val="0"/>
        <w:keepLines w:val="0"/>
        <w:pageBreakBefore w:val="0"/>
        <w:kinsoku/>
        <w:wordWrap/>
        <w:overflowPunct/>
        <w:topLinePunct w:val="0"/>
        <w:autoSpaceDE/>
        <w:autoSpaceDN/>
        <w:bidi w:val="0"/>
        <w:adjustRightInd/>
        <w:snapToGrid/>
        <w:spacing w:before="0" w:after="0" w:line="360"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w:t>
      </w:r>
    </w:p>
    <w:p>
      <w:pPr>
        <w:pStyle w:val="3"/>
        <w:pageBreakBefore w:val="0"/>
        <w:kinsoku/>
        <w:wordWrap/>
        <w:overflowPunct/>
        <w:topLinePunct w:val="0"/>
        <w:autoSpaceDE/>
        <w:autoSpaceDN/>
        <w:bidi w:val="0"/>
        <w:adjustRightInd/>
        <w:snapToGrid/>
        <w:spacing w:before="0" w:after="0" w:line="360" w:lineRule="auto"/>
        <w:ind w:firstLine="482" w:firstLineChars="200"/>
        <w:jc w:val="both"/>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三、获取采购文件</w:t>
      </w:r>
    </w:p>
    <w:p>
      <w:pPr>
        <w:pageBreakBefore w:val="0"/>
        <w:kinsoku/>
        <w:wordWrap/>
        <w:overflowPunct/>
        <w:topLinePunct w:val="0"/>
        <w:autoSpaceDE/>
        <w:autoSpaceDN/>
        <w:bidi w:val="0"/>
        <w:adjustRightInd/>
        <w:snapToGrid/>
        <w:spacing w:line="360" w:lineRule="auto"/>
        <w:ind w:firstLine="480" w:firstLineChars="200"/>
        <w:jc w:val="both"/>
        <w:textAlignment w:val="baseline"/>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  间：</w:t>
      </w:r>
      <w:r>
        <w:rPr>
          <w:rFonts w:hint="eastAsia" w:ascii="宋体" w:hAnsi="宋体" w:eastAsia="宋体" w:cs="宋体"/>
          <w:color w:val="auto"/>
          <w:sz w:val="24"/>
          <w:szCs w:val="24"/>
          <w:highlight w:val="none"/>
          <w:u w:val="single"/>
        </w:rPr>
        <w:t>自公告发布之日起</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2024</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17</w:t>
      </w:r>
      <w:r>
        <w:rPr>
          <w:rFonts w:hint="eastAsia" w:ascii="宋体" w:hAnsi="宋体" w:eastAsia="宋体" w:cs="宋体"/>
          <w:bCs/>
          <w:color w:val="auto"/>
          <w:sz w:val="24"/>
          <w:szCs w:val="24"/>
          <w:highlight w:val="none"/>
          <w:u w:val="single"/>
        </w:rPr>
        <w:t>日</w:t>
      </w:r>
    </w:p>
    <w:p>
      <w:pPr>
        <w:pageBreakBefore w:val="0"/>
        <w:kinsoku/>
        <w:wordWrap/>
        <w:overflowPunct/>
        <w:topLinePunct w:val="0"/>
        <w:autoSpaceDE/>
        <w:autoSpaceDN/>
        <w:bidi w:val="0"/>
        <w:adjustRightInd/>
        <w:snapToGrid/>
        <w:spacing w:line="360" w:lineRule="auto"/>
        <w:ind w:firstLine="480" w:firstLineChars="200"/>
        <w:jc w:val="both"/>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点：</w:t>
      </w:r>
      <w:r>
        <w:rPr>
          <w:rFonts w:hint="eastAsia" w:ascii="宋体" w:hAnsi="宋体" w:eastAsia="宋体" w:cs="宋体"/>
          <w:color w:val="auto"/>
          <w:sz w:val="24"/>
          <w:szCs w:val="24"/>
          <w:highlight w:val="none"/>
          <w:lang w:eastAsia="zh-CN"/>
        </w:rPr>
        <w:t>南通市机关事务管理局</w:t>
      </w:r>
      <w:r>
        <w:rPr>
          <w:rFonts w:hint="eastAsia" w:ascii="宋体" w:hAnsi="宋体" w:eastAsia="宋体" w:cs="宋体"/>
          <w:color w:val="auto"/>
          <w:sz w:val="24"/>
          <w:szCs w:val="24"/>
          <w:highlight w:val="none"/>
        </w:rPr>
        <w:t>网（http://jgsw.nantong.gov.cn/）</w:t>
      </w:r>
      <w:r>
        <w:rPr>
          <w:rFonts w:hint="eastAsia" w:ascii="宋体" w:hAnsi="宋体" w:eastAsia="宋体" w:cs="宋体"/>
          <w:color w:val="auto"/>
          <w:sz w:val="24"/>
          <w:szCs w:val="24"/>
          <w:highlight w:val="none"/>
          <w:u w:val="single"/>
        </w:rPr>
        <w:t>-“公告公示”栏下载本项目的竞争性磋商文件。</w:t>
      </w:r>
    </w:p>
    <w:p>
      <w:pPr>
        <w:pageBreakBefore w:val="0"/>
        <w:kinsoku/>
        <w:wordWrap/>
        <w:overflowPunct/>
        <w:topLinePunct w:val="0"/>
        <w:autoSpaceDE/>
        <w:autoSpaceDN/>
        <w:bidi w:val="0"/>
        <w:adjustRightInd/>
        <w:snapToGrid/>
        <w:spacing w:line="360" w:lineRule="auto"/>
        <w:ind w:firstLine="480" w:firstLineChars="200"/>
        <w:jc w:val="both"/>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方  式：自行下载。</w:t>
      </w:r>
    </w:p>
    <w:p>
      <w:pPr>
        <w:pageBreakBefore w:val="0"/>
        <w:kinsoku/>
        <w:wordWrap/>
        <w:overflowPunct/>
        <w:topLinePunct w:val="0"/>
        <w:autoSpaceDE/>
        <w:autoSpaceDN/>
        <w:bidi w:val="0"/>
        <w:adjustRightInd/>
        <w:snapToGrid/>
        <w:spacing w:line="360" w:lineRule="auto"/>
        <w:ind w:firstLine="5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  价：每套300元，在递交磋商响应文件的同时提交给采购代理机构。</w:t>
      </w:r>
    </w:p>
    <w:p>
      <w:pPr>
        <w:pStyle w:val="3"/>
        <w:pageBreakBefore w:val="0"/>
        <w:kinsoku/>
        <w:wordWrap/>
        <w:overflowPunct/>
        <w:topLinePunct w:val="0"/>
        <w:autoSpaceDE/>
        <w:autoSpaceDN/>
        <w:bidi w:val="0"/>
        <w:adjustRightInd/>
        <w:snapToGrid/>
        <w:spacing w:before="0" w:after="0" w:line="360" w:lineRule="auto"/>
        <w:ind w:firstLine="482" w:firstLineChars="200"/>
        <w:jc w:val="both"/>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四、响应文件提交</w:t>
      </w:r>
    </w:p>
    <w:p>
      <w:pPr>
        <w:pageBreakBefore w:val="0"/>
        <w:kinsoku/>
        <w:wordWrap/>
        <w:overflowPunct/>
        <w:topLinePunct w:val="0"/>
        <w:autoSpaceDE/>
        <w:autoSpaceDN/>
        <w:bidi w:val="0"/>
        <w:adjustRightInd/>
        <w:snapToGrid/>
        <w:spacing w:line="360" w:lineRule="auto"/>
        <w:ind w:firstLine="482" w:firstLineChars="200"/>
        <w:jc w:val="both"/>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截止时间：</w:t>
      </w:r>
      <w:r>
        <w:rPr>
          <w:rFonts w:hint="eastAsia" w:ascii="宋体" w:hAnsi="宋体" w:eastAsia="宋体" w:cs="宋体"/>
          <w:b/>
          <w:bCs/>
          <w:color w:val="auto"/>
          <w:sz w:val="24"/>
          <w:szCs w:val="24"/>
          <w:highlight w:val="none"/>
          <w:u w:val="single"/>
        </w:rPr>
        <w:t>2024年5月17日14时00分00秒</w:t>
      </w:r>
      <w:r>
        <w:rPr>
          <w:rFonts w:hint="eastAsia" w:ascii="宋体" w:hAnsi="宋体" w:eastAsia="宋体" w:cs="宋体"/>
          <w:b/>
          <w:bCs/>
          <w:color w:val="auto"/>
          <w:sz w:val="24"/>
          <w:szCs w:val="24"/>
          <w:highlight w:val="none"/>
        </w:rPr>
        <w:t>（北京时间）</w:t>
      </w:r>
    </w:p>
    <w:p>
      <w:pPr>
        <w:pageBreakBefore w:val="0"/>
        <w:kinsoku/>
        <w:wordWrap/>
        <w:overflowPunct/>
        <w:topLinePunct w:val="0"/>
        <w:autoSpaceDE/>
        <w:autoSpaceDN/>
        <w:bidi w:val="0"/>
        <w:adjustRightInd/>
        <w:snapToGrid/>
        <w:spacing w:line="360" w:lineRule="auto"/>
        <w:ind w:firstLine="482" w:firstLineChars="200"/>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地点：</w:t>
      </w:r>
      <w:r>
        <w:rPr>
          <w:rFonts w:hint="eastAsia" w:ascii="宋体" w:hAnsi="宋体" w:eastAsia="宋体" w:cs="宋体"/>
          <w:b/>
          <w:bCs/>
          <w:color w:val="auto"/>
          <w:sz w:val="24"/>
          <w:szCs w:val="24"/>
          <w:highlight w:val="none"/>
          <w:u w:val="single"/>
        </w:rPr>
        <w:t>南通市崇川区星城路299号创源科技园3号楼501室</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江苏海审开标室</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color="000000"/>
        </w:rPr>
        <w:t>，如有变动另行通知。</w:t>
      </w:r>
    </w:p>
    <w:p>
      <w:pPr>
        <w:pStyle w:val="3"/>
        <w:pageBreakBefore w:val="0"/>
        <w:kinsoku/>
        <w:wordWrap/>
        <w:overflowPunct/>
        <w:topLinePunct w:val="0"/>
        <w:autoSpaceDE/>
        <w:autoSpaceDN/>
        <w:bidi w:val="0"/>
        <w:adjustRightInd/>
        <w:snapToGrid/>
        <w:spacing w:before="0" w:after="0" w:line="360" w:lineRule="auto"/>
        <w:ind w:firstLine="482" w:firstLineChars="200"/>
        <w:jc w:val="both"/>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五、开启</w:t>
      </w: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同响应文件提交截止时间</w:t>
      </w: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color="000000"/>
          <w:lang w:val="en-US" w:eastAsia="zh-CN"/>
        </w:rPr>
        <w:t>同响应文件提交地点</w:t>
      </w:r>
    </w:p>
    <w:p>
      <w:pPr>
        <w:pStyle w:val="3"/>
        <w:pageBreakBefore w:val="0"/>
        <w:kinsoku/>
        <w:wordWrap/>
        <w:overflowPunct/>
        <w:topLinePunct w:val="0"/>
        <w:autoSpaceDE/>
        <w:autoSpaceDN/>
        <w:bidi w:val="0"/>
        <w:adjustRightInd/>
        <w:snapToGrid/>
        <w:spacing w:before="0" w:after="0" w:line="360" w:lineRule="auto"/>
        <w:ind w:firstLine="482" w:firstLineChars="200"/>
        <w:jc w:val="both"/>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六、公告期限</w:t>
      </w: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p>
    <w:p>
      <w:pPr>
        <w:pStyle w:val="3"/>
        <w:pageBreakBefore w:val="0"/>
        <w:kinsoku/>
        <w:wordWrap/>
        <w:overflowPunct/>
        <w:topLinePunct w:val="0"/>
        <w:autoSpaceDE/>
        <w:autoSpaceDN/>
        <w:bidi w:val="0"/>
        <w:adjustRightInd/>
        <w:snapToGrid/>
        <w:spacing w:before="0" w:after="0" w:line="360" w:lineRule="auto"/>
        <w:ind w:firstLine="482" w:firstLineChars="200"/>
        <w:jc w:val="both"/>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七、其他补充事宜：</w:t>
      </w:r>
    </w:p>
    <w:p>
      <w:pPr>
        <w:pageBreakBefore w:val="0"/>
        <w:numPr>
          <w:ilvl w:val="0"/>
          <w:numId w:val="3"/>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磋商保证金：</w:t>
      </w:r>
      <w:r>
        <w:rPr>
          <w:rFonts w:hint="eastAsia" w:ascii="宋体" w:hAnsi="宋体" w:eastAsia="宋体" w:cs="宋体"/>
          <w:bCs/>
          <w:color w:val="auto"/>
          <w:sz w:val="24"/>
          <w:szCs w:val="24"/>
          <w:highlight w:val="none"/>
        </w:rPr>
        <w:t>无</w:t>
      </w:r>
      <w:r>
        <w:rPr>
          <w:rFonts w:hint="eastAsia" w:ascii="宋体" w:hAnsi="宋体" w:eastAsia="宋体" w:cs="宋体"/>
          <w:color w:val="auto"/>
          <w:kern w:val="0"/>
          <w:sz w:val="24"/>
          <w:szCs w:val="24"/>
          <w:highlight w:val="none"/>
        </w:rPr>
        <w:t>。</w:t>
      </w:r>
    </w:p>
    <w:p>
      <w:pPr>
        <w:pageBreakBefore w:val="0"/>
        <w:numPr>
          <w:ilvl w:val="0"/>
          <w:numId w:val="3"/>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项目磋商活动模式：本项目采用现场磋商模式。</w:t>
      </w:r>
    </w:p>
    <w:p>
      <w:pPr>
        <w:pageBreakBefore w:val="0"/>
        <w:numPr>
          <w:ilvl w:val="0"/>
          <w:numId w:val="3"/>
        </w:numPr>
        <w:kinsoku/>
        <w:wordWrap/>
        <w:overflowPunct/>
        <w:topLinePunct w:val="0"/>
        <w:autoSpaceDE/>
        <w:autoSpaceDN/>
        <w:bidi w:val="0"/>
        <w:adjustRightInd/>
        <w:snapToGrid/>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对项目需求部分（供应商其他资格要求、项目需求、评分标准）的询问、质疑请向采购单位提出，由采购单位负责答复；对项目磋商文件</w:t>
      </w:r>
      <w:r>
        <w:rPr>
          <w:rFonts w:hint="eastAsia" w:ascii="宋体" w:hAnsi="宋体" w:eastAsia="宋体" w:cs="宋体"/>
          <w:color w:val="auto"/>
          <w:kern w:val="0"/>
          <w:sz w:val="24"/>
          <w:szCs w:val="24"/>
          <w:highlight w:val="none"/>
          <w:lang w:eastAsia="zh-CN"/>
        </w:rPr>
        <w:t>其他部分</w:t>
      </w:r>
      <w:r>
        <w:rPr>
          <w:rFonts w:hint="eastAsia" w:ascii="宋体" w:hAnsi="宋体" w:eastAsia="宋体" w:cs="宋体"/>
          <w:color w:val="auto"/>
          <w:kern w:val="0"/>
          <w:sz w:val="24"/>
          <w:szCs w:val="24"/>
          <w:highlight w:val="none"/>
        </w:rPr>
        <w:t>的询问请向代理机构提出。</w:t>
      </w:r>
    </w:p>
    <w:p>
      <w:pPr>
        <w:pStyle w:val="3"/>
        <w:pageBreakBefore w:val="0"/>
        <w:kinsoku/>
        <w:wordWrap/>
        <w:overflowPunct/>
        <w:topLinePunct w:val="0"/>
        <w:autoSpaceDE/>
        <w:autoSpaceDN/>
        <w:bidi w:val="0"/>
        <w:adjustRightInd/>
        <w:snapToGrid/>
        <w:spacing w:before="0" w:after="0" w:line="360" w:lineRule="auto"/>
        <w:ind w:firstLine="482" w:firstLineChars="200"/>
        <w:jc w:val="both"/>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八、凡对本次采购提出询问，请按以下方式联系。</w:t>
      </w:r>
    </w:p>
    <w:p>
      <w:pPr>
        <w:pageBreakBefore w:val="0"/>
        <w:numPr>
          <w:ilvl w:val="0"/>
          <w:numId w:val="4"/>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采购单位信息</w:t>
      </w: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南通市中天房地产开发有限公司</w:t>
      </w: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址：南通市世纪大道6号</w:t>
      </w: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eastAsia="zh-CN"/>
        </w:rPr>
        <w:t>单先生</w:t>
      </w: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13301480158</w:t>
      </w:r>
    </w:p>
    <w:p>
      <w:pPr>
        <w:pageBreakBefore w:val="0"/>
        <w:numPr>
          <w:ilvl w:val="0"/>
          <w:numId w:val="5"/>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采购代理机构信息</w:t>
      </w: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江苏海审工程咨询有限公司</w:t>
      </w: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 xml:space="preserve">南通市崇川区星城路299号创源科技园3号楼501室  </w:t>
      </w: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val="en-US" w:eastAsia="zh-CN"/>
        </w:rPr>
        <w:t>朱一仁</w:t>
      </w: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联系电话：180</w:t>
      </w:r>
      <w:r>
        <w:rPr>
          <w:rFonts w:hint="eastAsia" w:ascii="宋体" w:hAnsi="宋体" w:eastAsia="宋体" w:cs="宋体"/>
          <w:color w:val="auto"/>
          <w:sz w:val="24"/>
          <w:szCs w:val="24"/>
          <w:highlight w:val="none"/>
          <w:lang w:val="en-US" w:eastAsia="zh-CN"/>
        </w:rPr>
        <w:t>68996360</w:t>
      </w:r>
    </w:p>
    <w:p>
      <w:pPr>
        <w:pStyle w:val="17"/>
        <w:pageBreakBefore w:val="0"/>
        <w:kinsoku/>
        <w:wordWrap/>
        <w:overflowPunct/>
        <w:topLinePunct w:val="0"/>
        <w:autoSpaceDE/>
        <w:autoSpaceDN/>
        <w:bidi w:val="0"/>
        <w:adjustRightInd/>
        <w:snapToGrid/>
        <w:spacing w:after="0" w:line="360" w:lineRule="auto"/>
        <w:ind w:firstLine="0" w:firstLineChars="0"/>
        <w:jc w:val="both"/>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二〇二四年</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日</w:t>
      </w:r>
    </w:p>
    <w:p>
      <w:pPr>
        <w:pStyle w:val="17"/>
        <w:rPr>
          <w:rFonts w:hint="eastAsia" w:ascii="宋体" w:hAnsi="宋体" w:eastAsia="宋体" w:cs="宋体"/>
          <w:color w:val="auto"/>
          <w:highlight w:val="none"/>
        </w:rPr>
      </w:pPr>
    </w:p>
    <w:bookmarkEnd w:id="14"/>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before="240" w:line="480" w:lineRule="exact"/>
        <w:ind w:firstLine="707" w:firstLineChars="200"/>
        <w:jc w:val="center"/>
        <w:rPr>
          <w:rFonts w:hint="eastAsia" w:ascii="宋体" w:hAnsi="宋体" w:eastAsia="宋体" w:cs="宋体"/>
          <w:color w:val="auto"/>
          <w:w w:val="80"/>
          <w:highlight w:val="none"/>
        </w:rPr>
      </w:pPr>
      <w:r>
        <w:rPr>
          <w:rFonts w:hint="eastAsia" w:ascii="宋体" w:hAnsi="宋体" w:eastAsia="宋体" w:cs="宋体"/>
          <w:b/>
          <w:bCs/>
          <w:color w:val="auto"/>
          <w:w w:val="80"/>
          <w:sz w:val="44"/>
          <w:szCs w:val="44"/>
          <w:highlight w:val="none"/>
        </w:rPr>
        <w:t>第二章</w:t>
      </w:r>
      <w:bookmarkEnd w:id="17"/>
      <w:bookmarkEnd w:id="18"/>
      <w:bookmarkEnd w:id="19"/>
      <w:bookmarkEnd w:id="20"/>
      <w:bookmarkEnd w:id="21"/>
      <w:bookmarkEnd w:id="22"/>
      <w:bookmarkEnd w:id="23"/>
      <w:bookmarkEnd w:id="24"/>
      <w:bookmarkEnd w:id="25"/>
      <w:bookmarkEnd w:id="26"/>
      <w:r>
        <w:rPr>
          <w:rFonts w:hint="eastAsia" w:ascii="宋体" w:hAnsi="宋体" w:eastAsia="宋体" w:cs="宋体"/>
          <w:b/>
          <w:bCs/>
          <w:color w:val="auto"/>
          <w:w w:val="80"/>
          <w:sz w:val="44"/>
          <w:szCs w:val="44"/>
          <w:highlight w:val="none"/>
        </w:rPr>
        <w:t xml:space="preserve"> 磋商供应商须知</w:t>
      </w:r>
      <w:bookmarkEnd w:id="27"/>
    </w:p>
    <w:p>
      <w:pPr>
        <w:snapToGrid w:val="0"/>
        <w:spacing w:line="480" w:lineRule="exact"/>
        <w:ind w:firstLine="482" w:firstLineChars="200"/>
        <w:outlineLvl w:val="1"/>
        <w:rPr>
          <w:rFonts w:hint="eastAsia" w:ascii="宋体" w:hAnsi="宋体" w:eastAsia="宋体" w:cs="宋体"/>
          <w:b/>
          <w:bCs/>
          <w:color w:val="auto"/>
          <w:sz w:val="24"/>
          <w:szCs w:val="24"/>
          <w:highlight w:val="none"/>
        </w:rPr>
      </w:pPr>
      <w:bookmarkStart w:id="33" w:name="_Toc11554640"/>
      <w:bookmarkStart w:id="34" w:name="_Toc12670504"/>
      <w:bookmarkStart w:id="35" w:name="_Toc11500281"/>
      <w:bookmarkStart w:id="36" w:name="_Toc521203419"/>
      <w:bookmarkStart w:id="37" w:name="_Toc11499585"/>
      <w:bookmarkStart w:id="38" w:name="_Toc94585341"/>
      <w:bookmarkStart w:id="39" w:name="_Toc94544745"/>
      <w:bookmarkStart w:id="40" w:name="_Toc8895740"/>
      <w:bookmarkStart w:id="41" w:name="_Toc94544871"/>
      <w:bookmarkStart w:id="42" w:name="_Toc521201598"/>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1、本竞争性磋商文件仅适用于</w:t>
      </w:r>
      <w:r>
        <w:rPr>
          <w:rFonts w:hint="eastAsia" w:ascii="宋体" w:hAnsi="宋体" w:eastAsia="宋体" w:cs="宋体"/>
          <w:color w:val="auto"/>
          <w:sz w:val="24"/>
          <w:szCs w:val="24"/>
          <w:highlight w:val="none"/>
          <w:lang w:eastAsia="zh-CN"/>
        </w:rPr>
        <w:t>江苏海审工程咨询有限公司</w:t>
      </w:r>
      <w:r>
        <w:rPr>
          <w:rFonts w:hint="eastAsia" w:ascii="宋体" w:hAnsi="宋体" w:eastAsia="宋体" w:cs="宋体"/>
          <w:color w:val="auto"/>
          <w:sz w:val="24"/>
          <w:szCs w:val="24"/>
          <w:highlight w:val="none"/>
        </w:rPr>
        <w:t>组织的竞争性磋商采购活动。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2、竞争性磋商活动及因本次磋商产生的合同受中国法律制约和保护。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3、竞争性磋商文件的解释权属于采购单位。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4、供应商下载磋商文件后，应仔细检查磋商文件的所有内容。如内容中有页码短缺、资格要求以及任何设置有不合理的条件对供应商实行差别待遇或者歧视待遇的，应在磋商文件发布后的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eastAsia="宋体" w:cs="宋体"/>
          <w:b/>
          <w:bCs/>
          <w:color w:val="auto"/>
          <w:sz w:val="24"/>
          <w:szCs w:val="24"/>
          <w:highlight w:val="none"/>
        </w:rPr>
        <w:t>非书面形式的不作为日后质疑提出的依据。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5、供应商应认真审阅磋商文件中所有的事项、格式、条款和规范要求等，如果供应商没有按照磋商文件要求提交响应文件，或者响应文件没有对磋商文件做出实质性响应，将被拒绝参与项目的磋商。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、本磋商文件内所称的“以上”、“以下”、“内”、“以内”，包括本数；所称的“不足”、“少于”，不包括本数。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二、磋商文件的澄清、修改、答疑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1、代理机构有权对发出的磋商文件进行必要的澄清、修改或补充。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2、磋商文件的澄清、修改、补充等内容均以书面明确的形式发布，并以“</w:t>
      </w:r>
      <w:r>
        <w:rPr>
          <w:rFonts w:hint="eastAsia" w:ascii="宋体" w:hAnsi="宋体" w:eastAsia="宋体" w:cs="宋体"/>
          <w:color w:val="auto"/>
          <w:sz w:val="24"/>
          <w:szCs w:val="24"/>
          <w:highlight w:val="none"/>
          <w:lang w:eastAsia="zh-CN"/>
        </w:rPr>
        <w:t>南通市机关事务管理局</w:t>
      </w:r>
      <w:r>
        <w:rPr>
          <w:rFonts w:hint="eastAsia" w:ascii="宋体" w:hAnsi="宋体" w:eastAsia="宋体" w:cs="宋体"/>
          <w:color w:val="auto"/>
          <w:sz w:val="24"/>
          <w:szCs w:val="24"/>
          <w:highlight w:val="none"/>
        </w:rPr>
        <w:t>网（http://jgsw.nantong.gov.cn/）-公告公示”栏发布的信息为准。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3、代理机构对磋商文件的澄清、修改将构成磋商文件的一部分，对响应磋商的供应商具有约束力。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4、澄清或者修改的内容可能影响到响应文件编制的，代理机构将在提交响应文件接收截止之日5日前，发布澄清或者修改公告，不足5日的</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当顺延提交响应文件接收截止时间。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5、除非代理机构以书面的形式对磋商文件作出澄清、修改及补充，供应商对涉及磋商文件的任何推论、理解和结论所造成的结果，均由供应商自负。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6、采购单位视情组织答疑会。如有产生答疑且对磋商文件内容有修改，代理机构将按照本须知有关规定，以补充通知（公告）的方式发出。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三、响应文件的编制及装订</w:t>
      </w:r>
    </w:p>
    <w:p>
      <w:pPr>
        <w:keepNext w:val="0"/>
        <w:keepLines w:val="0"/>
        <w:pageBreakBefore w:val="0"/>
        <w:widowControl w:val="0"/>
        <w:kinsoku/>
        <w:wordWrap/>
        <w:overflowPunct/>
        <w:topLinePunct w:val="0"/>
        <w:autoSpaceDE/>
        <w:autoSpaceDN/>
        <w:bidi w:val="0"/>
        <w:adjustRightInd/>
        <w:snapToGrid/>
        <w:spacing w:line="360" w:lineRule="auto"/>
        <w:ind w:firstLine="487" w:firstLineChars="202"/>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四、响应文件的份数和签署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资格审查文件、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技术响应文件、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商务报价响应文件，共3部分组成（以下由文件序号代称）。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2、响应文件均为壹式叁份，其中“正本”壹份和“副本”贰份。</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3、在每份响应文件上要明确标注项目名称、项目编号、对应的响应文件名称、供应商的全称、日期、“正本”、“副本”字样。“正本”和“副本”若有差异，概以“正本”为准。</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4、供应商可将响应文件正副本统一密封或分别密封，如正本和副本分别密封的，应在封袋上标明正、副本字样。</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5、响应文件中的所有“正本”，其正文内容须按磋商文件要求由供应商法定代表人或委托代理人签字（或盖章）并加盖单位公章。“副本”可复印，但须加盖单位公章。</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五、响应文件的密封及标记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1、供应商须将本项目响应文件：</w:t>
      </w:r>
      <w:r>
        <w:rPr>
          <w:rFonts w:hint="eastAsia" w:ascii="宋体" w:hAnsi="宋体" w:eastAsia="宋体" w:cs="宋体"/>
          <w:b/>
          <w:bCs/>
          <w:color w:val="auto"/>
          <w:sz w:val="24"/>
          <w:szCs w:val="24"/>
          <w:highlight w:val="none"/>
        </w:rPr>
        <w:t>资格审查文件、技术响应文件、商务报价响应文件</w:t>
      </w:r>
      <w:r>
        <w:rPr>
          <w:rFonts w:hint="eastAsia" w:ascii="宋体" w:hAnsi="宋体" w:eastAsia="宋体" w:cs="宋体"/>
          <w:b/>
          <w:color w:val="auto"/>
          <w:sz w:val="24"/>
          <w:szCs w:val="24"/>
          <w:highlight w:val="none"/>
        </w:rPr>
        <w:t>单独密封</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2、密封后，应在每一密封的响应文件上明确标注磋商项目名称、项目编号、响应文件各自对应的名称、供应商的全称及日期。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3、在边缝处加盖供应商公章或骑缝签字。</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6"/>
        <w:jc w:val="both"/>
        <w:outlineLvl w:val="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【特别提醒】</w:t>
      </w:r>
      <w:r>
        <w:rPr>
          <w:rFonts w:hint="eastAsia" w:ascii="宋体" w:hAnsi="宋体" w:eastAsia="宋体" w:cs="宋体"/>
          <w:color w:val="auto"/>
          <w:sz w:val="24"/>
          <w:szCs w:val="24"/>
          <w:highlight w:val="none"/>
        </w:rPr>
        <w:t>响应文件中的</w:t>
      </w:r>
      <w:r>
        <w:rPr>
          <w:rFonts w:hint="eastAsia" w:ascii="宋体" w:hAnsi="宋体" w:eastAsia="宋体" w:cs="宋体"/>
          <w:b/>
          <w:bCs/>
          <w:color w:val="auto"/>
          <w:sz w:val="24"/>
          <w:szCs w:val="24"/>
          <w:highlight w:val="none"/>
        </w:rPr>
        <w:t>资格审查文件、技术响应文件</w:t>
      </w:r>
      <w:r>
        <w:rPr>
          <w:rFonts w:hint="eastAsia" w:ascii="宋体" w:hAnsi="宋体" w:eastAsia="宋体" w:cs="宋体"/>
          <w:color w:val="auto"/>
          <w:sz w:val="24"/>
          <w:szCs w:val="24"/>
          <w:highlight w:val="none"/>
        </w:rPr>
        <w:t>的“正本”或“副本”中，均不得含有商务报价响应文件中的任何项目价格，否则作无效响应处理。</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6"/>
        <w:jc w:val="both"/>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六、磋商报价</w:t>
      </w:r>
    </w:p>
    <w:p>
      <w:pPr>
        <w:keepNext w:val="0"/>
        <w:keepLines w:val="0"/>
        <w:pageBreakBefore w:val="0"/>
        <w:widowControl w:val="0"/>
        <w:kinsoku/>
        <w:wordWrap/>
        <w:overflowPunct/>
        <w:topLinePunct w:val="0"/>
        <w:autoSpaceDE/>
        <w:autoSpaceDN/>
        <w:bidi w:val="0"/>
        <w:adjustRightInd/>
        <w:snapToGrid/>
        <w:spacing w:line="360" w:lineRule="auto"/>
        <w:ind w:firstLine="494" w:firstLineChars="20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1、本项目不接受任何有选择的报价。</w:t>
      </w:r>
    </w:p>
    <w:p>
      <w:pPr>
        <w:keepNext w:val="0"/>
        <w:keepLines w:val="0"/>
        <w:pageBreakBefore w:val="0"/>
        <w:widowControl w:val="0"/>
        <w:kinsoku/>
        <w:wordWrap/>
        <w:overflowPunct/>
        <w:topLinePunct w:val="0"/>
        <w:autoSpaceDE/>
        <w:autoSpaceDN/>
        <w:bidi w:val="0"/>
        <w:adjustRightInd/>
        <w:snapToGrid/>
        <w:spacing w:line="360" w:lineRule="auto"/>
        <w:ind w:firstLine="494" w:firstLineChars="20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2、磋商报价均以人民币为报价的币种。</w:t>
      </w:r>
    </w:p>
    <w:p>
      <w:pPr>
        <w:keepNext w:val="0"/>
        <w:keepLines w:val="0"/>
        <w:pageBreakBefore w:val="0"/>
        <w:widowControl w:val="0"/>
        <w:kinsoku/>
        <w:wordWrap/>
        <w:overflowPunct/>
        <w:topLinePunct w:val="0"/>
        <w:autoSpaceDE/>
        <w:autoSpaceDN/>
        <w:bidi w:val="0"/>
        <w:adjustRightInd/>
        <w:snapToGrid/>
        <w:spacing w:line="360" w:lineRule="auto"/>
        <w:ind w:firstLine="494" w:firstLineChars="20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3、磋商报价表必须加盖单位公章且必须经法定代表人或委托代理人签字或 盖章。报价表中的报价出现前后不一致的，将参照财政部第 87 号令《政府采购货物和服务招标投标管理办法》第59条的规定修正：</w:t>
      </w:r>
    </w:p>
    <w:p>
      <w:pPr>
        <w:keepNext w:val="0"/>
        <w:keepLines w:val="0"/>
        <w:pageBreakBefore w:val="0"/>
        <w:widowControl w:val="0"/>
        <w:kinsoku/>
        <w:wordWrap/>
        <w:overflowPunct/>
        <w:topLinePunct w:val="0"/>
        <w:autoSpaceDE/>
        <w:autoSpaceDN/>
        <w:bidi w:val="0"/>
        <w:adjustRightInd/>
        <w:snapToGrid/>
        <w:spacing w:line="360" w:lineRule="auto"/>
        <w:ind w:firstLine="494" w:firstLineChars="20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3.1开标一览表内容与磋商响应文件中相应内容不一致的，以开标一览表为准；</w:t>
      </w:r>
    </w:p>
    <w:p>
      <w:pPr>
        <w:keepNext w:val="0"/>
        <w:keepLines w:val="0"/>
        <w:pageBreakBefore w:val="0"/>
        <w:widowControl w:val="0"/>
        <w:kinsoku/>
        <w:wordWrap/>
        <w:overflowPunct/>
        <w:topLinePunct w:val="0"/>
        <w:autoSpaceDE/>
        <w:autoSpaceDN/>
        <w:bidi w:val="0"/>
        <w:adjustRightInd/>
        <w:snapToGrid/>
        <w:spacing w:line="360" w:lineRule="auto"/>
        <w:ind w:firstLine="494" w:firstLineChars="20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94" w:firstLineChars="20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94" w:firstLineChars="20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94" w:firstLineChars="20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w:t>
      </w:r>
      <w:r>
        <w:rPr>
          <w:rFonts w:hint="eastAsia" w:ascii="宋体" w:hAnsi="宋体" w:eastAsia="宋体" w:cs="宋体"/>
          <w:color w:val="auto"/>
          <w:sz w:val="24"/>
          <w:szCs w:val="24"/>
          <w:highlight w:val="none"/>
          <w:lang w:eastAsia="zh-CN"/>
        </w:rPr>
        <w:t>不一</w:t>
      </w:r>
      <w:r>
        <w:rPr>
          <w:rFonts w:hint="eastAsia" w:ascii="宋体" w:hAnsi="宋体" w:eastAsia="宋体" w:cs="宋体"/>
          <w:color w:val="auto"/>
          <w:sz w:val="24"/>
          <w:szCs w:val="24"/>
          <w:highlight w:val="none"/>
        </w:rPr>
        <w:t>致的，按照前款规定的顺序修正。修正后的报价按照本办法第五十一条第二款的规定经供应商确认后产生约束力，供应商不确认的，其响应无效。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4、本工程采用固定单价报价的方式</w:t>
      </w:r>
      <w:r>
        <w:rPr>
          <w:rFonts w:hint="eastAsia" w:ascii="宋体" w:hAnsi="宋体" w:eastAsia="宋体" w:cs="宋体"/>
          <w:bCs/>
          <w:color w:val="auto"/>
          <w:sz w:val="24"/>
          <w:szCs w:val="24"/>
          <w:highlight w:val="none"/>
        </w:rPr>
        <w:t>。一旦成交，除本磋商文件约定的可调整事项外，</w:t>
      </w:r>
      <w:r>
        <w:rPr>
          <w:rFonts w:hint="eastAsia" w:ascii="宋体" w:hAnsi="宋体" w:eastAsia="宋体" w:cs="宋体"/>
          <w:color w:val="auto"/>
          <w:sz w:val="24"/>
          <w:szCs w:val="24"/>
          <w:highlight w:val="none"/>
        </w:rPr>
        <w:t>其余均不调整。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5、本工程所有以“项”计入造价，一次性包定，竣工结算时不作任何调整。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r>
        <w:rPr>
          <w:rFonts w:hint="eastAsia" w:ascii="宋体" w:hAnsi="宋体" w:eastAsia="宋体" w:cs="宋体"/>
          <w:bCs/>
          <w:snapToGrid w:val="0"/>
          <w:color w:val="auto"/>
          <w:kern w:val="0"/>
          <w:sz w:val="24"/>
          <w:szCs w:val="24"/>
          <w:highlight w:val="none"/>
        </w:rPr>
        <w:t>本次磋商项目的报价采用两轮报价，首次报价不得超过项目预算金额。除非在磋商中磋商小组对采购单位需求内容作了调整增加，或对采购内容</w:t>
      </w:r>
      <w:r>
        <w:rPr>
          <w:rFonts w:hint="eastAsia" w:ascii="宋体" w:hAnsi="宋体" w:eastAsia="宋体" w:cs="宋体"/>
          <w:bCs/>
          <w:snapToGrid w:val="0"/>
          <w:color w:val="auto"/>
          <w:kern w:val="0"/>
          <w:sz w:val="24"/>
          <w:szCs w:val="24"/>
          <w:highlight w:val="none"/>
          <w:lang w:eastAsia="zh-CN"/>
        </w:rPr>
        <w:t>做了实质性</w:t>
      </w:r>
      <w:r>
        <w:rPr>
          <w:rFonts w:hint="eastAsia" w:ascii="宋体" w:hAnsi="宋体" w:eastAsia="宋体" w:cs="宋体"/>
          <w:bCs/>
          <w:snapToGrid w:val="0"/>
          <w:color w:val="auto"/>
          <w:kern w:val="0"/>
          <w:sz w:val="24"/>
          <w:szCs w:val="24"/>
          <w:highlight w:val="none"/>
        </w:rPr>
        <w:t>变更，否则采购单位不接受供应商高于自己前一轮的磋商报价，并作无效报价处理。最终报价将作为磋商小组评定成交供应商的依据。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z w:val="24"/>
          <w:szCs w:val="24"/>
          <w:highlight w:val="none"/>
        </w:rPr>
        <w:t>8、</w:t>
      </w:r>
      <w:r>
        <w:rPr>
          <w:rFonts w:hint="eastAsia" w:ascii="宋体" w:hAnsi="宋体" w:eastAsia="宋体" w:cs="宋体"/>
          <w:snapToGrid w:val="0"/>
          <w:color w:val="auto"/>
          <w:kern w:val="0"/>
          <w:sz w:val="24"/>
          <w:szCs w:val="24"/>
          <w:highlight w:val="none"/>
        </w:rPr>
        <w:t>成交供应商的报价包含了采购单位现有场地条件下，整个工程施工完成，并验收合格且交付前的所有费用，成交后须按相关规范及采购单位要求进行施工。</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both"/>
        <w:outlineLvl w:val="1"/>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9、各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snapToGrid w:val="0"/>
          <w:color w:val="auto"/>
          <w:kern w:val="0"/>
          <w:sz w:val="24"/>
          <w:szCs w:val="24"/>
          <w:highlight w:val="none"/>
        </w:rPr>
        <w:t xml:space="preserve">请各供应商充分考虑周边场地情况，不得以任何要求增加费用，各供应商应提前踏勘现场，自行考虑交通、材料堆放等困难产生的费用，结算时不作调整。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成交单位的</w:t>
      </w:r>
      <w:r>
        <w:rPr>
          <w:rFonts w:hint="eastAsia" w:ascii="宋体" w:hAnsi="宋体" w:eastAsia="宋体" w:cs="宋体"/>
          <w:color w:val="auto"/>
          <w:sz w:val="24"/>
          <w:szCs w:val="24"/>
          <w:highlight w:val="none"/>
        </w:rPr>
        <w:t>最终总报</w:t>
      </w:r>
      <w:r>
        <w:rPr>
          <w:rFonts w:hint="eastAsia" w:ascii="宋体" w:hAnsi="宋体" w:eastAsia="宋体" w:cs="宋体"/>
          <w:snapToGrid w:val="0"/>
          <w:color w:val="auto"/>
          <w:kern w:val="0"/>
          <w:sz w:val="24"/>
          <w:szCs w:val="24"/>
          <w:highlight w:val="none"/>
        </w:rPr>
        <w:t>价作为成交价。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12、最低的磋商报价是成交的重要条件，但不是成交的唯一条件。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13、其他报价要求详见项目需求和</w:t>
      </w:r>
      <w:r>
        <w:rPr>
          <w:rFonts w:hint="eastAsia" w:ascii="宋体" w:hAnsi="宋体" w:eastAsia="宋体" w:cs="宋体"/>
          <w:snapToGrid w:val="0"/>
          <w:color w:val="auto"/>
          <w:kern w:val="0"/>
          <w:sz w:val="24"/>
          <w:szCs w:val="24"/>
          <w:highlight w:val="none"/>
          <w:lang w:val="en-US" w:eastAsia="zh-CN"/>
        </w:rPr>
        <w:t>工程量</w:t>
      </w:r>
      <w:r>
        <w:rPr>
          <w:rFonts w:hint="eastAsia" w:ascii="宋体" w:hAnsi="宋体" w:eastAsia="宋体" w:cs="宋体"/>
          <w:snapToGrid w:val="0"/>
          <w:color w:val="auto"/>
          <w:kern w:val="0"/>
          <w:sz w:val="24"/>
          <w:szCs w:val="24"/>
          <w:highlight w:val="none"/>
        </w:rPr>
        <w:t>清单。</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6"/>
        <w:jc w:val="both"/>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七、联合体参与磋商</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both"/>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不接受任何形式的联合体参与本项目的竞争性磋商。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outlineLvl w:val="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八、响应文件及</w:t>
      </w:r>
      <w:r>
        <w:rPr>
          <w:rFonts w:hint="eastAsia" w:ascii="宋体" w:hAnsi="宋体" w:eastAsia="宋体" w:cs="宋体"/>
          <w:b/>
          <w:bCs/>
          <w:color w:val="auto"/>
          <w:kern w:val="0"/>
          <w:sz w:val="24"/>
          <w:szCs w:val="24"/>
          <w:highlight w:val="none"/>
        </w:rPr>
        <w:t>磋商</w:t>
      </w:r>
      <w:r>
        <w:rPr>
          <w:rFonts w:hint="eastAsia" w:ascii="宋体" w:hAnsi="宋体" w:eastAsia="宋体" w:cs="宋体"/>
          <w:b/>
          <w:bCs/>
          <w:color w:val="auto"/>
          <w:sz w:val="24"/>
          <w:szCs w:val="24"/>
          <w:highlight w:val="none"/>
        </w:rPr>
        <w:t>费用</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both"/>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snapToGrid w:val="0"/>
          <w:color w:val="auto"/>
          <w:sz w:val="24"/>
          <w:szCs w:val="24"/>
          <w:highlight w:val="none"/>
        </w:rPr>
        <w:t>各供应商须在递交磋商响应文件的同时缴纳磋商文件资料费300元。</w:t>
      </w:r>
      <w:r>
        <w:rPr>
          <w:rFonts w:hint="eastAsia" w:ascii="宋体" w:hAnsi="宋体" w:eastAsia="宋体" w:cs="宋体"/>
          <w:color w:val="auto"/>
          <w:sz w:val="24"/>
          <w:szCs w:val="24"/>
          <w:highlight w:val="none"/>
        </w:rPr>
        <w:t>无论结果如何，该费用概不退回。该费用须与磋商响应文件同时递交，否则其文件将被拒绝接受。</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both"/>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2、本项目招标代理费1600元，供应商须在报价中综合考虑（不得单列），成交人在领取成交通知书时一次性支付给采购代理机构。</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both"/>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、磋商程序顺利进行后，除供应商的原件可退回外，其余所有的响应文件都将作为档案保存，不论成交与否，采购代理机构均不退回（未拆封的除外）。</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jc w:val="both"/>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九、履约保证金</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both"/>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1、本项目成交后的履约保证金为项目成交价的10%。</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both"/>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2、成交供应商的履约保证金须在采购代理机构通知发成交通知书之日起3个工作日内汇入采购单位账户，成交供应商凭“成交通知书”和已经汇至采购单位账上的“履约保证金”凭证，并在采购代理机构</w:t>
      </w:r>
      <w:r>
        <w:rPr>
          <w:rFonts w:hint="eastAsia" w:ascii="宋体" w:hAnsi="宋体" w:eastAsia="宋体" w:cs="宋体"/>
          <w:color w:val="auto"/>
          <w:sz w:val="24"/>
          <w:szCs w:val="24"/>
          <w:highlight w:val="none"/>
          <w:lang w:eastAsia="zh-CN"/>
        </w:rPr>
        <w:t>发出</w:t>
      </w:r>
      <w:r>
        <w:rPr>
          <w:rFonts w:hint="eastAsia" w:ascii="宋体" w:hAnsi="宋体" w:eastAsia="宋体" w:cs="宋体"/>
          <w:color w:val="auto"/>
          <w:sz w:val="24"/>
          <w:szCs w:val="24"/>
          <w:highlight w:val="none"/>
        </w:rPr>
        <w:t>成交通知书之日起30日内与采购单位签订合同。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3、成交供应商在按要求保质保量</w:t>
      </w:r>
      <w:r>
        <w:rPr>
          <w:rFonts w:hint="eastAsia" w:ascii="宋体" w:hAnsi="宋体" w:eastAsia="宋体" w:cs="宋体"/>
          <w:color w:val="auto"/>
          <w:sz w:val="24"/>
          <w:szCs w:val="24"/>
          <w:highlight w:val="none"/>
          <w:lang w:eastAsia="zh-CN"/>
        </w:rPr>
        <w:t>地</w:t>
      </w:r>
      <w:r>
        <w:rPr>
          <w:rFonts w:hint="eastAsia" w:ascii="宋体" w:hAnsi="宋体" w:eastAsia="宋体" w:cs="宋体"/>
          <w:color w:val="auto"/>
          <w:sz w:val="24"/>
          <w:szCs w:val="24"/>
          <w:highlight w:val="none"/>
        </w:rPr>
        <w:t>完成该项目合同并通过验收后，采购单位凭成交供应商提交的申请，一次性无息退还该合同项目的履约保证金。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4、由于成交供应商原因，在签订合同后出现不按合同履行的情况，采购单位有权将履约保证金作为违约金，全额不予退还，同时采购单位亦有权终止合同，成交供应商还须承担相应的法律赔偿责任。</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6"/>
        <w:jc w:val="both"/>
        <w:textAlignment w:val="baseline"/>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bCs/>
          <w:color w:val="auto"/>
          <w:sz w:val="24"/>
          <w:szCs w:val="24"/>
          <w:highlight w:val="none"/>
        </w:rPr>
        <w:t>十、</w:t>
      </w:r>
      <w:r>
        <w:rPr>
          <w:rFonts w:hint="eastAsia" w:ascii="宋体" w:hAnsi="宋体" w:eastAsia="宋体" w:cs="宋体"/>
          <w:b/>
          <w:snapToGrid w:val="0"/>
          <w:color w:val="auto"/>
          <w:kern w:val="0"/>
          <w:sz w:val="24"/>
          <w:szCs w:val="24"/>
          <w:highlight w:val="none"/>
        </w:rPr>
        <w:t>付款方式</w:t>
      </w:r>
      <w:r>
        <w:rPr>
          <w:rFonts w:hint="eastAsia" w:ascii="宋体" w:hAnsi="宋体" w:eastAsia="宋体" w:cs="宋体"/>
          <w:b/>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lang w:val="en-US" w:eastAsia="zh-CN"/>
        </w:rPr>
        <w:t>详见合同。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十一、未尽事宜</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both"/>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参照《中华人民共和国政府采购法》、《政府采</w:t>
      </w:r>
      <w:bookmarkStart w:id="43" w:name="_Toc363573855"/>
      <w:r>
        <w:rPr>
          <w:rFonts w:hint="eastAsia" w:ascii="宋体" w:hAnsi="宋体" w:eastAsia="宋体" w:cs="宋体"/>
          <w:color w:val="auto"/>
          <w:sz w:val="24"/>
          <w:szCs w:val="24"/>
          <w:highlight w:val="none"/>
        </w:rPr>
        <w:t>购竞争性磋商采购方式管理暂行办法》及其他有关法律法规的规定执行。</w:t>
      </w:r>
    </w:p>
    <w:p>
      <w:pPr>
        <w:pStyle w:val="17"/>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33"/>
    <w:bookmarkEnd w:id="34"/>
    <w:bookmarkEnd w:id="35"/>
    <w:bookmarkEnd w:id="36"/>
    <w:bookmarkEnd w:id="37"/>
    <w:bookmarkEnd w:id="38"/>
    <w:bookmarkEnd w:id="39"/>
    <w:bookmarkEnd w:id="40"/>
    <w:bookmarkEnd w:id="41"/>
    <w:bookmarkEnd w:id="42"/>
    <w:bookmarkEnd w:id="43"/>
    <w:p>
      <w:pPr>
        <w:numPr>
          <w:ilvl w:val="0"/>
          <w:numId w:val="6"/>
        </w:numPr>
        <w:tabs>
          <w:tab w:val="left" w:pos="1050"/>
          <w:tab w:val="right" w:leader="dot" w:pos="9402"/>
        </w:tabs>
        <w:snapToGrid w:val="0"/>
        <w:spacing w:line="360" w:lineRule="auto"/>
        <w:jc w:val="center"/>
        <w:outlineLvl w:val="0"/>
        <w:rPr>
          <w:rFonts w:hint="eastAsia" w:ascii="宋体" w:hAnsi="宋体" w:eastAsia="宋体" w:cs="宋体"/>
          <w:b/>
          <w:bCs/>
          <w:color w:val="auto"/>
          <w:w w:val="80"/>
          <w:sz w:val="44"/>
          <w:szCs w:val="44"/>
          <w:highlight w:val="none"/>
        </w:rPr>
      </w:pPr>
      <w:bookmarkStart w:id="44" w:name="_Toc8895741"/>
      <w:bookmarkStart w:id="45" w:name="_Toc12670505"/>
      <w:bookmarkStart w:id="46" w:name="_Toc94544872"/>
      <w:bookmarkStart w:id="47" w:name="_Toc13803483"/>
      <w:bookmarkStart w:id="48" w:name="_Toc11554641"/>
      <w:bookmarkStart w:id="49" w:name="_Toc94544746"/>
      <w:bookmarkStart w:id="50" w:name="_Toc11500282"/>
      <w:bookmarkStart w:id="51" w:name="_Toc521203420"/>
      <w:bookmarkStart w:id="52" w:name="_Toc94585342"/>
      <w:bookmarkStart w:id="53" w:name="_Toc11499586"/>
      <w:bookmarkStart w:id="54" w:name="_Toc521201599"/>
      <w:bookmarkStart w:id="55" w:name="_Toc363573856"/>
      <w:r>
        <w:rPr>
          <w:rFonts w:hint="eastAsia" w:ascii="宋体" w:hAnsi="宋体" w:eastAsia="宋体" w:cs="宋体"/>
          <w:b/>
          <w:bCs/>
          <w:color w:val="auto"/>
          <w:w w:val="80"/>
          <w:sz w:val="44"/>
          <w:szCs w:val="44"/>
          <w:highlight w:val="none"/>
        </w:rPr>
        <w:t>项目需求</w:t>
      </w:r>
    </w:p>
    <w:p>
      <w:pPr>
        <w:numPr>
          <w:ilvl w:val="0"/>
          <w:numId w:val="0"/>
        </w:numPr>
        <w:snapToGrid w:val="0"/>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1、</w:t>
      </w:r>
      <w:r>
        <w:rPr>
          <w:rFonts w:hint="eastAsia" w:ascii="宋体" w:hAnsi="宋体" w:eastAsia="宋体" w:cs="宋体"/>
          <w:bCs/>
          <w:snapToGrid w:val="0"/>
          <w:color w:val="auto"/>
          <w:kern w:val="0"/>
          <w:sz w:val="24"/>
          <w:szCs w:val="24"/>
          <w:highlight w:val="none"/>
        </w:rPr>
        <w:t>本项目为南通市新城小区66号附2号楼加装电梯及配套设施施工项目</w:t>
      </w:r>
      <w:bookmarkStart w:id="56" w:name="_Hlk139461749"/>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val="en-US" w:eastAsia="zh-CN"/>
        </w:rPr>
        <w:t>项目地点：南通市世纪大道56号新城小区</w:t>
      </w:r>
      <w:r>
        <w:rPr>
          <w:rFonts w:hint="eastAsia" w:ascii="宋体" w:hAnsi="宋体" w:eastAsia="宋体" w:cs="宋体"/>
          <w:bCs/>
          <w:snapToGrid w:val="0"/>
          <w:color w:val="auto"/>
          <w:kern w:val="0"/>
          <w:sz w:val="24"/>
          <w:szCs w:val="24"/>
          <w:highlight w:val="none"/>
        </w:rPr>
        <w:t>；施工范围详见工程量清单和磋商文件。</w:t>
      </w:r>
    </w:p>
    <w:p>
      <w:pPr>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bookmarkStart w:id="57" w:name="_Hlk139461845"/>
      <w:r>
        <w:rPr>
          <w:rFonts w:hint="eastAsia" w:ascii="宋体" w:hAnsi="宋体" w:eastAsia="宋体" w:cs="宋体"/>
          <w:bCs/>
          <w:snapToGrid w:val="0"/>
          <w:color w:val="auto"/>
          <w:kern w:val="0"/>
          <w:sz w:val="24"/>
          <w:szCs w:val="24"/>
          <w:highlight w:val="none"/>
        </w:rPr>
        <w:t>本项目为固定单价合同。供应商应充分考虑本项目合同实施期间可能发生的费用，并承担由此而带来的风险（包含材料价格涨跌和人工工资调整）</w:t>
      </w:r>
      <w:bookmarkEnd w:id="57"/>
      <w:r>
        <w:rPr>
          <w:rFonts w:hint="eastAsia" w:ascii="宋体" w:hAnsi="宋体" w:eastAsia="宋体" w:cs="宋体"/>
          <w:bCs/>
          <w:snapToGrid w:val="0"/>
          <w:color w:val="auto"/>
          <w:kern w:val="0"/>
          <w:sz w:val="24"/>
          <w:szCs w:val="24"/>
          <w:highlight w:val="none"/>
        </w:rPr>
        <w:t>。</w:t>
      </w:r>
    </w:p>
    <w:p>
      <w:pPr>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rPr>
        <w:t>3、</w:t>
      </w:r>
      <w:bookmarkStart w:id="58" w:name="_Hlk139462060"/>
      <w:r>
        <w:rPr>
          <w:rFonts w:hint="eastAsia" w:ascii="宋体" w:hAnsi="宋体" w:eastAsia="宋体" w:cs="宋体"/>
          <w:bCs/>
          <w:snapToGrid w:val="0"/>
          <w:color w:val="auto"/>
          <w:kern w:val="0"/>
          <w:sz w:val="24"/>
          <w:szCs w:val="24"/>
          <w:highlight w:val="none"/>
        </w:rPr>
        <w:t>各供应商在编制报价时须用预算软件编制。在报价时应认真阅读并充分理解磋商文件所有内容（含施工合同）后进行响应文件的编制，如有疑问请在规定时间内提出，如无异议，则视为认可，竣工结算时除磋商文件约定调整的内容外，其余均不调整。</w:t>
      </w:r>
      <w:bookmarkEnd w:id="58"/>
    </w:p>
    <w:p>
      <w:pPr>
        <w:numPr>
          <w:ilvl w:val="0"/>
          <w:numId w:val="0"/>
        </w:numPr>
        <w:snapToGrid w:val="0"/>
        <w:spacing w:line="360" w:lineRule="auto"/>
        <w:ind w:firstLine="480"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4、控制价（最高限价）编制依据：</w:t>
      </w:r>
    </w:p>
    <w:p>
      <w:pPr>
        <w:numPr>
          <w:ilvl w:val="0"/>
          <w:numId w:val="0"/>
        </w:numPr>
        <w:snapToGrid w:val="0"/>
        <w:spacing w:line="360" w:lineRule="auto"/>
        <w:ind w:firstLine="480"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4.1本工程磋商文件、施工图纸及现有的设计变更、图纸审查意见及回复、答疑（如有）等有关技术资料。</w:t>
      </w:r>
    </w:p>
    <w:p>
      <w:pPr>
        <w:numPr>
          <w:ilvl w:val="0"/>
          <w:numId w:val="0"/>
        </w:numPr>
        <w:snapToGrid w:val="0"/>
        <w:spacing w:line="360" w:lineRule="auto"/>
        <w:ind w:firstLine="480"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4.2 《建设工程工程量清单计价规范》（GB 50500-2013）、《安装工程工程量计算规范》（GB50856-2013）、《江苏省安装工程计价定额》（2014版）、《江苏省建筑与装饰工程计价定额》（2014版）、《省住房城乡建设厅关于建筑业实施营改增后江苏省建设工程计价依据调整的通知》苏建价【2016】154号、《省住房城乡建设厅关于建筑业增值税计价政策调整的通知》苏建函价〔2018〕298 号、苏建函价〔2019〕178号文以及相应补充规定和现行江苏省、南通市有关规定。</w:t>
      </w:r>
    </w:p>
    <w:p>
      <w:pPr>
        <w:numPr>
          <w:ilvl w:val="0"/>
          <w:numId w:val="0"/>
        </w:numPr>
        <w:snapToGrid w:val="0"/>
        <w:spacing w:line="360" w:lineRule="auto"/>
        <w:ind w:firstLine="480"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4.3人工工资执行《省住房和城乡建设厅关于发布2024年上半年建设工程人工工资指导价的通知》（苏建函价〔2024〕83号），材料价格参考《南通建设工程造价信息》2024年第5期，缺项材料市场询价。</w:t>
      </w:r>
    </w:p>
    <w:p>
      <w:pPr>
        <w:numPr>
          <w:ilvl w:val="0"/>
          <w:numId w:val="0"/>
        </w:numPr>
        <w:snapToGrid w:val="0"/>
        <w:spacing w:line="360" w:lineRule="auto"/>
        <w:ind w:firstLine="480"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4.4本工程采用一般计税方法，具体按《省住房和城乡建设厅关于建筑业实施营改增后江苏省建设工程计价依据调整的通知》(苏建价[2016]154号)、《省住房城乡建设厅关于调整建设工程计价增值税税率的通知》苏建函价〔2019〕178号文相关要求执行。</w:t>
      </w:r>
    </w:p>
    <w:p>
      <w:pPr>
        <w:numPr>
          <w:ilvl w:val="0"/>
          <w:numId w:val="0"/>
        </w:num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snapToGrid w:val="0"/>
          <w:color w:val="auto"/>
          <w:kern w:val="0"/>
          <w:sz w:val="24"/>
          <w:szCs w:val="24"/>
          <w:highlight w:val="none"/>
          <w:lang w:val="en-US" w:eastAsia="zh-CN"/>
        </w:rPr>
        <w:t>4.5本工程不可竞争费用项目及其费率见下表：</w:t>
      </w:r>
      <w:r>
        <w:rPr>
          <w:rFonts w:hint="eastAsia" w:ascii="宋体" w:hAnsi="宋体" w:eastAsia="宋体" w:cs="宋体"/>
          <w:bCs/>
          <w:color w:val="auto"/>
          <w:sz w:val="24"/>
          <w:szCs w:val="24"/>
          <w:highlight w:val="none"/>
        </w:rPr>
        <w:t xml:space="preserve"> </w:t>
      </w:r>
    </w:p>
    <w:tbl>
      <w:tblPr>
        <w:tblStyle w:val="18"/>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614"/>
        <w:gridCol w:w="2190"/>
        <w:gridCol w:w="1800"/>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blHeader/>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费用类别</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计费基数</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安装（%）</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1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 费</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环境保护税</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A+B+C-D</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blHeader/>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1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480" w:firstLineChars="200"/>
              <w:jc w:val="center"/>
              <w:textAlignment w:val="auto"/>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社会保</w:t>
            </w:r>
            <w:r>
              <w:rPr>
                <w:rFonts w:hint="eastAsia" w:ascii="宋体" w:hAnsi="宋体" w:eastAsia="宋体" w:cs="宋体"/>
                <w:color w:val="auto"/>
                <w:sz w:val="24"/>
                <w:szCs w:val="24"/>
                <w:highlight w:val="none"/>
                <w:lang w:val="en-US" w:eastAsia="zh-CN"/>
              </w:rPr>
              <w:t>险</w:t>
            </w:r>
            <w:r>
              <w:rPr>
                <w:rFonts w:hint="eastAsia" w:ascii="宋体" w:hAnsi="宋体" w:eastAsia="宋体" w:cs="宋体"/>
                <w:color w:val="auto"/>
                <w:sz w:val="24"/>
                <w:szCs w:val="24"/>
                <w:highlight w:val="none"/>
              </w:rPr>
              <w:t>费</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A+B+C-D</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blHeader/>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1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480" w:firstLineChars="200"/>
              <w:jc w:val="center"/>
              <w:textAlignment w:val="auto"/>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住房公积金</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A+B+C-D</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0.42</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1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现场安全文明施工措施费</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基本费</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A+E-D</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1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480" w:firstLineChars="200"/>
              <w:jc w:val="center"/>
              <w:textAlignment w:val="auto"/>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标化增加费</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A+E-D</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blHeader/>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1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480" w:firstLineChars="200"/>
              <w:jc w:val="center"/>
              <w:textAlignment w:val="auto"/>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扬尘污染防治增加费</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A+E-D</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0.21</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  金</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   金</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税前造价</w:t>
            </w:r>
          </w:p>
        </w:tc>
        <w:tc>
          <w:tcPr>
            <w:tcW w:w="27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1）计算基础：A为分部分项工程费，B为措施项目清单费用，C其它项目费，D为除税工程设备费，E为单价措施项目费。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现场安全文明施工措施费率为暂定</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最终以相关部门核定为准，否则在总价中扣除。</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不可竞争费</w:t>
      </w:r>
      <w:r>
        <w:rPr>
          <w:rFonts w:hint="eastAsia" w:ascii="宋体" w:hAnsi="宋体" w:eastAsia="宋体" w:cs="宋体"/>
          <w:bCs/>
          <w:color w:val="auto"/>
          <w:sz w:val="24"/>
          <w:szCs w:val="24"/>
          <w:highlight w:val="none"/>
          <w:lang w:val="en-US" w:eastAsia="zh-CN"/>
        </w:rPr>
        <w:t>费率</w:t>
      </w:r>
      <w:r>
        <w:rPr>
          <w:rFonts w:hint="eastAsia" w:ascii="宋体" w:hAnsi="宋体" w:eastAsia="宋体" w:cs="宋体"/>
          <w:bCs/>
          <w:color w:val="auto"/>
          <w:sz w:val="24"/>
          <w:szCs w:val="24"/>
          <w:highlight w:val="none"/>
        </w:rPr>
        <w:t>以网上发布的13jz格式文件为准。</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其他有关费率以控制价文件为准。</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暂列金额</w:t>
      </w:r>
      <w:r>
        <w:rPr>
          <w:rFonts w:hint="eastAsia" w:ascii="宋体" w:hAnsi="宋体" w:eastAsia="宋体" w:cs="宋体"/>
          <w:bCs/>
          <w:color w:val="auto"/>
          <w:sz w:val="24"/>
          <w:szCs w:val="24"/>
          <w:highlight w:val="none"/>
          <w:u w:val="single"/>
          <w:lang w:val="en-US" w:eastAsia="zh-CN"/>
        </w:rPr>
        <w:t>25000</w:t>
      </w:r>
      <w:r>
        <w:rPr>
          <w:rFonts w:hint="eastAsia" w:ascii="宋体" w:hAnsi="宋体" w:eastAsia="宋体" w:cs="宋体"/>
          <w:bCs/>
          <w:color w:val="auto"/>
          <w:sz w:val="24"/>
          <w:szCs w:val="24"/>
          <w:highlight w:val="none"/>
          <w:lang w:val="en-US" w:eastAsia="zh-CN"/>
        </w:rPr>
        <w:t>元，具体金额</w:t>
      </w:r>
      <w:r>
        <w:rPr>
          <w:rFonts w:hint="eastAsia" w:ascii="宋体" w:hAnsi="宋体" w:eastAsia="宋体" w:cs="宋体"/>
          <w:bCs/>
          <w:color w:val="auto"/>
          <w:sz w:val="24"/>
          <w:szCs w:val="24"/>
          <w:highlight w:val="none"/>
        </w:rPr>
        <w:t>以网上发布的13jz格式文件为准。</w:t>
      </w:r>
    </w:p>
    <w:bookmarkEnd w:id="56"/>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59" w:name="_Hlk139463756"/>
      <w:r>
        <w:rPr>
          <w:rFonts w:hint="eastAsia" w:ascii="宋体" w:hAnsi="宋体" w:eastAsia="宋体" w:cs="宋体"/>
          <w:bCs/>
          <w:snapToGrid w:val="0"/>
          <w:color w:val="auto"/>
          <w:sz w:val="24"/>
          <w:szCs w:val="24"/>
          <w:highlight w:val="none"/>
          <w:lang w:val="en-US" w:eastAsia="zh-CN"/>
        </w:rPr>
        <w:t>5</w:t>
      </w:r>
      <w:r>
        <w:rPr>
          <w:rFonts w:hint="eastAsia" w:ascii="宋体" w:hAnsi="宋体" w:eastAsia="宋体" w:cs="宋体"/>
          <w:bCs/>
          <w:snapToGrid w:val="0"/>
          <w:color w:val="auto"/>
          <w:sz w:val="24"/>
          <w:szCs w:val="24"/>
          <w:highlight w:val="none"/>
        </w:rPr>
        <w:t>、磋商响应报价的计价依据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按照国家统一的工程量清单计价规范，配套使用江苏省建筑与装饰、安装工程定额、费用计算规则和项目指引，由采购单位提供工程量，各供应商自主报价确定工程造价的计价方式。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6</w:t>
      </w:r>
      <w:r>
        <w:rPr>
          <w:rFonts w:hint="eastAsia" w:ascii="宋体" w:hAnsi="宋体" w:eastAsia="宋体" w:cs="宋体"/>
          <w:bCs/>
          <w:snapToGrid w:val="0"/>
          <w:color w:val="auto"/>
          <w:kern w:val="0"/>
          <w:sz w:val="24"/>
          <w:szCs w:val="24"/>
          <w:highlight w:val="none"/>
        </w:rPr>
        <w:t>、磋商响应报价方式：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本工程项目采用</w:t>
      </w:r>
      <w:r>
        <w:rPr>
          <w:rFonts w:hint="eastAsia" w:ascii="宋体" w:hAnsi="宋体" w:eastAsia="宋体" w:cs="宋体"/>
          <w:b/>
          <w:bCs/>
          <w:snapToGrid w:val="0"/>
          <w:color w:val="auto"/>
          <w:kern w:val="0"/>
          <w:sz w:val="24"/>
          <w:szCs w:val="24"/>
          <w:highlight w:val="none"/>
          <w:u w:val="single"/>
        </w:rPr>
        <w:t>固定单价报价</w:t>
      </w:r>
      <w:r>
        <w:rPr>
          <w:rFonts w:hint="eastAsia" w:ascii="宋体" w:hAnsi="宋体" w:eastAsia="宋体" w:cs="宋体"/>
          <w:bCs/>
          <w:snapToGrid w:val="0"/>
          <w:color w:val="auto"/>
          <w:kern w:val="0"/>
          <w:sz w:val="24"/>
          <w:szCs w:val="24"/>
          <w:highlight w:val="none"/>
        </w:rPr>
        <w:t>方式。工程量的风险由采购单位承担，价格风险在约定风险范围内的，由成交供应商承担，风险范围以外的按合同约定承担。竣工结算的工程量按发承包双方在合同中约定应予计量且实际完成的工程量确定，完成发包人要求的合同以外的零星工作或发生非承包人责任事件的工程量按现场签证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7</w:t>
      </w:r>
      <w:r>
        <w:rPr>
          <w:rFonts w:hint="eastAsia" w:ascii="宋体" w:hAnsi="宋体" w:eastAsia="宋体" w:cs="宋体"/>
          <w:bCs/>
          <w:snapToGrid w:val="0"/>
          <w:color w:val="auto"/>
          <w:kern w:val="0"/>
          <w:sz w:val="24"/>
          <w:szCs w:val="24"/>
          <w:highlight w:val="none"/>
        </w:rPr>
        <w:t>、磋商响应报价编制要求</w:t>
      </w:r>
      <w:bookmarkStart w:id="60" w:name="_Toc288209247"/>
      <w:bookmarkStart w:id="61" w:name="_Toc268498924"/>
      <w:bookmarkStart w:id="62" w:name="_Toc289792062"/>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供应商按本企业定额，无企业定额的，参照控制价编制依据。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由各供应商结合磋商文件、工程量清单及相关资料等包括的全部内容进行报价，根据国家、地方规范和标准、各种文件规定、质监部门要求执行的而施工图和工程量清单中未明确的施工内容费用、为按磋商文件所确定的工期、质量、安全要求完成上述内容所必须的附属工程费、临时工程费、机械费、设备费、材料费、存贮费、运输费（含二次搬运费）、人工费、安装费、测试费、脚手架搭设费（使用费）、各工种间的协调配合工作费、缺陷修补费、维护费、培训费、售后服务费、规费、措施费、管理、利润、税金、清洗费、防水费、管道清理费、验收费、安全措施费、技术措施费、设备（材料）档案费、工程档案费、工程定位费、复测费、点交费、场地清理费用、垃圾清理外运费、环境保护费、测试费用、设置防撞设施费、安全生产费、文明施工费、成品保护费、物业配合费等合同履行过程中可能发生的风险及所需的全部费用，在磋商报价时必须综合考虑到相关子目中进行报价。一旦成交，除本磋商文件约定的可调整事项外，其余均不调整。</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采用工程量清单计价方式，供应商不得采用总价让利或以总价百分比让利等办法进行磋商响应报价。</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除供应商自行补充的措施项目外，磋商响应报价的项目编码、项目特征、项目名称、计量单位、工程量必须与采购单位提供的一致。</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工程量清单中供应商没有填入单价或价格的子目，其费用视为已分摊在工程量清单中其他子目的单价或价格之中。</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磋商响应报价应根据磋商文件中的工程量清单和有关要求、施工现场实际情况及拟定的施工方案或施工组织设计，依据企业定额和市场价格信息，实行自主报价（已列入不可竞争的项目除外）。供应商所报设备价、材料价如低于同期的省、市、县的造价信息或低于同期的市场价格信息，视为对采购单位的优惠。供应商磋商响应报价中所报设备、材料其规格、尺寸、等级不得低于清单的要求。成交供应商应根据清单确定的标准、等级、规格组织施工。</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供应商不得擅自改动采购单位提供的工程量清单上的内容。若对提供的工程量清单内容有疑义，请将书面疑问材料在规定的时间和方法向采购代理机构提出，其中清单内容的书面疑问材料经采购单位组织核实确认后提供最终工程量清单，供应商在磋商响应报价时，不得增减清单工程量。</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bidi="ar-SA"/>
        </w:rPr>
        <w:t>本工程施工期间涉及环保、城市卫生、市政、居委会、派出所等相关部门收取的费用，以及夜间文明施工、保护周边地下管线和架空线的安全的费用等，供应商均应综合考虑在磋商响应报价中，竣工结算时一律不作调整。</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供应商务必认真踏勘施工现场，考虑因各种困难因素所发生的一切费用由供应商自行考虑，并在磋商响应报价中予以体现，以后不得以此为由提出额外增加费用的要求。水、电接驳，按发包人指定地点，定量表记、接至施工现场管线由供应商自行考虑，费用包含在磋商响应报价中。现场自来水及电源接入点现场具体位置由供应商现场踏勘。</w:t>
      </w:r>
      <w:r>
        <w:rPr>
          <w:rFonts w:hint="eastAsia" w:ascii="宋体" w:hAnsi="宋体" w:eastAsia="宋体" w:cs="宋体"/>
          <w:b/>
          <w:bCs w:val="0"/>
          <w:snapToGrid w:val="0"/>
          <w:color w:val="auto"/>
          <w:kern w:val="0"/>
          <w:sz w:val="24"/>
          <w:szCs w:val="24"/>
          <w:highlight w:val="none"/>
          <w:lang w:val="en-US" w:eastAsia="zh-CN" w:bidi="ar-SA"/>
        </w:rPr>
        <w:t>现场勘察联系人，刘先生，联系电话13806292769。</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施工场地周围地下管线和邻近建筑物及构筑物、古树名木的保护，由成交供应商采取保护措施，协调处理，费用包含在磋商响应报价中，竣工结算时一律不作调整。</w:t>
      </w:r>
    </w:p>
    <w:p>
      <w:pPr>
        <w:pStyle w:val="21"/>
        <w:keepNext w:val="0"/>
        <w:keepLines w:val="0"/>
        <w:pageBreakBefore w:val="0"/>
        <w:widowControl w:val="0"/>
        <w:numPr>
          <w:ilvl w:val="0"/>
          <w:numId w:val="8"/>
        </w:numPr>
        <w:tabs>
          <w:tab w:val="left" w:pos="2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因施工场地狭小发生的一切费用由各供应商自行考虑，所有费用包含在磋商响应报价中，竣工结算时一律不作调整。</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 xml:space="preserve">赶工费、按质论价费、二次搬运费、特殊条件下施工增加费、冬雨季施工增加费、夜间施工增加费、临时设施费、已完工程及设备保护费、检验试验费等措施费由各供应商自行考虑，列入磋商响应报价，一次性包定，结算时一律不作调整。 </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本工程垂直运输及安装脚手架由供应商自行考虑，并计入报价，结算时一律不作调整。</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与其他承包商间的协调、配合、通信关系，由成交供应商自行解决，确保各分项工程满足设计图纸、验收规范等要求，发生的费用由成交供应商自行承担，并相互做好成品保护工作，并无条件接受采购单位的管理，成交供应商应确保各分项工程满足设计图纸、验收规范等要求，减少工序交叉施工的影响，并做好成品保护工作，采购单位不再另行支付任何涉及工序交叉影响的费用。</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成交供应商应独立、有效地做好该工程周边的有关群众工作，如噪音、扬尘等，独立、有效地做好该工程周边的有关群众工作并充分考虑工程实施范围内外的单位、个人和其他可能出现阻挠施工的情况，若发生的机械台班停置费、二次机械进退场费、人员窝工、处理周边群众纠纷等费用和损失，由供应商自行考虑，并列入磋商响应报价，工程竣工结算时不作调整。</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供应商应自行踏勘施工现场，并在磋商响应报价中综合考虑施工机械设备、材料进出场、二次搬运等涉及所有费用并计入报价，成交后不得以场地现状及条件为由提出额外要求和增加工程费用，采购单位不再对此项费用另行签证。</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作为一个有经验的承包商，磋商响应报价时应考虑施工过程中可能发生的各种风险因素，在整个工程施工过程中，若发生对周边相关构筑物、设施损坏的，成交供应商必须负责更换或修复，直至得到采购单位的认可，期间涉及的所有费用由供应商承担，采购单位不再另行支付该项费用，结算时一律不作调整。</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在实际施工中，采购单位可以无条件要求施工单位更换不符合要求的产品，购进的材料设备与提供的样品不一致时，由成交供应商无条件退货，如因使用不符合国家标准及各项指标的材料，由此引起的相关费用由成交供应商承担，结算时一律不作调整。</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供应商根据施工现场情况及现行规定，自行根据可行的施工方案对措施费自行增加清单进行报价，结算时，除工程变更引起施工方案改变外，成交供应商不得以采购工程措施项目缺项为由要求新增措施项目，结算时一律不作调整。</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若供应商在磋商响应报价时擅自改变磋商文件及清单内容，评审时未被发现，实际施工时均按磋商文件及清单内容执行，结算时不予调整。</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供应商确定磋商响应报价，同时应考虑合同中包含的风险、责任等各项费用。</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供应商工地踏勘应充分了解工地位置情况，道路、储存空间、装卸限制及任何其它足以影响报价的情况，任何忽视或误解工地情况而导致的索赔及工期延长申请将不被批准。</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成交供应商不得拒绝完成采购单位在施工地点范围内变更或要求增加和减少的工程内容。</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报价书中的工程数量乘以综合单价必须等于合价。</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磋商确定磋商响应报价时应考虑施工过程中运出的建筑垃圾等必须运出施工现场范围以外，否则，除须接受相关部门的处罚外，发现一次采购单位将视情节严重向成交供应商收取的履约保证金的10-20%，并有权要求其重新清运出。清运前成交供应商必须向采购单位指明堆放地点(该地点必须符合建筑垃圾(渣土)管理中心要求)，建筑垃圾(渣土)管理中心收取的建筑垃圾处置费由供应商考虑在报价中。</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成交供应商须在工程竣工前拆除现场所有临时设施，包括所有的机械设备、建筑垃圾及剩余材料全部清运出场，相关费用由各供应商在报价时自行考虑到磋商响应报价中，竣工结算时不作任何调整。清理标准应得到采购单位的认可，否则，如发生相关费用则由采购单位在工程结算价款中扣除。</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本工程所有乙供材料均由成交供应商在确保质量的前提下自行采购，材料价格按照中档及以上的质量自行市场询价进入报价。采购单位对材料的质量有认定权（如采购单位对成交供应商采购的材料认定为不合格的，成交供应商必须重新采购，直至合格为止），施工时成交供应商需提供样品供采购单位选择，涉及到的价格不再调整。</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下列材料由供应商按照采购单位推荐材料品牌考虑价格并列入磋商响应报价；成交后，成交供应商需在推荐品牌中任选一种品牌进行采购，如供应商使用不低于推荐品牌等级及标准的其他品牌产品，必须征得发包人书面同意。 未推荐品牌的需选用国产中档以上品牌，在实际施工中，由成交供应商提供不少于三种品牌备选。所有材料的选用需待采购单位确认后方可进场，在工程结算时，综合单价不予调整。</w:t>
      </w:r>
    </w:p>
    <w:tbl>
      <w:tblPr>
        <w:tblStyle w:val="18"/>
        <w:tblW w:w="8731" w:type="dxa"/>
        <w:jc w:val="center"/>
        <w:tblLayout w:type="autofit"/>
        <w:tblCellMar>
          <w:top w:w="0" w:type="dxa"/>
          <w:left w:w="108" w:type="dxa"/>
          <w:bottom w:w="0" w:type="dxa"/>
          <w:right w:w="108" w:type="dxa"/>
        </w:tblCellMar>
      </w:tblPr>
      <w:tblGrid>
        <w:gridCol w:w="824"/>
        <w:gridCol w:w="2756"/>
        <w:gridCol w:w="5151"/>
      </w:tblGrid>
      <w:tr>
        <w:tblPrEx>
          <w:tblCellMar>
            <w:top w:w="0" w:type="dxa"/>
            <w:left w:w="108" w:type="dxa"/>
            <w:bottom w:w="0" w:type="dxa"/>
            <w:right w:w="108" w:type="dxa"/>
          </w:tblCellMar>
        </w:tblPrEx>
        <w:trPr>
          <w:trHeight w:val="567" w:hRule="atLeast"/>
          <w:jc w:val="center"/>
        </w:trPr>
        <w:tc>
          <w:tcPr>
            <w:tcW w:w="82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eastAsiaTheme="minorEastAsia"/>
                <w:b/>
                <w:bCs/>
                <w:color w:val="auto"/>
                <w:kern w:val="0"/>
                <w:sz w:val="24"/>
                <w:szCs w:val="24"/>
                <w:highlight w:val="none"/>
              </w:rPr>
            </w:pPr>
            <w:r>
              <w:rPr>
                <w:rFonts w:hint="eastAsia" w:cs="宋体" w:asciiTheme="minorEastAsia" w:hAnsiTheme="minorEastAsia" w:eastAsiaTheme="minorEastAsia"/>
                <w:b/>
                <w:bCs/>
                <w:color w:val="auto"/>
                <w:kern w:val="0"/>
                <w:sz w:val="24"/>
                <w:szCs w:val="24"/>
                <w:highlight w:val="none"/>
              </w:rPr>
              <w:t>序号</w:t>
            </w:r>
          </w:p>
        </w:tc>
        <w:tc>
          <w:tcPr>
            <w:tcW w:w="27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eastAsiaTheme="minorEastAsia"/>
                <w:b/>
                <w:bCs/>
                <w:color w:val="auto"/>
                <w:kern w:val="0"/>
                <w:sz w:val="24"/>
                <w:szCs w:val="24"/>
                <w:highlight w:val="none"/>
              </w:rPr>
            </w:pPr>
            <w:r>
              <w:rPr>
                <w:rFonts w:hint="eastAsia" w:cs="宋体" w:asciiTheme="minorEastAsia" w:hAnsiTheme="minorEastAsia" w:eastAsiaTheme="minorEastAsia"/>
                <w:b/>
                <w:bCs/>
                <w:color w:val="auto"/>
                <w:kern w:val="0"/>
                <w:sz w:val="24"/>
                <w:szCs w:val="24"/>
                <w:highlight w:val="none"/>
                <w:lang w:val="en-US" w:eastAsia="zh-CN"/>
              </w:rPr>
              <w:t>产品</w:t>
            </w:r>
            <w:r>
              <w:rPr>
                <w:rFonts w:hint="eastAsia" w:cs="宋体" w:asciiTheme="minorEastAsia" w:hAnsiTheme="minorEastAsia" w:eastAsiaTheme="minorEastAsia"/>
                <w:b/>
                <w:bCs/>
                <w:color w:val="auto"/>
                <w:kern w:val="0"/>
                <w:sz w:val="24"/>
                <w:szCs w:val="24"/>
                <w:highlight w:val="none"/>
              </w:rPr>
              <w:t>名称</w:t>
            </w:r>
          </w:p>
        </w:tc>
        <w:tc>
          <w:tcPr>
            <w:tcW w:w="51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eastAsiaTheme="minorEastAsia"/>
                <w:b/>
                <w:bCs/>
                <w:color w:val="auto"/>
                <w:kern w:val="0"/>
                <w:sz w:val="24"/>
                <w:szCs w:val="24"/>
                <w:highlight w:val="none"/>
              </w:rPr>
            </w:pPr>
            <w:r>
              <w:rPr>
                <w:rFonts w:hint="eastAsia" w:cs="宋体" w:asciiTheme="minorEastAsia" w:hAnsiTheme="minorEastAsia" w:eastAsiaTheme="minorEastAsia"/>
                <w:b/>
                <w:bCs/>
                <w:color w:val="auto"/>
                <w:kern w:val="0"/>
                <w:sz w:val="24"/>
                <w:szCs w:val="24"/>
                <w:highlight w:val="none"/>
                <w:lang w:val="en-US" w:eastAsia="zh-CN"/>
              </w:rPr>
              <w:t>推荐</w:t>
            </w:r>
            <w:r>
              <w:rPr>
                <w:rFonts w:hint="eastAsia" w:cs="宋体" w:asciiTheme="minorEastAsia" w:hAnsiTheme="minorEastAsia" w:eastAsiaTheme="minorEastAsia"/>
                <w:b/>
                <w:bCs/>
                <w:color w:val="auto"/>
                <w:kern w:val="0"/>
                <w:sz w:val="24"/>
                <w:szCs w:val="24"/>
                <w:highlight w:val="none"/>
              </w:rPr>
              <w:t>品牌</w:t>
            </w:r>
          </w:p>
        </w:tc>
      </w:tr>
      <w:tr>
        <w:tblPrEx>
          <w:tblCellMar>
            <w:top w:w="0" w:type="dxa"/>
            <w:left w:w="108" w:type="dxa"/>
            <w:bottom w:w="0" w:type="dxa"/>
            <w:right w:w="108" w:type="dxa"/>
          </w:tblCellMar>
        </w:tblPrEx>
        <w:trPr>
          <w:trHeight w:val="567" w:hRule="atLeast"/>
          <w:jc w:val="center"/>
        </w:trPr>
        <w:tc>
          <w:tcPr>
            <w:tcW w:w="82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eastAsiaTheme="minorEastAsia"/>
                <w:b/>
                <w:bCs/>
                <w:color w:val="auto"/>
                <w:kern w:val="0"/>
                <w:sz w:val="24"/>
                <w:szCs w:val="24"/>
                <w:highlight w:val="none"/>
                <w:lang w:val="en-US" w:eastAsia="zh-CN"/>
              </w:rPr>
            </w:pPr>
            <w:r>
              <w:rPr>
                <w:rFonts w:hint="eastAsia" w:cs="宋体" w:asciiTheme="minorEastAsia" w:hAnsiTheme="minorEastAsia" w:eastAsiaTheme="minorEastAsia"/>
                <w:b/>
                <w:bCs/>
                <w:color w:val="auto"/>
                <w:kern w:val="0"/>
                <w:sz w:val="24"/>
                <w:szCs w:val="24"/>
                <w:highlight w:val="none"/>
                <w:lang w:val="en-US" w:eastAsia="zh-CN"/>
              </w:rPr>
              <w:t>1</w:t>
            </w:r>
          </w:p>
        </w:tc>
        <w:tc>
          <w:tcPr>
            <w:tcW w:w="27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eastAsiaTheme="minorEastAsia"/>
                <w:b/>
                <w:bCs/>
                <w:color w:val="auto"/>
                <w:kern w:val="0"/>
                <w:sz w:val="24"/>
                <w:szCs w:val="24"/>
                <w:highlight w:val="none"/>
                <w:lang w:val="en-US" w:eastAsia="zh-CN"/>
              </w:rPr>
            </w:pPr>
            <w:r>
              <w:rPr>
                <w:rFonts w:hint="eastAsia" w:cs="宋体" w:asciiTheme="minorEastAsia" w:hAnsiTheme="minorEastAsia" w:eastAsiaTheme="minorEastAsia"/>
                <w:b/>
                <w:bCs/>
                <w:color w:val="auto"/>
                <w:kern w:val="0"/>
                <w:sz w:val="24"/>
                <w:szCs w:val="24"/>
                <w:highlight w:val="none"/>
                <w:lang w:val="en-US" w:eastAsia="zh-CN"/>
              </w:rPr>
              <w:t>电梯</w:t>
            </w:r>
          </w:p>
        </w:tc>
        <w:tc>
          <w:tcPr>
            <w:tcW w:w="51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eastAsiaTheme="minorEastAsia"/>
                <w:b/>
                <w:bCs/>
                <w:color w:val="auto"/>
                <w:kern w:val="0"/>
                <w:sz w:val="24"/>
                <w:szCs w:val="24"/>
                <w:highlight w:val="none"/>
                <w:lang w:val="en-US" w:eastAsia="zh-CN"/>
              </w:rPr>
            </w:pPr>
            <w:r>
              <w:rPr>
                <w:rFonts w:hint="eastAsia" w:cs="宋体" w:asciiTheme="minorEastAsia" w:hAnsiTheme="minorEastAsia" w:eastAsiaTheme="minorEastAsia"/>
                <w:b/>
                <w:bCs/>
                <w:color w:val="auto"/>
                <w:kern w:val="0"/>
                <w:sz w:val="24"/>
                <w:szCs w:val="24"/>
                <w:highlight w:val="none"/>
              </w:rPr>
              <w:t>奥的斯机电、杭州西奥、康力、巨人通力，江南嘉捷</w:t>
            </w:r>
          </w:p>
        </w:tc>
      </w:tr>
      <w:tr>
        <w:tblPrEx>
          <w:tblCellMar>
            <w:top w:w="0" w:type="dxa"/>
            <w:left w:w="108" w:type="dxa"/>
            <w:bottom w:w="0" w:type="dxa"/>
            <w:right w:w="108" w:type="dxa"/>
          </w:tblCellMar>
        </w:tblPrEx>
        <w:trPr>
          <w:trHeight w:val="567" w:hRule="atLeast"/>
          <w:jc w:val="center"/>
        </w:trPr>
        <w:tc>
          <w:tcPr>
            <w:tcW w:w="82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eastAsiaTheme="minorEastAsia"/>
                <w:b/>
                <w:bCs/>
                <w:color w:val="auto"/>
                <w:kern w:val="0"/>
                <w:sz w:val="24"/>
                <w:szCs w:val="24"/>
                <w:highlight w:val="none"/>
                <w:lang w:val="en-US" w:eastAsia="zh-CN"/>
              </w:rPr>
            </w:pPr>
            <w:r>
              <w:rPr>
                <w:rFonts w:hint="eastAsia" w:cs="宋体" w:asciiTheme="minorEastAsia" w:hAnsiTheme="minorEastAsia" w:eastAsiaTheme="minorEastAsia"/>
                <w:b/>
                <w:bCs/>
                <w:color w:val="auto"/>
                <w:kern w:val="0"/>
                <w:sz w:val="24"/>
                <w:szCs w:val="24"/>
                <w:highlight w:val="none"/>
                <w:lang w:val="en-US" w:eastAsia="zh-CN"/>
              </w:rPr>
              <w:t>2</w:t>
            </w:r>
          </w:p>
        </w:tc>
        <w:tc>
          <w:tcPr>
            <w:tcW w:w="27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eastAsiaTheme="minorEastAsia"/>
                <w:b/>
                <w:bCs/>
                <w:color w:val="auto"/>
                <w:kern w:val="0"/>
                <w:sz w:val="24"/>
                <w:szCs w:val="24"/>
                <w:highlight w:val="none"/>
                <w:lang w:val="en-US" w:eastAsia="zh-CN"/>
              </w:rPr>
            </w:pPr>
            <w:r>
              <w:rPr>
                <w:rFonts w:hint="eastAsia" w:cs="宋体" w:asciiTheme="minorEastAsia" w:hAnsiTheme="minorEastAsia" w:eastAsiaTheme="minorEastAsia"/>
                <w:b/>
                <w:bCs/>
                <w:color w:val="auto"/>
                <w:kern w:val="0"/>
                <w:sz w:val="24"/>
                <w:szCs w:val="24"/>
                <w:highlight w:val="none"/>
                <w:lang w:val="en-US" w:eastAsia="zh-CN"/>
              </w:rPr>
              <w:t>钢材</w:t>
            </w:r>
          </w:p>
        </w:tc>
        <w:tc>
          <w:tcPr>
            <w:tcW w:w="51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eastAsiaTheme="minorEastAsia"/>
                <w:b/>
                <w:bCs/>
                <w:color w:val="auto"/>
                <w:kern w:val="0"/>
                <w:sz w:val="24"/>
                <w:szCs w:val="24"/>
                <w:highlight w:val="none"/>
                <w:lang w:val="en-US" w:eastAsia="zh-CN"/>
              </w:rPr>
            </w:pPr>
            <w:r>
              <w:rPr>
                <w:rFonts w:hint="eastAsia" w:cs="宋体" w:asciiTheme="minorEastAsia" w:hAnsiTheme="minorEastAsia" w:eastAsiaTheme="minorEastAsia"/>
                <w:b/>
                <w:bCs/>
                <w:color w:val="auto"/>
                <w:kern w:val="0"/>
                <w:sz w:val="24"/>
                <w:szCs w:val="24"/>
                <w:highlight w:val="none"/>
                <w:lang w:val="en-US" w:eastAsia="zh-CN"/>
              </w:rPr>
              <w:t>鞍钢、</w:t>
            </w:r>
            <w:r>
              <w:rPr>
                <w:rFonts w:hint="eastAsia" w:cs="宋体" w:asciiTheme="minorEastAsia" w:hAnsiTheme="minorEastAsia" w:eastAsiaTheme="minorEastAsia"/>
                <w:b/>
                <w:bCs/>
                <w:color w:val="auto"/>
                <w:kern w:val="0"/>
                <w:sz w:val="24"/>
                <w:szCs w:val="24"/>
                <w:highlight w:val="none"/>
              </w:rPr>
              <w:t>首钢</w:t>
            </w:r>
            <w:r>
              <w:rPr>
                <w:rFonts w:hint="eastAsia" w:cs="宋体" w:asciiTheme="minorEastAsia" w:hAnsiTheme="minorEastAsia" w:eastAsiaTheme="minorEastAsia"/>
                <w:b/>
                <w:bCs/>
                <w:color w:val="auto"/>
                <w:kern w:val="0"/>
                <w:sz w:val="24"/>
                <w:szCs w:val="24"/>
                <w:highlight w:val="none"/>
              </w:rPr>
              <w:tab/>
            </w:r>
            <w:r>
              <w:rPr>
                <w:rFonts w:hint="eastAsia" w:cs="宋体" w:asciiTheme="minorEastAsia" w:hAnsiTheme="minorEastAsia" w:eastAsiaTheme="minorEastAsia"/>
                <w:b/>
                <w:bCs/>
                <w:color w:val="auto"/>
                <w:kern w:val="0"/>
                <w:sz w:val="24"/>
                <w:szCs w:val="24"/>
                <w:highlight w:val="none"/>
              </w:rPr>
              <w:t>南钢</w:t>
            </w:r>
            <w:r>
              <w:rPr>
                <w:rFonts w:hint="eastAsia" w:cs="宋体" w:asciiTheme="minorEastAsia" w:hAnsiTheme="minorEastAsia" w:eastAsiaTheme="minorEastAsia"/>
                <w:b/>
                <w:bCs/>
                <w:color w:val="auto"/>
                <w:kern w:val="0"/>
                <w:sz w:val="24"/>
                <w:szCs w:val="24"/>
                <w:highlight w:val="none"/>
              </w:rPr>
              <w:tab/>
            </w:r>
            <w:r>
              <w:rPr>
                <w:rFonts w:hint="eastAsia" w:cs="宋体" w:asciiTheme="minorEastAsia" w:hAnsiTheme="minorEastAsia" w:eastAsiaTheme="minorEastAsia"/>
                <w:b/>
                <w:bCs/>
                <w:color w:val="auto"/>
                <w:kern w:val="0"/>
                <w:sz w:val="24"/>
                <w:szCs w:val="24"/>
                <w:highlight w:val="none"/>
              </w:rPr>
              <w:t>马钢</w:t>
            </w:r>
            <w:r>
              <w:rPr>
                <w:rFonts w:hint="eastAsia" w:cs="宋体" w:asciiTheme="minorEastAsia" w:hAnsiTheme="minorEastAsia" w:eastAsiaTheme="minorEastAsia"/>
                <w:b/>
                <w:bCs/>
                <w:color w:val="auto"/>
                <w:kern w:val="0"/>
                <w:sz w:val="24"/>
                <w:szCs w:val="24"/>
                <w:highlight w:val="none"/>
              </w:rPr>
              <w:tab/>
            </w:r>
            <w:r>
              <w:rPr>
                <w:rFonts w:hint="eastAsia" w:cs="宋体" w:asciiTheme="minorEastAsia" w:hAnsiTheme="minorEastAsia" w:eastAsiaTheme="minorEastAsia"/>
                <w:b/>
                <w:bCs/>
                <w:color w:val="auto"/>
                <w:kern w:val="0"/>
                <w:sz w:val="24"/>
                <w:szCs w:val="24"/>
                <w:highlight w:val="none"/>
              </w:rPr>
              <w:t>河钢</w:t>
            </w:r>
          </w:p>
        </w:tc>
      </w:tr>
      <w:tr>
        <w:tblPrEx>
          <w:tblCellMar>
            <w:top w:w="0" w:type="dxa"/>
            <w:left w:w="108" w:type="dxa"/>
            <w:bottom w:w="0" w:type="dxa"/>
            <w:right w:w="108" w:type="dxa"/>
          </w:tblCellMar>
        </w:tblPrEx>
        <w:trPr>
          <w:trHeight w:val="567" w:hRule="atLeast"/>
          <w:jc w:val="center"/>
        </w:trPr>
        <w:tc>
          <w:tcPr>
            <w:tcW w:w="82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w:t>
            </w:r>
          </w:p>
        </w:tc>
        <w:tc>
          <w:tcPr>
            <w:tcW w:w="27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val="0"/>
              <w:adjustRightInd/>
              <w:spacing w:after="0"/>
              <w:jc w:val="center"/>
              <w:rPr>
                <w:rFonts w:hint="eastAsia"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bCs/>
                <w:snapToGrid w:val="0"/>
                <w:color w:val="auto"/>
                <w:kern w:val="2"/>
                <w:sz w:val="24"/>
                <w:szCs w:val="24"/>
                <w:highlight w:val="none"/>
              </w:rPr>
              <w:t>夹胶钢化玻璃</w:t>
            </w:r>
          </w:p>
        </w:tc>
        <w:tc>
          <w:tcPr>
            <w:tcW w:w="51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val="0"/>
              <w:adjustRightInd/>
              <w:spacing w:after="0"/>
              <w:jc w:val="center"/>
              <w:rPr>
                <w:rFonts w:hint="eastAsia"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bCs/>
                <w:snapToGrid w:val="0"/>
                <w:color w:val="auto"/>
                <w:kern w:val="2"/>
                <w:sz w:val="24"/>
                <w:szCs w:val="24"/>
                <w:highlight w:val="none"/>
              </w:rPr>
              <w:t>南玻、台玻、耀皮</w:t>
            </w:r>
          </w:p>
        </w:tc>
      </w:tr>
      <w:tr>
        <w:tblPrEx>
          <w:tblCellMar>
            <w:top w:w="0" w:type="dxa"/>
            <w:left w:w="108" w:type="dxa"/>
            <w:bottom w:w="0" w:type="dxa"/>
            <w:right w:w="108" w:type="dxa"/>
          </w:tblCellMar>
        </w:tblPrEx>
        <w:trPr>
          <w:trHeight w:val="567" w:hRule="atLeast"/>
          <w:jc w:val="center"/>
        </w:trPr>
        <w:tc>
          <w:tcPr>
            <w:tcW w:w="82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w:t>
            </w:r>
          </w:p>
        </w:tc>
        <w:tc>
          <w:tcPr>
            <w:tcW w:w="27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val="0"/>
              <w:adjustRightInd/>
              <w:spacing w:after="0"/>
              <w:jc w:val="center"/>
              <w:rPr>
                <w:rFonts w:hint="eastAsia"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bCs/>
                <w:snapToGrid w:val="0"/>
                <w:color w:val="auto"/>
                <w:kern w:val="2"/>
                <w:sz w:val="24"/>
                <w:szCs w:val="24"/>
                <w:highlight w:val="none"/>
              </w:rPr>
              <w:t>耐候胶</w:t>
            </w:r>
          </w:p>
        </w:tc>
        <w:tc>
          <w:tcPr>
            <w:tcW w:w="51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val="0"/>
              <w:adjustRightInd/>
              <w:spacing w:after="0"/>
              <w:jc w:val="center"/>
              <w:rPr>
                <w:rFonts w:hint="eastAsia"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bCs/>
                <w:snapToGrid w:val="0"/>
                <w:color w:val="auto"/>
                <w:kern w:val="2"/>
                <w:sz w:val="24"/>
                <w:szCs w:val="24"/>
                <w:highlight w:val="none"/>
              </w:rPr>
              <w:t>之江、白云、中原</w:t>
            </w:r>
          </w:p>
        </w:tc>
      </w:tr>
      <w:tr>
        <w:tblPrEx>
          <w:tblCellMar>
            <w:top w:w="0" w:type="dxa"/>
            <w:left w:w="108" w:type="dxa"/>
            <w:bottom w:w="0" w:type="dxa"/>
            <w:right w:w="108" w:type="dxa"/>
          </w:tblCellMar>
        </w:tblPrEx>
        <w:trPr>
          <w:trHeight w:val="567" w:hRule="atLeast"/>
          <w:jc w:val="center"/>
        </w:trPr>
        <w:tc>
          <w:tcPr>
            <w:tcW w:w="82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5</w:t>
            </w:r>
          </w:p>
        </w:tc>
        <w:tc>
          <w:tcPr>
            <w:tcW w:w="27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照明灯具</w:t>
            </w:r>
          </w:p>
        </w:tc>
        <w:tc>
          <w:tcPr>
            <w:tcW w:w="51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欧普、雷士、飞利浦、三雄极光</w:t>
            </w:r>
          </w:p>
        </w:tc>
      </w:tr>
      <w:tr>
        <w:tblPrEx>
          <w:tblCellMar>
            <w:top w:w="0" w:type="dxa"/>
            <w:left w:w="108" w:type="dxa"/>
            <w:bottom w:w="0" w:type="dxa"/>
            <w:right w:w="108" w:type="dxa"/>
          </w:tblCellMar>
        </w:tblPrEx>
        <w:trPr>
          <w:trHeight w:val="567" w:hRule="atLeast"/>
          <w:jc w:val="center"/>
        </w:trPr>
        <w:tc>
          <w:tcPr>
            <w:tcW w:w="82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6</w:t>
            </w:r>
          </w:p>
        </w:tc>
        <w:tc>
          <w:tcPr>
            <w:tcW w:w="27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配电箱元件</w:t>
            </w:r>
          </w:p>
        </w:tc>
        <w:tc>
          <w:tcPr>
            <w:tcW w:w="51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ABB、施耐德、西门子</w:t>
            </w:r>
          </w:p>
        </w:tc>
      </w:tr>
      <w:tr>
        <w:tblPrEx>
          <w:tblCellMar>
            <w:top w:w="0" w:type="dxa"/>
            <w:left w:w="108" w:type="dxa"/>
            <w:bottom w:w="0" w:type="dxa"/>
            <w:right w:w="108" w:type="dxa"/>
          </w:tblCellMar>
        </w:tblPrEx>
        <w:trPr>
          <w:trHeight w:val="567" w:hRule="atLeast"/>
          <w:jc w:val="center"/>
        </w:trPr>
        <w:tc>
          <w:tcPr>
            <w:tcW w:w="82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7</w:t>
            </w:r>
          </w:p>
        </w:tc>
        <w:tc>
          <w:tcPr>
            <w:tcW w:w="27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电缆</w:t>
            </w:r>
          </w:p>
        </w:tc>
        <w:tc>
          <w:tcPr>
            <w:tcW w:w="51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eastAsia="zh-CN"/>
              </w:rPr>
              <w:t>远东、宝胜、江南</w:t>
            </w:r>
          </w:p>
        </w:tc>
      </w:tr>
      <w:tr>
        <w:tblPrEx>
          <w:tblCellMar>
            <w:top w:w="0" w:type="dxa"/>
            <w:left w:w="108" w:type="dxa"/>
            <w:bottom w:w="0" w:type="dxa"/>
            <w:right w:w="108" w:type="dxa"/>
          </w:tblCellMar>
        </w:tblPrEx>
        <w:trPr>
          <w:trHeight w:val="567" w:hRule="atLeast"/>
          <w:jc w:val="center"/>
        </w:trPr>
        <w:tc>
          <w:tcPr>
            <w:tcW w:w="82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8</w:t>
            </w:r>
          </w:p>
        </w:tc>
        <w:tc>
          <w:tcPr>
            <w:tcW w:w="27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监控</w:t>
            </w:r>
          </w:p>
        </w:tc>
        <w:tc>
          <w:tcPr>
            <w:tcW w:w="51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大华、海康威视、华为</w:t>
            </w:r>
          </w:p>
        </w:tc>
      </w:tr>
      <w:tr>
        <w:tblPrEx>
          <w:tblCellMar>
            <w:top w:w="0" w:type="dxa"/>
            <w:left w:w="108" w:type="dxa"/>
            <w:bottom w:w="0" w:type="dxa"/>
            <w:right w:w="108" w:type="dxa"/>
          </w:tblCellMar>
        </w:tblPrEx>
        <w:trPr>
          <w:trHeight w:val="567" w:hRule="atLeast"/>
          <w:jc w:val="center"/>
        </w:trPr>
        <w:tc>
          <w:tcPr>
            <w:tcW w:w="82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9</w:t>
            </w:r>
          </w:p>
        </w:tc>
        <w:tc>
          <w:tcPr>
            <w:tcW w:w="27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硬盘录像机</w:t>
            </w:r>
          </w:p>
        </w:tc>
        <w:tc>
          <w:tcPr>
            <w:tcW w:w="51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大华、海康威视、华为</w:t>
            </w:r>
          </w:p>
        </w:tc>
      </w:tr>
      <w:tr>
        <w:tblPrEx>
          <w:tblCellMar>
            <w:top w:w="0" w:type="dxa"/>
            <w:left w:w="108" w:type="dxa"/>
            <w:bottom w:w="0" w:type="dxa"/>
            <w:right w:w="108" w:type="dxa"/>
          </w:tblCellMar>
        </w:tblPrEx>
        <w:trPr>
          <w:trHeight w:val="567" w:hRule="atLeast"/>
          <w:jc w:val="center"/>
        </w:trPr>
        <w:tc>
          <w:tcPr>
            <w:tcW w:w="82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10</w:t>
            </w:r>
          </w:p>
        </w:tc>
        <w:tc>
          <w:tcPr>
            <w:tcW w:w="27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电梯空调</w:t>
            </w:r>
          </w:p>
        </w:tc>
        <w:tc>
          <w:tcPr>
            <w:tcW w:w="51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和山</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科携</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菱昊</w:t>
            </w:r>
          </w:p>
        </w:tc>
      </w:tr>
    </w:tbl>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成交供应商的管理人员临时办公室、工人宿舍及配套生活用房须另行自理，不得设在施工场地区域内。因工程需要临时向其他单位租用场地的，由成交供应商自行解决，相关费用列入报价。</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 xml:space="preserve">本工程量清单应与施工图、磋商文件（含合同条款）、技术要求、技术规范等文件结合起来阅读，除设计变更外，采购单位在工程量清单中未列明或项目特征描述不全，但供应商为满足采购单位、设计图纸的要求及国家、地方规范和标准等各种文件规定而必须完成的工作，供应商应计入工程量清单相应子目中，施工时不另行签证，结算时不作调整，工程结算时采购单位不为此类项目另外支付费用。 </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成交供应商在施工过程中必须收集齐全所有隐蔽项目（包含但不限于管道开挖安放、开挖砌筑抹灰等）等施工全过程影像视频资料以供后期审计使用，在送审结算资料必须一并提交。所有签证资料必须附有详细影像彩色照片，所摄照片必须有可参照性。如影像资料未能反映签证、清单或磋商文件列明的工作内容，则结算时该项内容不予认可。</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 xml:space="preserve">施工时需做好原有建筑、结构、道路、设施、设备等现有成品的保护及清洁工作，所涉费用磋商响应报价时充分考虑，结算时不作调整。如施工时损坏或者发生污损，应按不低于原标准修复及清洁，或按目前市场价值（人工）赔付，另外造成损失的按实赔付，相关费用采购单位有权在工程款中直接扣除。 </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如成交供应商在进场后发现施工图纸与现场不一致时，在施工前须与采购单位及监理方、设计方商定一致后，并按书面会商结果进行施工。</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 xml:space="preserve">成交供应商在施工时可能会遇墙（地）面不垂直、空鼓、渗漏、顶棚不平整，以及基层有附着物等现象，需进行检查、清理、维修、改造、凿除、修补等工作，各供应商在现场踏勘时须充分考虑，结算时不作任何调整。 </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供应商在施工过程中应注意与相邻近的建筑物（构筑物）的关系，采取合理的措施，避免产生不利影响，相关措施费用自行考虑并列入措施清单，一次性包定，若因成交供应商原因造成建筑物（构筑物）出现位移、裂缝等情况，由成交供应商负责赔偿，相关费用自行估算并列入报价，一次性包定。</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工程竣工需做好精细化保洁，保洁范围为所有施工场地，保洁内容包括但不限于屋面清洁等，符合采购单位竣工清洁要求后方可竣工验收，供应商务必在踏勘现场后计算所涉工程量，相关费用在报价中考虑，结算时不作调整。</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本项目不可竞争费费率按本章第4.5执行，响应文件中不得调整。</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本项目包含电梯采购及安装内容，如供应商不具备本项目电梯对应的安装（含修理）相关资质，则供应商可分包给具有对应资质的单位进行安装（修理），分包前须提供相关资质给采购单位并经采购单位书面确认，但是不免除供应商对电梯相关的安装、修理及后续维保责任，相关责任仍由供应商承担。成交人必须保证电梯工程经过质监部门（主管部门）验收合格，因验收产生的各种费用均由成交人承担。</w:t>
      </w:r>
    </w:p>
    <w:p>
      <w:pPr>
        <w:pStyle w:val="2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bidi="ar-SA"/>
        </w:rPr>
        <w:t>其他未尽事宜在书面答疑中明确。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7、免费质保期：</w:t>
      </w:r>
      <w:bookmarkStart w:id="63" w:name="_Hlk144998993"/>
      <w:r>
        <w:rPr>
          <w:rFonts w:hint="eastAsia" w:ascii="宋体" w:hAnsi="宋体" w:eastAsia="宋体" w:cs="宋体"/>
          <w:color w:val="auto"/>
          <w:kern w:val="0"/>
          <w:sz w:val="24"/>
          <w:szCs w:val="24"/>
          <w:highlight w:val="none"/>
          <w:lang w:val="en-US" w:eastAsia="zh-CN"/>
        </w:rPr>
        <w:t>详见工程质量保修书</w:t>
      </w:r>
      <w:r>
        <w:rPr>
          <w:rFonts w:hint="eastAsia" w:ascii="宋体" w:hAnsi="宋体" w:eastAsia="宋体" w:cs="宋体"/>
          <w:snapToGrid w:val="0"/>
          <w:color w:val="auto"/>
          <w:kern w:val="0"/>
          <w:sz w:val="24"/>
          <w:szCs w:val="24"/>
          <w:highlight w:val="none"/>
        </w:rPr>
        <w:t>。</w:t>
      </w:r>
    </w:p>
    <w:bookmarkEnd w:id="60"/>
    <w:bookmarkEnd w:id="61"/>
    <w:bookmarkEnd w:id="62"/>
    <w:bookmarkEnd w:id="63"/>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r>
        <w:rPr>
          <w:rFonts w:hint="eastAsia" w:ascii="宋体" w:hAnsi="宋体" w:eastAsia="宋体" w:cs="宋体"/>
          <w:b/>
          <w:bCs/>
          <w:snapToGrid w:val="0"/>
          <w:color w:val="auto"/>
          <w:kern w:val="0"/>
          <w:sz w:val="24"/>
          <w:szCs w:val="24"/>
          <w:highlight w:val="none"/>
        </w:rPr>
        <w:t>本项目工期为</w:t>
      </w:r>
      <w:r>
        <w:rPr>
          <w:rFonts w:hint="eastAsia" w:ascii="宋体" w:hAnsi="宋体" w:eastAsia="宋体" w:cs="宋体"/>
          <w:b/>
          <w:bCs/>
          <w:snapToGrid w:val="0"/>
          <w:color w:val="auto"/>
          <w:kern w:val="0"/>
          <w:sz w:val="24"/>
          <w:szCs w:val="24"/>
          <w:highlight w:val="none"/>
          <w:u w:val="single"/>
          <w:lang w:val="en-US" w:eastAsia="zh-CN"/>
        </w:rPr>
        <w:t xml:space="preserve"> 60 </w:t>
      </w:r>
      <w:r>
        <w:rPr>
          <w:rFonts w:hint="eastAsia" w:ascii="宋体" w:hAnsi="宋体" w:eastAsia="宋体" w:cs="宋体"/>
          <w:b/>
          <w:bCs/>
          <w:snapToGrid w:val="0"/>
          <w:color w:val="auto"/>
          <w:kern w:val="0"/>
          <w:sz w:val="24"/>
          <w:szCs w:val="24"/>
          <w:highlight w:val="none"/>
        </w:rPr>
        <w:t>日历天，完成整个项目施工。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9、质量标准：合格。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9、采购单位提供的工程量清单详见本文件第九章</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其他文件详见采购公告附件</w:t>
      </w:r>
      <w:r>
        <w:rPr>
          <w:rFonts w:hint="eastAsia" w:ascii="宋体" w:hAnsi="宋体" w:eastAsia="宋体" w:cs="宋体"/>
          <w:snapToGrid w:val="0"/>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10、其他未尽事宜按磋商文件相关规定执行。如磋商文件或合同文件未提及，则由双方协商解决处理。</w:t>
      </w:r>
    </w:p>
    <w:bookmarkEnd w:id="59"/>
    <w:p>
      <w:pPr>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w w:val="80"/>
          <w:sz w:val="44"/>
          <w:szCs w:val="44"/>
          <w:highlight w:val="none"/>
        </w:rPr>
        <w:t>第四章</w:t>
      </w:r>
      <w:bookmarkEnd w:id="44"/>
      <w:bookmarkEnd w:id="45"/>
      <w:bookmarkEnd w:id="46"/>
      <w:bookmarkEnd w:id="47"/>
      <w:bookmarkEnd w:id="48"/>
      <w:bookmarkEnd w:id="49"/>
      <w:bookmarkEnd w:id="50"/>
      <w:bookmarkEnd w:id="51"/>
      <w:bookmarkEnd w:id="52"/>
      <w:bookmarkEnd w:id="53"/>
      <w:bookmarkEnd w:id="54"/>
      <w:bookmarkStart w:id="64" w:name="_Toc85627670"/>
      <w:bookmarkStart w:id="65" w:name="_Toc182848996"/>
      <w:bookmarkStart w:id="66" w:name="_Toc43217893"/>
      <w:bookmarkStart w:id="67" w:name="_Toc37322565"/>
      <w:bookmarkStart w:id="68" w:name="_Toc38121794"/>
      <w:bookmarkStart w:id="69" w:name="_Toc8895742"/>
      <w:bookmarkStart w:id="70" w:name="_Toc13803484"/>
      <w:bookmarkStart w:id="71" w:name="_Toc11500283"/>
      <w:bookmarkStart w:id="72" w:name="_Toc11554642"/>
      <w:bookmarkStart w:id="73" w:name="_Toc94544873"/>
      <w:bookmarkStart w:id="74" w:name="_Toc12670506"/>
      <w:bookmarkStart w:id="75" w:name="_Toc11499587"/>
      <w:bookmarkStart w:id="76" w:name="_Toc94544747"/>
      <w:r>
        <w:rPr>
          <w:rFonts w:hint="eastAsia" w:ascii="宋体" w:hAnsi="宋体" w:eastAsia="宋体" w:cs="宋体"/>
          <w:b/>
          <w:bCs/>
          <w:color w:val="auto"/>
          <w:w w:val="80"/>
          <w:sz w:val="44"/>
          <w:szCs w:val="44"/>
          <w:highlight w:val="none"/>
        </w:rPr>
        <w:t xml:space="preserve"> 评审方法和程序</w:t>
      </w:r>
      <w:bookmarkEnd w:id="55"/>
    </w:p>
    <w:bookmarkEnd w:id="64"/>
    <w:bookmarkEnd w:id="65"/>
    <w:bookmarkEnd w:id="66"/>
    <w:bookmarkEnd w:id="67"/>
    <w:bookmarkEnd w:id="68"/>
    <w:p>
      <w:pPr>
        <w:snapToGrid w:val="0"/>
        <w:spacing w:line="360" w:lineRule="auto"/>
        <w:ind w:firstLine="482" w:firstLineChars="200"/>
        <w:outlineLvl w:val="1"/>
        <w:rPr>
          <w:rFonts w:hint="eastAsia" w:ascii="宋体" w:hAnsi="宋体" w:eastAsia="宋体" w:cs="宋体"/>
          <w:b/>
          <w:bCs/>
          <w:color w:val="auto"/>
          <w:sz w:val="24"/>
          <w:szCs w:val="24"/>
          <w:highlight w:val="none"/>
        </w:rPr>
      </w:pPr>
      <w:bookmarkStart w:id="77" w:name="_Toc363573857"/>
      <w:bookmarkEnd w:id="77"/>
      <w:r>
        <w:rPr>
          <w:rFonts w:hint="eastAsia" w:ascii="宋体" w:hAnsi="宋体" w:eastAsia="宋体" w:cs="宋体"/>
          <w:b/>
          <w:bCs/>
          <w:color w:val="auto"/>
          <w:sz w:val="24"/>
          <w:szCs w:val="24"/>
          <w:highlight w:val="none"/>
        </w:rPr>
        <w:t>一、代理机构组织磋商</w:t>
      </w:r>
    </w:p>
    <w:p>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1、本次竞争性磋商参照《中华人民共和国政府采购法》、《政府采购竞争性磋商采购方式管理暂行办法》及有关法规成立磋商小组。磋商小组由评审专家共3人组成。</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2、采用竞争性磋商方式的采购项目，评审专家应当从采购评审专家库内相关专业的专家名单中随机抽取。情况特殊、通过随机方式难以确定合适的评审专家的，经主管预算单位同意，可以自行选定评审专家。</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3、磋商小组的职责：</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（1）磋商小组成员应当按照客观、公正、审慎的原则，根据磋商文件规定的评审程序、评审方法和评审标准进行独立评审。</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（2）磋商小组成员应当遵守评审工作纪律，不得泄露评审情况和评审中获悉的商业秘密，对个人的评审意见承担法律责任。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（3）磋商小组成员在评审过程中发现供应商有行贿、提供虚假材料或者串通等违法行为的，应当及时向财政部门报告,并建议将其列入采购单位黑名单。</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（4）磋商小组成员在评审过程中受到非法干涉的，应当及时向财政、监察等部门举报。</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（5）配合采购单位答复供应商提出的质疑；配合财政部门的投诉处理和监督检查工作。</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4、评审有关记录由磋商小组成员签名，存档备查。</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5、供应商的法定代表人或委托代理人须持身份证准时参加磋商开标会。</w:t>
      </w:r>
    </w:p>
    <w:p>
      <w:pPr>
        <w:snapToGrid w:val="0"/>
        <w:spacing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二、磋商的原则及方法</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1、磋商小组参照《中华人民共和国政府采购法》、《政府采购竞争性磋商采购方式管理暂行办法》以及有关的相关法规，遵循“公开、公平、公正、择优、信用”的原则进行磋商评审。</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2、磋商小组将按照竞争性磋商文件的规定，独立对每个进入打分程序的有效磋商响应供应商的响应文件的技术部分以打分的形式进行评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和评价。</w:t>
      </w:r>
      <w:r>
        <w:rPr>
          <w:rFonts w:hint="eastAsia" w:ascii="宋体" w:hAnsi="宋体" w:eastAsia="宋体" w:cs="宋体"/>
          <w:b/>
          <w:bCs/>
          <w:color w:val="auto"/>
          <w:sz w:val="24"/>
          <w:szCs w:val="24"/>
          <w:highlight w:val="none"/>
        </w:rPr>
        <w:t>技术分是所有评委打分的算术平均值（计算结果均四舍五入保留两位小数）。</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4、磋商小组所有成员应当集中与单一供应商分别进行磋商，并给予所有参加磋商的供应商平等的磋商机会。</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6、对磋商文件作出的实质性变动是磋商文件的有效组成部分，磋商小组应当及时以书面形式同时通知所有参加磋商的供应商。</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应当按照磋商文件的变动情况和磋商小组的要求重新提交响应文件，并由其法定代表人或委托代理人签字或者加盖公章。由委托代理人签字的，应当附法定代表人授权书。供应商为自然人的，应当由本人签字并附身份证明。</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9、除非在磋商中磋商小组对采购单位需求内容作了调整增加，或对采购内容</w:t>
      </w:r>
      <w:r>
        <w:rPr>
          <w:rFonts w:hint="eastAsia" w:ascii="宋体" w:hAnsi="宋体" w:eastAsia="宋体" w:cs="宋体"/>
          <w:color w:val="auto"/>
          <w:sz w:val="24"/>
          <w:szCs w:val="24"/>
          <w:highlight w:val="none"/>
          <w:lang w:eastAsia="zh-CN"/>
        </w:rPr>
        <w:t>做了实质性</w:t>
      </w:r>
      <w:r>
        <w:rPr>
          <w:rFonts w:hint="eastAsia" w:ascii="宋体" w:hAnsi="宋体" w:eastAsia="宋体" w:cs="宋体"/>
          <w:color w:val="auto"/>
          <w:sz w:val="24"/>
          <w:szCs w:val="24"/>
          <w:highlight w:val="none"/>
        </w:rPr>
        <w:t>变更，否则</w:t>
      </w:r>
      <w:r>
        <w:rPr>
          <w:rFonts w:hint="eastAsia" w:ascii="宋体" w:hAnsi="宋体" w:eastAsia="宋体" w:cs="宋体"/>
          <w:b/>
          <w:bCs/>
          <w:color w:val="auto"/>
          <w:sz w:val="24"/>
          <w:szCs w:val="24"/>
          <w:highlight w:val="none"/>
        </w:rPr>
        <w:t>采购单位不接受供应商高于自己前一轮的磋商报价</w:t>
      </w:r>
      <w:r>
        <w:rPr>
          <w:rFonts w:hint="eastAsia" w:ascii="宋体" w:hAnsi="宋体" w:eastAsia="宋体" w:cs="宋体"/>
          <w:color w:val="auto"/>
          <w:sz w:val="24"/>
          <w:szCs w:val="24"/>
          <w:highlight w:val="none"/>
        </w:rPr>
        <w:t>。</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11、在磋商中，磋商的任何一方不得透露与磋商有关的其他响应磋商的供应商的技术资料、价格及其他信息。</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三、评</w:t>
      </w:r>
      <w:r>
        <w:rPr>
          <w:rFonts w:hint="eastAsia" w:ascii="宋体" w:hAnsi="宋体" w:eastAsia="宋体" w:cs="宋体"/>
          <w:b/>
          <w:bCs/>
          <w:color w:val="auto"/>
          <w:sz w:val="24"/>
          <w:szCs w:val="24"/>
          <w:highlight w:val="none"/>
          <w:lang w:val="en-US" w:eastAsia="zh-CN"/>
        </w:rPr>
        <w:t>审</w:t>
      </w:r>
      <w:r>
        <w:rPr>
          <w:rFonts w:hint="eastAsia" w:ascii="宋体" w:hAnsi="宋体" w:eastAsia="宋体" w:cs="宋体"/>
          <w:b/>
          <w:bCs/>
          <w:color w:val="auto"/>
          <w:sz w:val="24"/>
          <w:szCs w:val="24"/>
          <w:highlight w:val="none"/>
        </w:rPr>
        <w:t>步骤</w:t>
      </w:r>
    </w:p>
    <w:p>
      <w:pPr>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1、评审步骤规定：</w:t>
      </w:r>
    </w:p>
    <w:p>
      <w:pPr>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本次资格审查采用资格后审，各供应商资格审查通过后方能进入技术</w:t>
      </w:r>
      <w:r>
        <w:rPr>
          <w:rFonts w:hint="eastAsia" w:ascii="宋体" w:hAnsi="宋体" w:eastAsia="宋体" w:cs="宋体"/>
          <w:b/>
          <w:bCs/>
          <w:color w:val="auto"/>
          <w:sz w:val="24"/>
          <w:szCs w:val="24"/>
          <w:highlight w:val="none"/>
          <w:lang w:val="en-US" w:eastAsia="zh-CN"/>
        </w:rPr>
        <w:t>响应文件</w:t>
      </w:r>
      <w:r>
        <w:rPr>
          <w:rFonts w:hint="eastAsia" w:ascii="宋体" w:hAnsi="宋体" w:eastAsia="宋体" w:cs="宋体"/>
          <w:b/>
          <w:bCs/>
          <w:color w:val="auto"/>
          <w:sz w:val="24"/>
          <w:szCs w:val="24"/>
          <w:highlight w:val="none"/>
          <w:lang w:val="zh-CN"/>
        </w:rPr>
        <w:t>的开</w:t>
      </w:r>
      <w:r>
        <w:rPr>
          <w:rFonts w:hint="eastAsia" w:ascii="宋体" w:hAnsi="宋体" w:eastAsia="宋体" w:cs="宋体"/>
          <w:b/>
          <w:bCs/>
          <w:color w:val="auto"/>
          <w:sz w:val="24"/>
          <w:szCs w:val="24"/>
          <w:highlight w:val="none"/>
          <w:lang w:val="en-US" w:eastAsia="zh-CN"/>
        </w:rPr>
        <w:t>启</w:t>
      </w:r>
      <w:r>
        <w:rPr>
          <w:rFonts w:hint="eastAsia" w:ascii="宋体" w:hAnsi="宋体" w:eastAsia="宋体" w:cs="宋体"/>
          <w:b/>
          <w:bCs/>
          <w:color w:val="auto"/>
          <w:sz w:val="24"/>
          <w:szCs w:val="24"/>
          <w:highlight w:val="none"/>
          <w:lang w:val="zh-CN"/>
        </w:rPr>
        <w:t>。先开技术</w:t>
      </w:r>
      <w:r>
        <w:rPr>
          <w:rFonts w:hint="eastAsia" w:ascii="宋体" w:hAnsi="宋体" w:eastAsia="宋体" w:cs="宋体"/>
          <w:b/>
          <w:bCs/>
          <w:color w:val="auto"/>
          <w:sz w:val="24"/>
          <w:szCs w:val="24"/>
          <w:highlight w:val="none"/>
          <w:lang w:val="en-US" w:eastAsia="zh-CN"/>
        </w:rPr>
        <w:t>响应文件</w:t>
      </w:r>
      <w:r>
        <w:rPr>
          <w:rFonts w:hint="eastAsia" w:ascii="宋体" w:hAnsi="宋体" w:eastAsia="宋体" w:cs="宋体"/>
          <w:b/>
          <w:bCs/>
          <w:color w:val="auto"/>
          <w:sz w:val="24"/>
          <w:szCs w:val="24"/>
          <w:highlight w:val="none"/>
          <w:lang w:val="zh-CN"/>
        </w:rPr>
        <w:t>，技术</w:t>
      </w:r>
      <w:r>
        <w:rPr>
          <w:rFonts w:hint="eastAsia" w:ascii="宋体" w:hAnsi="宋体" w:eastAsia="宋体" w:cs="宋体"/>
          <w:b/>
          <w:bCs/>
          <w:color w:val="auto"/>
          <w:sz w:val="24"/>
          <w:szCs w:val="24"/>
          <w:highlight w:val="none"/>
          <w:lang w:val="en-US" w:eastAsia="zh-CN"/>
        </w:rPr>
        <w:t>响应文件</w:t>
      </w:r>
      <w:r>
        <w:rPr>
          <w:rFonts w:hint="eastAsia" w:ascii="宋体" w:hAnsi="宋体" w:eastAsia="宋体" w:cs="宋体"/>
          <w:b/>
          <w:bCs/>
          <w:color w:val="auto"/>
          <w:sz w:val="24"/>
          <w:szCs w:val="24"/>
          <w:highlight w:val="none"/>
          <w:lang w:val="zh-CN"/>
        </w:rPr>
        <w:t>打分结束后再</w:t>
      </w:r>
      <w:r>
        <w:rPr>
          <w:rFonts w:hint="eastAsia" w:ascii="宋体" w:hAnsi="宋体" w:eastAsia="宋体" w:cs="宋体"/>
          <w:b/>
          <w:bCs/>
          <w:color w:val="auto"/>
          <w:sz w:val="24"/>
          <w:szCs w:val="24"/>
          <w:highlight w:val="none"/>
          <w:lang w:val="en-US" w:eastAsia="zh-CN"/>
        </w:rPr>
        <w:t>开启</w:t>
      </w:r>
      <w:r>
        <w:rPr>
          <w:rFonts w:hint="eastAsia" w:ascii="宋体" w:hAnsi="宋体" w:eastAsia="宋体" w:cs="宋体"/>
          <w:b/>
          <w:bCs/>
          <w:color w:val="auto"/>
          <w:sz w:val="24"/>
          <w:szCs w:val="24"/>
          <w:highlight w:val="none"/>
          <w:lang w:val="zh-CN"/>
        </w:rPr>
        <w:t>商务报价响应文件。</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第一阶段：采购单位授权</w:t>
      </w:r>
      <w:r>
        <w:rPr>
          <w:rFonts w:hint="eastAsia" w:ascii="宋体" w:hAnsi="宋体" w:eastAsia="宋体" w:cs="宋体"/>
          <w:color w:val="auto"/>
          <w:sz w:val="24"/>
          <w:szCs w:val="24"/>
          <w:highlight w:val="none"/>
        </w:rPr>
        <w:t>磋商小组</w:t>
      </w:r>
      <w:r>
        <w:rPr>
          <w:rFonts w:hint="eastAsia" w:ascii="宋体" w:hAnsi="宋体" w:eastAsia="宋体" w:cs="宋体"/>
          <w:color w:val="auto"/>
          <w:sz w:val="24"/>
          <w:szCs w:val="24"/>
          <w:highlight w:val="none"/>
          <w:lang w:val="zh-CN"/>
        </w:rPr>
        <w:t>对每个供应商的资格进行审查。</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第二阶段：</w:t>
      </w:r>
      <w:r>
        <w:rPr>
          <w:rFonts w:hint="eastAsia" w:ascii="宋体" w:hAnsi="宋体" w:eastAsia="宋体" w:cs="宋体"/>
          <w:color w:val="auto"/>
          <w:sz w:val="24"/>
          <w:szCs w:val="24"/>
          <w:highlight w:val="none"/>
        </w:rPr>
        <w:t>磋商小组</w:t>
      </w:r>
      <w:r>
        <w:rPr>
          <w:rFonts w:hint="eastAsia" w:ascii="宋体" w:hAnsi="宋体" w:eastAsia="宋体" w:cs="宋体"/>
          <w:color w:val="auto"/>
          <w:sz w:val="24"/>
          <w:szCs w:val="24"/>
          <w:highlight w:val="none"/>
          <w:lang w:val="zh-CN"/>
        </w:rPr>
        <w:t>对每个符合资格要求的供应商的技术响应文件进行</w:t>
      </w:r>
      <w:r>
        <w:rPr>
          <w:rFonts w:hint="eastAsia" w:ascii="宋体" w:hAnsi="宋体" w:eastAsia="宋体" w:cs="宋体"/>
          <w:color w:val="auto"/>
          <w:sz w:val="24"/>
          <w:szCs w:val="24"/>
          <w:highlight w:val="none"/>
        </w:rPr>
        <w:t>评审</w:t>
      </w:r>
      <w:r>
        <w:rPr>
          <w:rFonts w:hint="eastAsia" w:ascii="宋体" w:hAnsi="宋体" w:eastAsia="宋体" w:cs="宋体"/>
          <w:color w:val="auto"/>
          <w:sz w:val="24"/>
          <w:szCs w:val="24"/>
          <w:highlight w:val="none"/>
          <w:lang w:val="zh-CN"/>
        </w:rPr>
        <w:t>。主要审查技术响应文件提交的内容是否齐全，技术方案及项目实施是否完全满足采购文件的要求。</w:t>
      </w:r>
      <w:r>
        <w:rPr>
          <w:rFonts w:hint="eastAsia" w:ascii="宋体" w:hAnsi="宋体" w:eastAsia="宋体" w:cs="宋体"/>
          <w:color w:val="auto"/>
          <w:sz w:val="24"/>
          <w:szCs w:val="24"/>
          <w:highlight w:val="none"/>
        </w:rPr>
        <w:t>磋商小组严格按照磋商文件的要求、条件、评分标准，对供应商所提供货物或服务的先进性、可靠性、售后服务承诺、质量保证承诺等实质性响应内容进行比较。</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第三阶段：以供应商商务报价响应文件内的</w:t>
      </w:r>
      <w:r>
        <w:rPr>
          <w:rFonts w:hint="eastAsia" w:ascii="宋体" w:hAnsi="宋体" w:eastAsia="宋体" w:cs="宋体"/>
          <w:color w:val="auto"/>
          <w:sz w:val="24"/>
          <w:szCs w:val="24"/>
          <w:highlight w:val="none"/>
        </w:rPr>
        <w:t>竞争性磋商</w:t>
      </w:r>
      <w:r>
        <w:rPr>
          <w:rFonts w:hint="eastAsia" w:ascii="宋体" w:hAnsi="宋体" w:eastAsia="宋体" w:cs="宋体"/>
          <w:color w:val="auto"/>
          <w:sz w:val="24"/>
          <w:szCs w:val="24"/>
          <w:highlight w:val="none"/>
          <w:lang w:val="zh-CN"/>
        </w:rPr>
        <w:t>报价（即首次报价）为基础，</w:t>
      </w:r>
      <w:r>
        <w:rPr>
          <w:rFonts w:hint="eastAsia" w:ascii="宋体" w:hAnsi="宋体" w:eastAsia="宋体" w:cs="宋体"/>
          <w:color w:val="auto"/>
          <w:sz w:val="24"/>
          <w:szCs w:val="24"/>
          <w:highlight w:val="none"/>
        </w:rPr>
        <w:t>磋商小组与</w:t>
      </w:r>
      <w:r>
        <w:rPr>
          <w:rFonts w:hint="eastAsia" w:ascii="宋体" w:hAnsi="宋体" w:eastAsia="宋体" w:cs="宋体"/>
          <w:color w:val="auto"/>
          <w:sz w:val="24"/>
          <w:szCs w:val="24"/>
          <w:highlight w:val="none"/>
          <w:lang w:val="zh-CN"/>
        </w:rPr>
        <w:t>供应商单一分别进行</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zh-CN"/>
        </w:rPr>
        <w:t>：内容主要是对</w:t>
      </w:r>
      <w:r>
        <w:rPr>
          <w:rFonts w:hint="eastAsia" w:ascii="宋体" w:hAnsi="宋体" w:eastAsia="宋体" w:cs="宋体"/>
          <w:color w:val="auto"/>
          <w:sz w:val="24"/>
          <w:szCs w:val="24"/>
          <w:highlight w:val="none"/>
        </w:rPr>
        <w:t>竞争性磋商</w:t>
      </w:r>
      <w:r>
        <w:rPr>
          <w:rFonts w:hint="eastAsia" w:ascii="宋体" w:hAnsi="宋体" w:eastAsia="宋体" w:cs="宋体"/>
          <w:color w:val="auto"/>
          <w:sz w:val="24"/>
          <w:szCs w:val="24"/>
          <w:highlight w:val="none"/>
          <w:lang w:val="zh-CN"/>
        </w:rPr>
        <w:t>响应文件中的项目方案的澄清、修正、补充、确认以及价格调整等。如</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zh-CN"/>
        </w:rPr>
        <w:t>内容导致</w:t>
      </w:r>
      <w:r>
        <w:rPr>
          <w:rFonts w:hint="eastAsia" w:ascii="宋体" w:hAnsi="宋体" w:eastAsia="宋体" w:cs="宋体"/>
          <w:color w:val="auto"/>
          <w:sz w:val="24"/>
          <w:szCs w:val="24"/>
          <w:highlight w:val="none"/>
        </w:rPr>
        <w:t>竞争性磋商</w:t>
      </w:r>
      <w:r>
        <w:rPr>
          <w:rFonts w:hint="eastAsia" w:ascii="宋体" w:hAnsi="宋体" w:eastAsia="宋体" w:cs="宋体"/>
          <w:color w:val="auto"/>
          <w:sz w:val="24"/>
          <w:szCs w:val="24"/>
          <w:highlight w:val="none"/>
          <w:lang w:val="zh-CN"/>
        </w:rPr>
        <w:t>文件有实质性变动的，</w:t>
      </w:r>
      <w:r>
        <w:rPr>
          <w:rFonts w:hint="eastAsia" w:ascii="宋体" w:hAnsi="宋体" w:eastAsia="宋体" w:cs="宋体"/>
          <w:color w:val="auto"/>
          <w:sz w:val="24"/>
          <w:szCs w:val="24"/>
          <w:highlight w:val="none"/>
        </w:rPr>
        <w:t>磋商小组</w:t>
      </w:r>
      <w:r>
        <w:rPr>
          <w:rFonts w:hint="eastAsia" w:ascii="宋体" w:hAnsi="宋体" w:eastAsia="宋体" w:cs="宋体"/>
          <w:color w:val="auto"/>
          <w:sz w:val="24"/>
          <w:szCs w:val="24"/>
          <w:highlight w:val="none"/>
          <w:lang w:val="zh-CN"/>
        </w:rPr>
        <w:t>应当以书面形式通知所有供应商。</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第四阶段：单一分别</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zh-CN"/>
        </w:rPr>
        <w:t>结束后，</w:t>
      </w:r>
      <w:r>
        <w:rPr>
          <w:rFonts w:hint="eastAsia" w:ascii="宋体" w:hAnsi="宋体" w:eastAsia="宋体" w:cs="宋体"/>
          <w:color w:val="auto"/>
          <w:sz w:val="24"/>
          <w:szCs w:val="24"/>
          <w:highlight w:val="none"/>
        </w:rPr>
        <w:t>磋商小组</w:t>
      </w:r>
      <w:r>
        <w:rPr>
          <w:rFonts w:hint="eastAsia" w:ascii="宋体" w:hAnsi="宋体" w:eastAsia="宋体" w:cs="宋体"/>
          <w:color w:val="auto"/>
          <w:sz w:val="24"/>
          <w:szCs w:val="24"/>
          <w:highlight w:val="none"/>
          <w:lang w:val="zh-CN"/>
        </w:rPr>
        <w:t>告知所有供应商</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lang w:val="zh-CN"/>
        </w:rPr>
        <w:t>二次（最终）报价，并要求所有作出实质性响应的有效供应商在规定的时间内，在</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zh-CN"/>
        </w:rPr>
        <w:t>现场集体给出最终报价，同时最终报价中可包括但不限于如最终澄清方案、有关优惠承诺等。</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第五阶段：</w:t>
      </w:r>
      <w:r>
        <w:rPr>
          <w:rFonts w:hint="eastAsia" w:ascii="宋体" w:hAnsi="宋体" w:eastAsia="宋体" w:cs="宋体"/>
          <w:color w:val="auto"/>
          <w:sz w:val="24"/>
          <w:szCs w:val="24"/>
          <w:highlight w:val="none"/>
        </w:rPr>
        <w:t>磋商小组</w:t>
      </w:r>
      <w:r>
        <w:rPr>
          <w:rFonts w:hint="eastAsia" w:ascii="宋体" w:hAnsi="宋体" w:eastAsia="宋体" w:cs="宋体"/>
          <w:color w:val="auto"/>
          <w:sz w:val="24"/>
          <w:szCs w:val="24"/>
          <w:highlight w:val="none"/>
          <w:lang w:val="zh-CN"/>
        </w:rPr>
        <w:t>对供应商的最终报价进行评议和比较，在实质性响应</w:t>
      </w:r>
      <w:r>
        <w:rPr>
          <w:rFonts w:hint="eastAsia" w:ascii="宋体" w:hAnsi="宋体" w:eastAsia="宋体" w:cs="宋体"/>
          <w:color w:val="auto"/>
          <w:sz w:val="24"/>
          <w:szCs w:val="24"/>
          <w:highlight w:val="none"/>
        </w:rPr>
        <w:t>竞争性磋商</w:t>
      </w:r>
      <w:r>
        <w:rPr>
          <w:rFonts w:hint="eastAsia" w:ascii="宋体" w:hAnsi="宋体" w:eastAsia="宋体" w:cs="宋体"/>
          <w:color w:val="auto"/>
          <w:sz w:val="24"/>
          <w:szCs w:val="24"/>
          <w:highlight w:val="none"/>
          <w:lang w:val="zh-CN"/>
        </w:rPr>
        <w:t>文件，技术响应文件和商务报价响应文件部分都能满足</w:t>
      </w:r>
      <w:r>
        <w:rPr>
          <w:rFonts w:hint="eastAsia" w:ascii="宋体" w:hAnsi="宋体" w:eastAsia="宋体" w:cs="宋体"/>
          <w:color w:val="auto"/>
          <w:sz w:val="24"/>
          <w:szCs w:val="24"/>
          <w:highlight w:val="none"/>
        </w:rPr>
        <w:t>竞争性磋商</w:t>
      </w:r>
      <w:r>
        <w:rPr>
          <w:rFonts w:hint="eastAsia" w:ascii="宋体" w:hAnsi="宋体" w:eastAsia="宋体" w:cs="宋体"/>
          <w:color w:val="auto"/>
          <w:sz w:val="24"/>
          <w:szCs w:val="24"/>
          <w:highlight w:val="none"/>
          <w:lang w:val="zh-CN"/>
        </w:rPr>
        <w:t>文件的前提下，</w:t>
      </w:r>
      <w:r>
        <w:rPr>
          <w:rFonts w:hint="eastAsia" w:ascii="宋体" w:hAnsi="宋体" w:eastAsia="宋体" w:cs="宋体"/>
          <w:color w:val="auto"/>
          <w:sz w:val="24"/>
          <w:szCs w:val="24"/>
          <w:highlight w:val="none"/>
        </w:rPr>
        <w:t>磋商小组</w:t>
      </w:r>
      <w:r>
        <w:rPr>
          <w:rFonts w:hint="eastAsia" w:ascii="宋体" w:hAnsi="宋体" w:eastAsia="宋体" w:cs="宋体"/>
          <w:color w:val="auto"/>
          <w:sz w:val="24"/>
          <w:szCs w:val="24"/>
          <w:highlight w:val="none"/>
          <w:lang w:val="zh-CN"/>
        </w:rPr>
        <w:t>将校核后的各供应商的</w:t>
      </w:r>
      <w:r>
        <w:rPr>
          <w:rFonts w:hint="eastAsia" w:ascii="宋体" w:hAnsi="宋体" w:eastAsia="宋体" w:cs="宋体"/>
          <w:color w:val="auto"/>
          <w:sz w:val="24"/>
          <w:szCs w:val="24"/>
          <w:highlight w:val="none"/>
        </w:rPr>
        <w:t>综合</w:t>
      </w:r>
      <w:r>
        <w:rPr>
          <w:rFonts w:hint="eastAsia" w:ascii="宋体" w:hAnsi="宋体" w:eastAsia="宋体" w:cs="宋体"/>
          <w:color w:val="auto"/>
          <w:sz w:val="24"/>
          <w:szCs w:val="24"/>
          <w:highlight w:val="none"/>
          <w:lang w:val="zh-CN"/>
        </w:rPr>
        <w:t>得分从高到低排序（</w:t>
      </w:r>
      <w:r>
        <w:rPr>
          <w:rFonts w:hint="eastAsia" w:ascii="宋体" w:hAnsi="宋体" w:eastAsia="宋体" w:cs="宋体"/>
          <w:color w:val="auto"/>
          <w:sz w:val="24"/>
          <w:szCs w:val="24"/>
          <w:highlight w:val="none"/>
        </w:rPr>
        <w:t>明显低于成本的，且供应商不能合理说明或者不能提供相关证明材料的报价除外）</w:t>
      </w:r>
      <w:r>
        <w:rPr>
          <w:rFonts w:hint="eastAsia" w:ascii="宋体" w:hAnsi="宋体" w:eastAsia="宋体" w:cs="宋体"/>
          <w:color w:val="auto"/>
          <w:sz w:val="24"/>
          <w:szCs w:val="24"/>
          <w:highlight w:val="none"/>
          <w:lang w:val="zh-CN"/>
        </w:rPr>
        <w:t>。</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2、在</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zh-CN"/>
        </w:rPr>
        <w:t>过程中，供应商提交的澄清文件和最终报价文件，由供应商法定代表人或委托代理人签字盖章后生效，供应商受其约束。</w:t>
      </w:r>
    </w:p>
    <w:p>
      <w:pPr>
        <w:snapToGrid w:val="0"/>
        <w:spacing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四、磋商评定结果的方法</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u w:val="single"/>
        </w:rPr>
        <w:t>经磋商确定最终采购需求和提交最后报价的供应商后，</w:t>
      </w:r>
      <w:r>
        <w:rPr>
          <w:rFonts w:hint="eastAsia" w:ascii="宋体" w:hAnsi="宋体" w:eastAsia="宋体" w:cs="宋体"/>
          <w:color w:val="auto"/>
          <w:sz w:val="24"/>
          <w:szCs w:val="24"/>
          <w:highlight w:val="none"/>
        </w:rPr>
        <w:t>由磋商小组采用综合评分法</w:t>
      </w:r>
      <w:r>
        <w:rPr>
          <w:rFonts w:hint="eastAsia" w:ascii="宋体" w:hAnsi="宋体" w:eastAsia="宋体" w:cs="宋体"/>
          <w:b/>
          <w:bCs/>
          <w:color w:val="auto"/>
          <w:sz w:val="24"/>
          <w:szCs w:val="24"/>
          <w:highlight w:val="none"/>
          <w:u w:val="single"/>
        </w:rPr>
        <w:t>对提交最后报价的供应商的响应文件和最后报价</w:t>
      </w:r>
      <w:r>
        <w:rPr>
          <w:rFonts w:hint="eastAsia" w:ascii="宋体" w:hAnsi="宋体" w:eastAsia="宋体" w:cs="宋体"/>
          <w:color w:val="auto"/>
          <w:sz w:val="24"/>
          <w:szCs w:val="24"/>
          <w:highlight w:val="none"/>
        </w:rPr>
        <w:t>进行综合评分。</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2、评审时，磋商小组各成员应当独立对每个有效响应的文件进行评价、打分，然后汇总每个供应商每项评分因素的得分（计算结果均四舍五入保留两位小数）。</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3、本次项目磋商的技术</w:t>
      </w:r>
      <w:r>
        <w:rPr>
          <w:rFonts w:hint="eastAsia" w:ascii="宋体" w:hAnsi="宋体" w:eastAsia="宋体" w:cs="宋体"/>
          <w:color w:val="auto"/>
          <w:kern w:val="0"/>
          <w:sz w:val="24"/>
          <w:szCs w:val="24"/>
          <w:highlight w:val="none"/>
        </w:rPr>
        <w:t>响应文件</w:t>
      </w:r>
      <w:r>
        <w:rPr>
          <w:rFonts w:hint="eastAsia" w:ascii="宋体" w:hAnsi="宋体" w:eastAsia="宋体" w:cs="宋体"/>
          <w:color w:val="auto"/>
          <w:sz w:val="24"/>
          <w:szCs w:val="24"/>
          <w:highlight w:val="none"/>
        </w:rPr>
        <w:t>和商务报价</w:t>
      </w:r>
      <w:r>
        <w:rPr>
          <w:rFonts w:hint="eastAsia" w:ascii="宋体" w:hAnsi="宋体" w:eastAsia="宋体" w:cs="宋体"/>
          <w:color w:val="auto"/>
          <w:kern w:val="0"/>
          <w:sz w:val="24"/>
          <w:szCs w:val="24"/>
          <w:highlight w:val="none"/>
        </w:rPr>
        <w:t>响应文件</w:t>
      </w:r>
      <w:r>
        <w:rPr>
          <w:rFonts w:hint="eastAsia" w:ascii="宋体" w:hAnsi="宋体" w:eastAsia="宋体" w:cs="宋体"/>
          <w:color w:val="auto"/>
          <w:sz w:val="24"/>
          <w:szCs w:val="24"/>
          <w:highlight w:val="none"/>
        </w:rPr>
        <w:t>评审总分值为100分。两部分评审因素比重如下：</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技术响应文件分值占总分值的比重为</w:t>
      </w:r>
      <w:r>
        <w:rPr>
          <w:rFonts w:hint="eastAsia" w:ascii="宋体" w:hAnsi="宋体" w:eastAsia="宋体" w:cs="宋体"/>
          <w:color w:val="auto"/>
          <w:kern w:val="0"/>
          <w:sz w:val="24"/>
          <w:szCs w:val="24"/>
          <w:highlight w:val="none"/>
          <w:u w:val="single"/>
        </w:rPr>
        <w:t>70%（权重）</w:t>
      </w:r>
      <w:r>
        <w:rPr>
          <w:rFonts w:hint="eastAsia" w:ascii="宋体" w:hAnsi="宋体" w:eastAsia="宋体" w:cs="宋体"/>
          <w:color w:val="auto"/>
          <w:kern w:val="0"/>
          <w:sz w:val="24"/>
          <w:szCs w:val="24"/>
          <w:highlight w:val="none"/>
        </w:rPr>
        <w:t>（四舍五入保留两位小数）；</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商务报价响应文件分值占总分值的比重为</w:t>
      </w:r>
      <w:r>
        <w:rPr>
          <w:rFonts w:hint="eastAsia" w:ascii="宋体" w:hAnsi="宋体" w:eastAsia="宋体" w:cs="宋体"/>
          <w:color w:val="auto"/>
          <w:kern w:val="0"/>
          <w:sz w:val="24"/>
          <w:szCs w:val="24"/>
          <w:highlight w:val="none"/>
          <w:u w:val="single"/>
        </w:rPr>
        <w:t>30%（权重）</w:t>
      </w:r>
      <w:r>
        <w:rPr>
          <w:rFonts w:hint="eastAsia" w:ascii="宋体" w:hAnsi="宋体" w:eastAsia="宋体" w:cs="宋体"/>
          <w:color w:val="auto"/>
          <w:kern w:val="0"/>
          <w:sz w:val="24"/>
          <w:szCs w:val="24"/>
          <w:highlight w:val="none"/>
        </w:rPr>
        <w:t>（四舍五入保留两位小数）。</w:t>
      </w:r>
    </w:p>
    <w:p>
      <w:pPr>
        <w:snapToGrid w:val="0"/>
        <w:spacing w:line="360" w:lineRule="auto"/>
        <w:ind w:firstLine="480" w:firstLineChars="200"/>
        <w:rPr>
          <w:rFonts w:hint="eastAsia" w:ascii="宋体" w:hAnsi="宋体" w:eastAsia="宋体" w:cs="宋体"/>
          <w:dstrike/>
          <w:color w:val="auto"/>
          <w:sz w:val="24"/>
          <w:szCs w:val="24"/>
          <w:highlight w:val="none"/>
        </w:rPr>
      </w:pPr>
      <w:r>
        <w:rPr>
          <w:rFonts w:hint="eastAsia" w:ascii="宋体" w:hAnsi="宋体" w:eastAsia="宋体" w:cs="宋体"/>
          <w:color w:val="auto"/>
          <w:sz w:val="24"/>
          <w:szCs w:val="24"/>
          <w:highlight w:val="none"/>
        </w:rPr>
        <w:t>4、技术</w:t>
      </w:r>
      <w:r>
        <w:rPr>
          <w:rFonts w:hint="eastAsia" w:ascii="宋体" w:hAnsi="宋体" w:eastAsia="宋体" w:cs="宋体"/>
          <w:color w:val="auto"/>
          <w:kern w:val="0"/>
          <w:sz w:val="24"/>
          <w:szCs w:val="24"/>
          <w:highlight w:val="none"/>
        </w:rPr>
        <w:t>响应文件分值为所有评委打分的算术平均值，计算</w:t>
      </w:r>
      <w:r>
        <w:rPr>
          <w:rFonts w:hint="eastAsia" w:ascii="宋体" w:hAnsi="宋体" w:eastAsia="宋体" w:cs="宋体"/>
          <w:color w:val="auto"/>
          <w:sz w:val="24"/>
          <w:szCs w:val="24"/>
          <w:highlight w:val="none"/>
        </w:rPr>
        <w:t>结果均四舍五入保留两位小数。</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5、商务报价</w:t>
      </w:r>
      <w:r>
        <w:rPr>
          <w:rFonts w:hint="eastAsia" w:ascii="宋体" w:hAnsi="宋体" w:eastAsia="宋体" w:cs="宋体"/>
          <w:color w:val="auto"/>
          <w:kern w:val="0"/>
          <w:sz w:val="24"/>
          <w:szCs w:val="24"/>
          <w:highlight w:val="none"/>
        </w:rPr>
        <w:t>响应文件</w:t>
      </w:r>
      <w:r>
        <w:rPr>
          <w:rFonts w:hint="eastAsia" w:ascii="宋体" w:hAnsi="宋体" w:eastAsia="宋体" w:cs="宋体"/>
          <w:color w:val="auto"/>
          <w:sz w:val="24"/>
          <w:szCs w:val="24"/>
          <w:highlight w:val="none"/>
        </w:rPr>
        <w:t>分值统一采用低价优先法计算直接取得，与技术</w:t>
      </w:r>
      <w:r>
        <w:rPr>
          <w:rFonts w:hint="eastAsia" w:ascii="宋体" w:hAnsi="宋体" w:eastAsia="宋体" w:cs="宋体"/>
          <w:color w:val="auto"/>
          <w:kern w:val="0"/>
          <w:sz w:val="24"/>
          <w:szCs w:val="24"/>
          <w:highlight w:val="none"/>
        </w:rPr>
        <w:t>响应文件</w:t>
      </w:r>
      <w:r>
        <w:rPr>
          <w:rFonts w:hint="eastAsia" w:ascii="宋体" w:hAnsi="宋体" w:eastAsia="宋体" w:cs="宋体"/>
          <w:color w:val="auto"/>
          <w:sz w:val="24"/>
          <w:szCs w:val="24"/>
          <w:highlight w:val="none"/>
        </w:rPr>
        <w:t>分值相加为供应商的综合得分（四舍五入保留两位小数）。</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6、磋商小组汇总各评委评分后，按照</w:t>
      </w:r>
      <w:r>
        <w:rPr>
          <w:rFonts w:hint="eastAsia" w:ascii="宋体" w:hAnsi="宋体" w:eastAsia="宋体" w:cs="宋体"/>
          <w:color w:val="auto"/>
          <w:sz w:val="24"/>
          <w:szCs w:val="24"/>
          <w:highlight w:val="none"/>
          <w:lang w:val="zh-CN"/>
        </w:rPr>
        <w:t>各供应商</w:t>
      </w:r>
      <w:r>
        <w:rPr>
          <w:rFonts w:hint="eastAsia" w:ascii="宋体" w:hAnsi="宋体" w:eastAsia="宋体" w:cs="宋体"/>
          <w:color w:val="auto"/>
          <w:sz w:val="24"/>
          <w:szCs w:val="24"/>
          <w:highlight w:val="none"/>
        </w:rPr>
        <w:t>的综合得分从高到低的顺序推荐三名成交候选供应商，并编写评审报告。</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7、采购单位委托磋商小组直接确定排名第一的成交候选供应商为成交供应商。</w:t>
      </w:r>
    </w:p>
    <w:p>
      <w:pPr>
        <w:snapToGrid w:val="0"/>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8、确定成交候选人的特殊情况处理：</w:t>
      </w:r>
    </w:p>
    <w:p>
      <w:pPr>
        <w:snapToGrid w:val="0"/>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（1）若总分相同，则按最终报价得分高者优先成交。</w:t>
      </w:r>
    </w:p>
    <w:p>
      <w:pPr>
        <w:snapToGrid w:val="0"/>
        <w:spacing w:line="360" w:lineRule="auto"/>
        <w:ind w:firstLine="480" w:firstLineChars="200"/>
        <w:outlineLvl w:val="1"/>
        <w:rPr>
          <w:rFonts w:hint="eastAsia" w:ascii="宋体" w:hAnsi="宋体" w:eastAsia="宋体" w:cs="宋体"/>
          <w:dstrike/>
          <w:color w:val="auto"/>
          <w:sz w:val="24"/>
          <w:szCs w:val="24"/>
          <w:highlight w:val="none"/>
        </w:rPr>
      </w:pPr>
      <w:r>
        <w:rPr>
          <w:rFonts w:hint="eastAsia" w:ascii="宋体" w:hAnsi="宋体" w:eastAsia="宋体" w:cs="宋体"/>
          <w:color w:val="auto"/>
          <w:sz w:val="24"/>
          <w:szCs w:val="24"/>
          <w:highlight w:val="none"/>
        </w:rPr>
        <w:t>（2）若总分且最终报价得分相同，则采取现场抽签的方式确定（由供应商按递交响应文件签到顺序号抽签确定）。</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9、磋商评审时，评委对评审的细则若有争议，由磋商小组集体讨论确定，并对未尽情况有最终解释权。</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10、对落标的供应商不做落标原因的解释。</w:t>
      </w:r>
    </w:p>
    <w:p>
      <w:pPr>
        <w:snapToGrid w:val="0"/>
        <w:spacing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五、综合评分评审标准</w:t>
      </w:r>
    </w:p>
    <w:p>
      <w:pPr>
        <w:adjustRightInd w:val="0"/>
        <w:snapToGrid w:val="0"/>
        <w:spacing w:line="360" w:lineRule="auto"/>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（一）技术磋商响应评审（70分）：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815"/>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18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评分点及分值</w:t>
            </w:r>
          </w:p>
        </w:tc>
        <w:tc>
          <w:tcPr>
            <w:tcW w:w="64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8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体系认证</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（满分6分）</w:t>
            </w:r>
          </w:p>
        </w:tc>
        <w:tc>
          <w:tcPr>
            <w:tcW w:w="64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3"/>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投标人具有有效的质量管理体系认证证书、环境管理体系认证证书、职业健康安全管理体系认证证书，每提供1</w:t>
            </w:r>
            <w:r>
              <w:rPr>
                <w:rFonts w:hint="eastAsia" w:ascii="宋体" w:hAnsi="宋体" w:eastAsia="宋体" w:cs="宋体"/>
                <w:color w:val="auto"/>
                <w:kern w:val="0"/>
                <w:sz w:val="24"/>
                <w:szCs w:val="24"/>
                <w:highlight w:val="none"/>
                <w:lang w:val="en-US" w:eastAsia="zh-CN" w:bidi="ar"/>
              </w:rPr>
              <w:t>类</w:t>
            </w:r>
            <w:r>
              <w:rPr>
                <w:rFonts w:hint="eastAsia" w:ascii="宋体" w:hAnsi="宋体" w:eastAsia="宋体" w:cs="宋体"/>
                <w:color w:val="auto"/>
                <w:kern w:val="0"/>
                <w:sz w:val="24"/>
                <w:szCs w:val="24"/>
                <w:highlight w:val="none"/>
                <w:lang w:bidi="ar"/>
              </w:rPr>
              <w:t>得</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分，满分</w:t>
            </w: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3"/>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bidi="ar"/>
              </w:rPr>
              <w:t>提供对应证书复印件并加盖供应商单位公章。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18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业绩</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（满分6分）</w:t>
            </w:r>
          </w:p>
        </w:tc>
        <w:tc>
          <w:tcPr>
            <w:tcW w:w="64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3"/>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rPr>
              <w:t>供应商</w:t>
            </w:r>
            <w:r>
              <w:rPr>
                <w:rFonts w:hint="eastAsia" w:ascii="宋体" w:hAnsi="宋体" w:eastAsia="宋体" w:cs="宋体"/>
                <w:color w:val="auto"/>
                <w:sz w:val="24"/>
                <w:szCs w:val="24"/>
                <w:highlight w:val="none"/>
                <w:vertAlign w:val="baseline"/>
                <w:lang w:val="en-US" w:eastAsia="zh-CN"/>
              </w:rPr>
              <w:t>自</w:t>
            </w:r>
            <w:r>
              <w:rPr>
                <w:rFonts w:hint="eastAsia" w:ascii="宋体" w:hAnsi="宋体" w:eastAsia="宋体" w:cs="宋体"/>
                <w:color w:val="auto"/>
                <w:sz w:val="24"/>
                <w:szCs w:val="24"/>
                <w:highlight w:val="none"/>
                <w:vertAlign w:val="baseline"/>
              </w:rPr>
              <w:t>2019年</w:t>
            </w:r>
            <w:r>
              <w:rPr>
                <w:rFonts w:hint="eastAsia" w:ascii="宋体" w:hAnsi="宋体" w:eastAsia="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rPr>
              <w:t>月1日以</w:t>
            </w:r>
            <w:r>
              <w:rPr>
                <w:rFonts w:hint="eastAsia" w:ascii="宋体" w:hAnsi="宋体" w:eastAsia="宋体" w:cs="宋体"/>
                <w:color w:val="auto"/>
                <w:sz w:val="24"/>
                <w:szCs w:val="24"/>
                <w:highlight w:val="none"/>
                <w:vertAlign w:val="baseline"/>
                <w:lang w:val="en-US" w:eastAsia="zh-CN"/>
              </w:rPr>
              <w:t>来（以竣工验收证明上竣工验收合格时间为准）承担过机电（或建筑机电）工程施工项目的，每提供1个，得3分，满分6分。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3"/>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提供有效的中标通知书（直接发包项目可提供有效的直接发包通知书）、施工合同、竣工验收证明复印件并加盖供应商单位公章，以上三项缺一不可。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3"/>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竣工验收证明（竣工验收证明是指由建设单位（或监理）组织工程建设各方验收合格，并签署相应的单位工程质量竣工验收记录或者分部工程质量验收记录等验收文件。）需由建设单位、设计单位、监理单位、施工单位共同盖章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1815" w:type="dxa"/>
            <w:vMerge w:val="restart"/>
            <w:vAlign w:val="center"/>
          </w:tcPr>
          <w:p>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售后服务承诺</w:t>
            </w:r>
          </w:p>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满分3分</w:t>
            </w:r>
            <w:r>
              <w:rPr>
                <w:rFonts w:hint="eastAsia" w:ascii="宋体" w:hAnsi="宋体" w:eastAsia="宋体" w:cs="宋体"/>
                <w:color w:val="auto"/>
                <w:kern w:val="0"/>
                <w:sz w:val="24"/>
                <w:szCs w:val="24"/>
                <w:highlight w:val="none"/>
                <w:lang w:eastAsia="zh-CN" w:bidi="ar"/>
              </w:rPr>
              <w:t>）</w:t>
            </w:r>
          </w:p>
        </w:tc>
        <w:tc>
          <w:tcPr>
            <w:tcW w:w="640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若</w:t>
            </w:r>
            <w:r>
              <w:rPr>
                <w:rFonts w:hint="eastAsia" w:ascii="宋体" w:hAnsi="宋体" w:eastAsia="宋体" w:cs="宋体"/>
                <w:color w:val="auto"/>
                <w:kern w:val="0"/>
                <w:sz w:val="24"/>
                <w:szCs w:val="24"/>
                <w:highlight w:val="none"/>
                <w:lang w:val="en-US" w:eastAsia="zh-CN" w:bidi="ar"/>
              </w:rPr>
              <w:t>电梯</w:t>
            </w:r>
            <w:r>
              <w:rPr>
                <w:rFonts w:hint="eastAsia" w:ascii="宋体" w:hAnsi="宋体" w:eastAsia="宋体" w:cs="宋体"/>
                <w:color w:val="auto"/>
                <w:kern w:val="0"/>
                <w:sz w:val="24"/>
                <w:szCs w:val="24"/>
                <w:highlight w:val="none"/>
                <w:lang w:bidi="ar"/>
              </w:rPr>
              <w:t>出现任何故障或缺陷，需要及时响应，承诺紧急故障</w:t>
            </w:r>
            <w:r>
              <w:rPr>
                <w:rFonts w:hint="eastAsia" w:ascii="宋体" w:hAnsi="宋体" w:eastAsia="宋体" w:cs="宋体"/>
                <w:color w:val="auto"/>
                <w:kern w:val="0"/>
                <w:sz w:val="24"/>
                <w:szCs w:val="24"/>
                <w:highlight w:val="none"/>
                <w:lang w:val="en-US" w:eastAsia="zh-CN" w:bidi="ar"/>
              </w:rPr>
              <w:t>0.5</w:t>
            </w:r>
            <w:r>
              <w:rPr>
                <w:rFonts w:hint="eastAsia" w:ascii="宋体" w:hAnsi="宋体" w:eastAsia="宋体" w:cs="宋体"/>
                <w:color w:val="auto"/>
                <w:kern w:val="0"/>
                <w:sz w:val="24"/>
                <w:szCs w:val="24"/>
                <w:highlight w:val="none"/>
                <w:lang w:bidi="ar"/>
              </w:rPr>
              <w:t>小时内响应的得1分，在</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小时内响应的得0.5分，在</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小时以上响应的得0分</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提供承诺函</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格式自拟，加盖供应商单位公章</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lang w:val="en-US" w:eastAsia="zh-CN"/>
              </w:rPr>
            </w:pPr>
          </w:p>
        </w:tc>
        <w:tc>
          <w:tcPr>
            <w:tcW w:w="1815" w:type="dxa"/>
            <w:vMerge w:val="continue"/>
            <w:vAlign w:val="center"/>
          </w:tcPr>
          <w:p>
            <w:pPr>
              <w:widowControl/>
              <w:jc w:val="center"/>
              <w:textAlignment w:val="center"/>
              <w:rPr>
                <w:rFonts w:hint="eastAsia" w:ascii="宋体" w:hAnsi="宋体" w:eastAsia="宋体" w:cs="宋体"/>
                <w:color w:val="auto"/>
                <w:sz w:val="24"/>
                <w:szCs w:val="24"/>
                <w:highlight w:val="none"/>
                <w:vertAlign w:val="baseline"/>
                <w:lang w:val="en-US" w:eastAsia="zh-CN"/>
              </w:rPr>
            </w:pPr>
          </w:p>
        </w:tc>
        <w:tc>
          <w:tcPr>
            <w:tcW w:w="640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若</w:t>
            </w:r>
            <w:r>
              <w:rPr>
                <w:rFonts w:hint="eastAsia" w:ascii="宋体" w:hAnsi="宋体" w:eastAsia="宋体" w:cs="宋体"/>
                <w:color w:val="auto"/>
                <w:kern w:val="0"/>
                <w:sz w:val="24"/>
                <w:szCs w:val="24"/>
                <w:highlight w:val="none"/>
                <w:lang w:val="en-US" w:eastAsia="zh-CN" w:bidi="ar"/>
              </w:rPr>
              <w:t>电梯</w:t>
            </w:r>
            <w:r>
              <w:rPr>
                <w:rFonts w:hint="eastAsia" w:ascii="宋体" w:hAnsi="宋体" w:eastAsia="宋体" w:cs="宋体"/>
                <w:color w:val="auto"/>
                <w:kern w:val="0"/>
                <w:sz w:val="24"/>
                <w:szCs w:val="24"/>
                <w:highlight w:val="none"/>
                <w:lang w:bidi="ar"/>
              </w:rPr>
              <w:t>出现的一般故障或缺陷需要到现场进行故障排除，承诺专业技术人员1小时内到达现场进行故障排除并解决的得1分，承诺专业技术人员2小时内到达现场进行故障排除并解决的得0.5分。其余不得分。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提供承诺函</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格式自拟，加盖供应商单位公章</w:t>
            </w:r>
            <w:r>
              <w:rPr>
                <w:rFonts w:hint="eastAsia" w:ascii="宋体" w:hAnsi="宋体" w:eastAsia="宋体" w:cs="宋体"/>
                <w:color w:val="auto"/>
                <w:kern w:val="0"/>
                <w:sz w:val="24"/>
                <w:szCs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lang w:val="en-US" w:eastAsia="zh-CN"/>
              </w:rPr>
            </w:pPr>
          </w:p>
        </w:tc>
        <w:tc>
          <w:tcPr>
            <w:tcW w:w="1815" w:type="dxa"/>
            <w:vMerge w:val="continue"/>
            <w:vAlign w:val="center"/>
          </w:tcPr>
          <w:p>
            <w:pPr>
              <w:widowControl/>
              <w:jc w:val="center"/>
              <w:textAlignment w:val="center"/>
              <w:rPr>
                <w:rFonts w:hint="eastAsia" w:ascii="宋体" w:hAnsi="宋体" w:eastAsia="宋体" w:cs="宋体"/>
                <w:color w:val="auto"/>
                <w:sz w:val="24"/>
                <w:szCs w:val="24"/>
                <w:highlight w:val="none"/>
                <w:vertAlign w:val="baseline"/>
                <w:lang w:val="en-US" w:eastAsia="zh-CN"/>
              </w:rPr>
            </w:pPr>
          </w:p>
        </w:tc>
        <w:tc>
          <w:tcPr>
            <w:tcW w:w="640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若</w:t>
            </w:r>
            <w:r>
              <w:rPr>
                <w:rFonts w:hint="eastAsia" w:ascii="宋体" w:hAnsi="宋体" w:eastAsia="宋体" w:cs="宋体"/>
                <w:color w:val="auto"/>
                <w:kern w:val="0"/>
                <w:sz w:val="24"/>
                <w:szCs w:val="24"/>
                <w:highlight w:val="none"/>
                <w:lang w:val="en-US" w:eastAsia="zh-CN" w:bidi="ar"/>
              </w:rPr>
              <w:t>电梯</w:t>
            </w:r>
            <w:r>
              <w:rPr>
                <w:rFonts w:hint="eastAsia" w:ascii="宋体" w:hAnsi="宋体" w:eastAsia="宋体" w:cs="宋体"/>
                <w:color w:val="auto"/>
                <w:kern w:val="0"/>
                <w:sz w:val="24"/>
                <w:szCs w:val="24"/>
                <w:highlight w:val="none"/>
                <w:lang w:bidi="ar"/>
              </w:rPr>
              <w:t>出现的重大故障或缺陷需要到现场进行故障排除，承诺专业技术人员1小时内到达现场</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小时内进行故障排除并解决的得1分，承诺专业技术人员2小时内到达现场</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小时内进行故障排除并解决的得0.5分，承诺专业技术人员4小时以上到达现场进行故障排除并解决的得0分</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提供承诺函</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格式自拟，加盖供应商单位公章</w:t>
            </w:r>
            <w:r>
              <w:rPr>
                <w:rFonts w:hint="eastAsia" w:ascii="宋体" w:hAnsi="宋体" w:eastAsia="宋体" w:cs="宋体"/>
                <w:color w:val="auto"/>
                <w:kern w:val="0"/>
                <w:sz w:val="24"/>
                <w:szCs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181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施工方案</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（满分50分）</w:t>
            </w:r>
          </w:p>
        </w:tc>
        <w:tc>
          <w:tcPr>
            <w:tcW w:w="640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highlight w:val="none"/>
              </w:rPr>
              <w:t>评委根据响应文件中提供的施工方案</w:t>
            </w:r>
            <w:r>
              <w:rPr>
                <w:rFonts w:hint="eastAsia" w:ascii="宋体" w:hAnsi="宋体" w:eastAsia="宋体" w:cs="宋体"/>
                <w:color w:val="auto"/>
                <w:kern w:val="0"/>
                <w:sz w:val="24"/>
                <w:highlight w:val="none"/>
                <w:lang w:val="en-US" w:eastAsia="zh-CN"/>
              </w:rPr>
              <w:t>中总体组织</w:t>
            </w:r>
            <w:r>
              <w:rPr>
                <w:rFonts w:hint="eastAsia" w:ascii="宋体" w:hAnsi="宋体" w:eastAsia="宋体" w:cs="宋体"/>
                <w:color w:val="auto"/>
                <w:kern w:val="0"/>
                <w:sz w:val="24"/>
                <w:highlight w:val="none"/>
              </w:rPr>
              <w:t>进行打分。内容完整、详细具体、科学合理、组织严谨的，得</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分；内容较完整、组织较严谨的，得</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分，内容不完整、组织不严谨的，得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szCs w:val="24"/>
                <w:highlight w:val="none"/>
              </w:rPr>
              <w:t>未提供的不得分</w:t>
            </w:r>
            <w:r>
              <w:rPr>
                <w:rFonts w:hint="eastAsia" w:ascii="宋体" w:hAnsi="宋体" w:eastAsia="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rPr>
            </w:pPr>
          </w:p>
        </w:tc>
        <w:tc>
          <w:tcPr>
            <w:tcW w:w="18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rPr>
            </w:pPr>
          </w:p>
        </w:tc>
        <w:tc>
          <w:tcPr>
            <w:tcW w:w="640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highlight w:val="none"/>
              </w:rPr>
              <w:t>根据响应文件中提供的施工方案及质量保证措施计划进行打分。科学合理、质量保证充分的，得</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分；质量有基本保障的，得</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分，质量无法保障的，得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szCs w:val="24"/>
                <w:highlight w:val="none"/>
              </w:rPr>
              <w:t>未提供的不得分</w:t>
            </w:r>
            <w:r>
              <w:rPr>
                <w:rFonts w:hint="eastAsia" w:ascii="宋体" w:hAnsi="宋体" w:eastAsia="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rPr>
            </w:pPr>
          </w:p>
        </w:tc>
        <w:tc>
          <w:tcPr>
            <w:tcW w:w="18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rPr>
            </w:pPr>
          </w:p>
        </w:tc>
        <w:tc>
          <w:tcPr>
            <w:tcW w:w="640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highlight w:val="none"/>
              </w:rPr>
              <w:t>根据施工进度计划和各阶段进度的保证措施进行打分。内容完整、详细具体、科学合理、组织严谨的，得</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分；内容较完整、组织较严谨的，得</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分，内容一般、组织一般的，得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szCs w:val="24"/>
                <w:highlight w:val="none"/>
              </w:rPr>
              <w:t>未提供的不得分</w:t>
            </w:r>
            <w:r>
              <w:rPr>
                <w:rFonts w:hint="eastAsia" w:ascii="宋体" w:hAnsi="宋体" w:eastAsia="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rPr>
            </w:pPr>
          </w:p>
        </w:tc>
        <w:tc>
          <w:tcPr>
            <w:tcW w:w="18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rPr>
            </w:pPr>
          </w:p>
        </w:tc>
        <w:tc>
          <w:tcPr>
            <w:tcW w:w="640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highlight w:val="none"/>
              </w:rPr>
              <w:t>根据响应文件中提供的关键施</w:t>
            </w:r>
            <w:r>
              <w:rPr>
                <w:rFonts w:hint="eastAsia" w:ascii="宋体" w:hAnsi="宋体" w:eastAsia="宋体" w:cs="宋体"/>
                <w:color w:val="auto"/>
                <w:kern w:val="0"/>
                <w:sz w:val="24"/>
                <w:highlight w:val="none"/>
                <w:lang w:val="en-US" w:eastAsia="zh-CN"/>
              </w:rPr>
              <w:t>工</w:t>
            </w:r>
            <w:r>
              <w:rPr>
                <w:rFonts w:hint="eastAsia" w:ascii="宋体" w:hAnsi="宋体" w:eastAsia="宋体" w:cs="宋体"/>
                <w:color w:val="auto"/>
                <w:kern w:val="0"/>
                <w:sz w:val="24"/>
                <w:highlight w:val="none"/>
              </w:rPr>
              <w:t>技术、工艺及工程项目实施的重点、难点和解决方案进行打分。技术先进、难点分析到位、解决方案合理、可行性强的，得</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分；技术成熟、难点分析及解决方案较为合理、具备一定可行性的，得</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分；技术成熟、难点分析及解决方案一般、可行性基本可行的，得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szCs w:val="24"/>
                <w:highlight w:val="none"/>
              </w:rPr>
              <w:t>未提供的不得分</w:t>
            </w:r>
            <w:r>
              <w:rPr>
                <w:rFonts w:hint="eastAsia" w:ascii="宋体" w:hAnsi="宋体" w:eastAsia="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rPr>
            </w:pPr>
          </w:p>
        </w:tc>
        <w:tc>
          <w:tcPr>
            <w:tcW w:w="18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rPr>
            </w:pPr>
          </w:p>
        </w:tc>
        <w:tc>
          <w:tcPr>
            <w:tcW w:w="640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highlight w:val="none"/>
              </w:rPr>
              <w:t>根据响应文件中提供的安全文明施工及环境保护措施进行打分，保护措施全面充分的，得</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分；保护措施基本有效的，得</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分，保护措施一般的，得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szCs w:val="24"/>
                <w:highlight w:val="none"/>
              </w:rPr>
              <w:t>未提供的不得分</w:t>
            </w:r>
            <w:r>
              <w:rPr>
                <w:rFonts w:hint="eastAsia" w:ascii="宋体" w:hAnsi="宋体" w:eastAsia="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18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售后服务方案</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（满分5分）</w:t>
            </w:r>
          </w:p>
        </w:tc>
        <w:tc>
          <w:tcPr>
            <w:tcW w:w="64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售后服务方案包括但不限于服务体系、服务内容、故障解决方案、响应时间、专业技术人员保障，团队等以及质保期后的服务方案等。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3"/>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磋商小组根据</w:t>
            </w:r>
            <w:r>
              <w:rPr>
                <w:rFonts w:hint="eastAsia" w:ascii="宋体" w:hAnsi="宋体" w:eastAsia="宋体" w:cs="宋体"/>
                <w:color w:val="auto"/>
                <w:kern w:val="0"/>
                <w:sz w:val="24"/>
                <w:szCs w:val="24"/>
                <w:highlight w:val="none"/>
                <w:lang w:val="en-US" w:eastAsia="zh-CN"/>
              </w:rPr>
              <w:t>响应文件中的</w:t>
            </w:r>
            <w:r>
              <w:rPr>
                <w:rFonts w:hint="eastAsia" w:ascii="宋体" w:hAnsi="宋体" w:eastAsia="宋体" w:cs="宋体"/>
                <w:color w:val="auto"/>
                <w:kern w:val="0"/>
                <w:sz w:val="24"/>
                <w:szCs w:val="24"/>
                <w:highlight w:val="none"/>
              </w:rPr>
              <w:t>售后服务方案的合理性和可行性</w:t>
            </w:r>
            <w:r>
              <w:rPr>
                <w:rFonts w:hint="eastAsia" w:ascii="宋体" w:hAnsi="宋体" w:eastAsia="宋体" w:cs="宋体"/>
                <w:color w:val="auto"/>
                <w:kern w:val="0"/>
                <w:sz w:val="24"/>
                <w:szCs w:val="24"/>
                <w:highlight w:val="none"/>
                <w:lang w:val="en-US" w:eastAsia="zh-CN"/>
              </w:rPr>
              <w:t>进行综合</w:t>
            </w:r>
            <w:r>
              <w:rPr>
                <w:rFonts w:hint="eastAsia" w:ascii="宋体" w:hAnsi="宋体" w:eastAsia="宋体" w:cs="宋体"/>
                <w:color w:val="auto"/>
                <w:kern w:val="0"/>
                <w:sz w:val="24"/>
                <w:szCs w:val="24"/>
                <w:highlight w:val="none"/>
              </w:rPr>
              <w:t>打分</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3"/>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rPr>
              <w:t>售后服务方案</w:t>
            </w:r>
            <w:r>
              <w:rPr>
                <w:rFonts w:hint="eastAsia" w:ascii="宋体" w:hAnsi="宋体" w:eastAsia="宋体" w:cs="宋体"/>
                <w:color w:val="auto"/>
                <w:kern w:val="0"/>
                <w:sz w:val="24"/>
                <w:highlight w:val="none"/>
              </w:rPr>
              <w:t>内容完整、详细具体、科学合理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可行性强的，得5分；</w:t>
            </w:r>
            <w:r>
              <w:rPr>
                <w:rFonts w:hint="eastAsia" w:ascii="宋体" w:hAnsi="宋体" w:eastAsia="宋体" w:cs="宋体"/>
                <w:color w:val="auto"/>
                <w:kern w:val="0"/>
                <w:sz w:val="24"/>
                <w:szCs w:val="24"/>
                <w:highlight w:val="none"/>
                <w:lang w:val="en-US" w:eastAsia="zh-CN"/>
              </w:rPr>
              <w:t>售后服务方案</w:t>
            </w:r>
            <w:r>
              <w:rPr>
                <w:rFonts w:hint="eastAsia" w:ascii="宋体" w:hAnsi="宋体" w:eastAsia="宋体" w:cs="宋体"/>
                <w:color w:val="auto"/>
                <w:kern w:val="0"/>
                <w:sz w:val="24"/>
                <w:highlight w:val="none"/>
              </w:rPr>
              <w:t>内容</w:t>
            </w:r>
            <w:r>
              <w:rPr>
                <w:rFonts w:hint="eastAsia" w:ascii="宋体" w:hAnsi="宋体" w:eastAsia="宋体" w:cs="宋体"/>
                <w:color w:val="auto"/>
                <w:kern w:val="0"/>
                <w:sz w:val="24"/>
                <w:highlight w:val="none"/>
                <w:lang w:val="en-US" w:eastAsia="zh-CN"/>
              </w:rPr>
              <w:t>较</w:t>
            </w:r>
            <w:r>
              <w:rPr>
                <w:rFonts w:hint="eastAsia" w:ascii="宋体" w:hAnsi="宋体" w:eastAsia="宋体" w:cs="宋体"/>
                <w:color w:val="auto"/>
                <w:kern w:val="0"/>
                <w:sz w:val="24"/>
                <w:highlight w:val="none"/>
              </w:rPr>
              <w:t>完整、</w:t>
            </w:r>
            <w:r>
              <w:rPr>
                <w:rFonts w:hint="eastAsia" w:ascii="宋体" w:hAnsi="宋体" w:eastAsia="宋体" w:cs="宋体"/>
                <w:color w:val="auto"/>
                <w:kern w:val="0"/>
                <w:sz w:val="24"/>
                <w:highlight w:val="none"/>
                <w:lang w:val="en-US" w:eastAsia="zh-CN"/>
              </w:rPr>
              <w:t>可行性较强的，得3分；</w:t>
            </w:r>
            <w:r>
              <w:rPr>
                <w:rFonts w:hint="eastAsia" w:ascii="宋体" w:hAnsi="宋体" w:eastAsia="宋体" w:cs="宋体"/>
                <w:color w:val="auto"/>
                <w:kern w:val="0"/>
                <w:sz w:val="24"/>
                <w:szCs w:val="24"/>
                <w:highlight w:val="none"/>
                <w:lang w:val="en-US" w:eastAsia="zh-CN"/>
              </w:rPr>
              <w:t>售后服务方案</w:t>
            </w:r>
            <w:r>
              <w:rPr>
                <w:rFonts w:hint="eastAsia" w:ascii="宋体" w:hAnsi="宋体" w:eastAsia="宋体" w:cs="宋体"/>
                <w:color w:val="auto"/>
                <w:kern w:val="0"/>
                <w:sz w:val="24"/>
                <w:highlight w:val="none"/>
              </w:rPr>
              <w:t>内容</w:t>
            </w:r>
            <w:r>
              <w:rPr>
                <w:rFonts w:hint="eastAsia" w:ascii="宋体" w:hAnsi="宋体" w:eastAsia="宋体" w:cs="宋体"/>
                <w:color w:val="auto"/>
                <w:kern w:val="0"/>
                <w:sz w:val="24"/>
                <w:highlight w:val="none"/>
                <w:lang w:val="en-US" w:eastAsia="zh-CN"/>
              </w:rPr>
              <w:t>不</w:t>
            </w:r>
            <w:r>
              <w:rPr>
                <w:rFonts w:hint="eastAsia" w:ascii="宋体" w:hAnsi="宋体" w:eastAsia="宋体" w:cs="宋体"/>
                <w:color w:val="auto"/>
                <w:kern w:val="0"/>
                <w:sz w:val="24"/>
                <w:highlight w:val="none"/>
              </w:rPr>
              <w:t>完整、</w:t>
            </w:r>
            <w:r>
              <w:rPr>
                <w:rFonts w:hint="eastAsia" w:ascii="宋体" w:hAnsi="宋体" w:eastAsia="宋体" w:cs="宋体"/>
                <w:color w:val="auto"/>
                <w:kern w:val="0"/>
                <w:sz w:val="24"/>
                <w:highlight w:val="none"/>
                <w:lang w:val="en-US" w:eastAsia="zh-CN"/>
              </w:rPr>
              <w:t>可行性不强的，得1分；</w:t>
            </w:r>
            <w:r>
              <w:rPr>
                <w:rFonts w:hint="eastAsia" w:ascii="宋体" w:hAnsi="宋体" w:eastAsia="宋体" w:cs="宋体"/>
                <w:color w:val="auto"/>
                <w:kern w:val="0"/>
                <w:sz w:val="24"/>
                <w:szCs w:val="24"/>
                <w:highlight w:val="none"/>
              </w:rPr>
              <w:t>未提供不得分。</w:t>
            </w:r>
          </w:p>
        </w:tc>
      </w:tr>
    </w:tbl>
    <w:p>
      <w:pPr>
        <w:adjustRightInd w:val="0"/>
        <w:snapToGrid w:val="0"/>
        <w:spacing w:line="360" w:lineRule="auto"/>
        <w:ind w:firstLine="480" w:firstLineChars="200"/>
        <w:outlineLvl w:val="3"/>
        <w:rPr>
          <w:rFonts w:hint="eastAsia" w:ascii="宋体" w:hAnsi="宋体" w:eastAsia="宋体" w:cs="宋体"/>
          <w:color w:val="auto"/>
          <w:sz w:val="24"/>
          <w:szCs w:val="24"/>
          <w:highlight w:val="none"/>
        </w:rPr>
      </w:pPr>
    </w:p>
    <w:p>
      <w:pPr>
        <w:snapToGrid w:val="0"/>
        <w:spacing w:line="360" w:lineRule="auto"/>
        <w:ind w:firstLine="480" w:firstLineChars="200"/>
        <w:outlineLvl w:val="1"/>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注：以上打分项设得分上限，磋商小组依据竞争性磋商</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载明的方法评分，评分四舍五入精确到小数点后两位。</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（二）商务报价响应评审（30分）：</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1、本次项目最高限价为人民币</w:t>
      </w:r>
      <w:r>
        <w:rPr>
          <w:rFonts w:hint="eastAsia" w:ascii="宋体" w:hAnsi="宋体" w:eastAsia="宋体" w:cs="宋体"/>
          <w:color w:val="auto"/>
          <w:sz w:val="24"/>
          <w:szCs w:val="24"/>
          <w:highlight w:val="none"/>
          <w:u w:val="single"/>
          <w:lang w:val="en-US" w:eastAsia="zh-CN"/>
        </w:rPr>
        <w:t>506003.7</w:t>
      </w:r>
      <w:r>
        <w:rPr>
          <w:rFonts w:hint="eastAsia" w:ascii="宋体" w:hAnsi="宋体" w:eastAsia="宋体" w:cs="宋体"/>
          <w:color w:val="auto"/>
          <w:sz w:val="24"/>
          <w:szCs w:val="24"/>
          <w:highlight w:val="none"/>
        </w:rPr>
        <w:t>元，超过最高限价的作无效响应处理。</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2、满足竞争性磋商文件要求且最终</w:t>
      </w:r>
      <w:r>
        <w:rPr>
          <w:rFonts w:hint="eastAsia" w:ascii="宋体" w:hAnsi="宋体" w:eastAsia="宋体" w:cs="宋体"/>
          <w:color w:val="auto"/>
          <w:sz w:val="24"/>
          <w:szCs w:val="24"/>
          <w:highlight w:val="none"/>
          <w:lang w:val="en-US" w:eastAsia="zh-CN"/>
        </w:rPr>
        <w:t>总价</w:t>
      </w:r>
      <w:r>
        <w:rPr>
          <w:rFonts w:hint="eastAsia" w:ascii="宋体" w:hAnsi="宋体" w:eastAsia="宋体" w:cs="宋体"/>
          <w:color w:val="auto"/>
          <w:sz w:val="24"/>
          <w:szCs w:val="24"/>
          <w:highlight w:val="none"/>
        </w:rPr>
        <w:t>报价最低的报价为评标基准价，其商务</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得分为满分30分。</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3、其他供应商的商务</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得分按照下列公式计算：</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得分 =（评标基准价/最终磋商响应</w:t>
      </w:r>
      <w:r>
        <w:rPr>
          <w:rFonts w:hint="eastAsia" w:ascii="宋体" w:hAnsi="宋体" w:eastAsia="宋体" w:cs="宋体"/>
          <w:color w:val="auto"/>
          <w:sz w:val="24"/>
          <w:szCs w:val="24"/>
          <w:highlight w:val="none"/>
          <w:lang w:val="en-US" w:eastAsia="zh-CN"/>
        </w:rPr>
        <w:t>总价</w:t>
      </w:r>
      <w:r>
        <w:rPr>
          <w:rFonts w:hint="eastAsia" w:ascii="宋体" w:hAnsi="宋体" w:eastAsia="宋体" w:cs="宋体"/>
          <w:color w:val="auto"/>
          <w:sz w:val="24"/>
          <w:szCs w:val="24"/>
          <w:highlight w:val="none"/>
        </w:rPr>
        <w:t>报价）×30%×100</w:t>
      </w:r>
      <w:bookmarkEnd w:id="69"/>
      <w:bookmarkEnd w:id="70"/>
      <w:bookmarkEnd w:id="71"/>
      <w:bookmarkEnd w:id="72"/>
      <w:bookmarkEnd w:id="73"/>
      <w:bookmarkEnd w:id="74"/>
      <w:bookmarkEnd w:id="75"/>
      <w:bookmarkEnd w:id="76"/>
      <w:bookmarkStart w:id="78" w:name="_Toc363573858"/>
      <w:bookmarkStart w:id="79" w:name="_Toc94585343"/>
    </w:p>
    <w:p>
      <w:pPr>
        <w:pStyle w:val="22"/>
        <w:snapToGrid w:val="0"/>
        <w:spacing w:before="0" w:after="0"/>
        <w:ind w:left="0" w:right="0" w:firstLine="482" w:firstLineChars="200"/>
        <w:jc w:val="both"/>
        <w:rPr>
          <w:rFonts w:hint="eastAsia" w:ascii="宋体" w:hAnsi="宋体" w:eastAsia="宋体" w:cs="宋体"/>
          <w:b/>
          <w:bCs/>
          <w:color w:val="auto"/>
          <w:kern w:val="2"/>
          <w:szCs w:val="24"/>
          <w:highlight w:val="none"/>
        </w:rPr>
      </w:pPr>
      <w:r>
        <w:rPr>
          <w:rFonts w:hint="eastAsia" w:ascii="宋体" w:hAnsi="宋体" w:eastAsia="宋体" w:cs="宋体"/>
          <w:b/>
          <w:color w:val="auto"/>
          <w:szCs w:val="24"/>
          <w:highlight w:val="none"/>
        </w:rPr>
        <w:t>（三）</w:t>
      </w:r>
      <w:r>
        <w:rPr>
          <w:rFonts w:hint="eastAsia" w:ascii="宋体" w:hAnsi="宋体" w:eastAsia="宋体" w:cs="宋体"/>
          <w:b/>
          <w:bCs/>
          <w:color w:val="auto"/>
          <w:kern w:val="2"/>
          <w:szCs w:val="24"/>
          <w:highlight w:val="none"/>
        </w:rPr>
        <w:t>政府采购政策功能落实</w:t>
      </w:r>
    </w:p>
    <w:p>
      <w:pPr>
        <w:adjustRightInd w:val="0"/>
        <w:snapToGrid w:val="0"/>
        <w:spacing w:line="360" w:lineRule="auto"/>
        <w:ind w:firstLine="57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1、小微型企业价格扣除</w:t>
      </w:r>
    </w:p>
    <w:p>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（1）本项目对小型和微型企业给予</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%的扣除价格，用扣除后的价格参与评审。</w:t>
      </w:r>
    </w:p>
    <w:p>
      <w:pPr>
        <w:adjustRightInd w:val="0"/>
        <w:snapToGrid w:val="0"/>
        <w:spacing w:line="360" w:lineRule="auto"/>
        <w:ind w:firstLine="57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（2）供应商需参照《政府采购促进中小企业发展管理办法》（财库﹝2020﹞46 号）的规定提供相应的《中小企业声明函》。</w:t>
      </w:r>
    </w:p>
    <w:p>
      <w:pPr>
        <w:adjustRightInd w:val="0"/>
        <w:snapToGrid w:val="0"/>
        <w:spacing w:line="360" w:lineRule="auto"/>
        <w:ind w:firstLine="57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（3）企业标准请参照《关于印发中小企业划型标准规定的通知》（工信部联企业[2011]300号）文件规定自行填写。</w:t>
      </w:r>
    </w:p>
    <w:p>
      <w:pPr>
        <w:adjustRightInd w:val="0"/>
        <w:snapToGrid w:val="0"/>
        <w:spacing w:line="360" w:lineRule="auto"/>
        <w:ind w:firstLine="57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2、残疾人福利单位价格扣除</w:t>
      </w:r>
    </w:p>
    <w:p>
      <w:pPr>
        <w:adjustRightInd w:val="0"/>
        <w:snapToGrid w:val="0"/>
        <w:spacing w:line="360" w:lineRule="auto"/>
        <w:ind w:firstLine="57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（1）本项目对残疾人福利性单位，给予</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%的价格扣除，用扣除后的价格参与评审。</w:t>
      </w:r>
    </w:p>
    <w:p>
      <w:pPr>
        <w:adjustRightInd w:val="0"/>
        <w:snapToGrid w:val="0"/>
        <w:spacing w:line="360" w:lineRule="auto"/>
        <w:ind w:firstLine="57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（2）残疾人福利单位需按照采购文件的要求提供《残疾人福利性单位声明函》。</w:t>
      </w:r>
    </w:p>
    <w:p>
      <w:pPr>
        <w:adjustRightInd w:val="0"/>
        <w:snapToGrid w:val="0"/>
        <w:spacing w:line="360" w:lineRule="auto"/>
        <w:ind w:firstLine="57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（3）残疾人福利单位标准请参照《关于促进残疾人就业政府采购政策的通知》（财库〔2017〕141号）。</w:t>
      </w:r>
    </w:p>
    <w:p>
      <w:pPr>
        <w:adjustRightInd w:val="0"/>
        <w:snapToGrid w:val="0"/>
        <w:spacing w:line="360" w:lineRule="auto"/>
        <w:ind w:firstLine="57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3、监狱和戒毒企业价格扣除</w:t>
      </w:r>
    </w:p>
    <w:p>
      <w:pPr>
        <w:adjustRightInd w:val="0"/>
        <w:snapToGrid w:val="0"/>
        <w:spacing w:line="360" w:lineRule="auto"/>
        <w:ind w:firstLine="57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（1）本项目对监狱和戒毒企业（简称监狱企业）给予</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%的价格扣除，用扣除后的价格参与评审。</w:t>
      </w:r>
    </w:p>
    <w:p>
      <w:pPr>
        <w:adjustRightInd w:val="0"/>
        <w:snapToGrid w:val="0"/>
        <w:spacing w:line="360" w:lineRule="auto"/>
        <w:ind w:firstLine="57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pPr>
        <w:adjustRightInd w:val="0"/>
        <w:snapToGrid w:val="0"/>
        <w:spacing w:line="360" w:lineRule="auto"/>
        <w:ind w:firstLine="57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（3）监狱企业标准请参照《关于政府采购支持监狱企业发展有关问题的通知》（财库[2014]68号）。</w:t>
      </w:r>
    </w:p>
    <w:p>
      <w:pPr>
        <w:adjustRightInd w:val="0"/>
        <w:snapToGrid w:val="0"/>
        <w:spacing w:line="360" w:lineRule="auto"/>
        <w:ind w:firstLine="57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4、残疾人福利单位、监狱企业属于小型、微型企业的，不重复享受政策。</w:t>
      </w:r>
    </w:p>
    <w:p>
      <w:pPr>
        <w:adjustRightInd w:val="0"/>
        <w:snapToGrid w:val="0"/>
        <w:spacing w:line="360" w:lineRule="auto"/>
        <w:ind w:firstLine="57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adjustRightInd w:val="0"/>
        <w:snapToGrid w:val="0"/>
        <w:spacing w:line="360" w:lineRule="auto"/>
        <w:ind w:firstLine="57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6、联合体各方均为小型、微型企业（残疾人福利单位、监狱企业）的，联合体享受上述同类价格扣除，用扣除后的价格参与评审。</w:t>
      </w:r>
    </w:p>
    <w:p>
      <w:pPr>
        <w:pStyle w:val="17"/>
        <w:snapToGrid w:val="0"/>
        <w:spacing w:after="0"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7、专门面向中小企业采购的项目或者采购包，不再执行价格评审优惠的扶持政策。</w:t>
      </w:r>
    </w:p>
    <w:p>
      <w:pPr>
        <w:snapToGrid w:val="0"/>
        <w:spacing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六、出现下列情形之一的，作无效响应处理</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snapToGrid w:val="0"/>
          <w:color w:val="auto"/>
          <w:sz w:val="24"/>
          <w:szCs w:val="24"/>
          <w:highlight w:val="none"/>
        </w:rPr>
        <w:t>磋商响应文件</w:t>
      </w:r>
      <w:r>
        <w:rPr>
          <w:rFonts w:hint="eastAsia" w:ascii="宋体" w:hAnsi="宋体" w:eastAsia="宋体" w:cs="宋体"/>
          <w:color w:val="auto"/>
          <w:sz w:val="24"/>
          <w:szCs w:val="24"/>
          <w:highlight w:val="none"/>
        </w:rPr>
        <w:t>未按磋商文件要求装订、密封、签署、盖章及主要资料不齐全的；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snapToGrid w:val="0"/>
          <w:color w:val="auto"/>
          <w:sz w:val="24"/>
          <w:szCs w:val="24"/>
          <w:highlight w:val="none"/>
        </w:rPr>
        <w:t>磋商响应文件</w:t>
      </w:r>
      <w:r>
        <w:rPr>
          <w:rFonts w:hint="eastAsia" w:ascii="宋体" w:hAnsi="宋体" w:eastAsia="宋体" w:cs="宋体"/>
          <w:color w:val="auto"/>
          <w:sz w:val="24"/>
          <w:szCs w:val="24"/>
          <w:highlight w:val="none"/>
        </w:rPr>
        <w:t>的资料有虚报或者谎报的；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snapToGrid w:val="0"/>
          <w:color w:val="auto"/>
          <w:sz w:val="24"/>
          <w:szCs w:val="24"/>
          <w:highlight w:val="none"/>
        </w:rPr>
        <w:t>磋商响应文件</w:t>
      </w:r>
      <w:r>
        <w:rPr>
          <w:rFonts w:hint="eastAsia" w:ascii="宋体" w:hAnsi="宋体" w:eastAsia="宋体" w:cs="宋体"/>
          <w:color w:val="auto"/>
          <w:sz w:val="24"/>
          <w:szCs w:val="24"/>
          <w:highlight w:val="none"/>
        </w:rPr>
        <w:t>中资格审查文件及技术响应文件出现磋商报价的内容；</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4、不具备磋商文件规定的资格要求的；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snapToGrid w:val="0"/>
          <w:color w:val="auto"/>
          <w:sz w:val="24"/>
          <w:szCs w:val="24"/>
          <w:highlight w:val="none"/>
        </w:rPr>
        <w:t>磋商响应文件</w:t>
      </w:r>
      <w:r>
        <w:rPr>
          <w:rFonts w:hint="eastAsia" w:ascii="宋体" w:hAnsi="宋体" w:eastAsia="宋体" w:cs="宋体"/>
          <w:color w:val="auto"/>
          <w:sz w:val="24"/>
          <w:szCs w:val="24"/>
          <w:highlight w:val="none"/>
        </w:rPr>
        <w:t>有重大漏项或重大不合理的；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6、项目技术、方案不满足项目需求中的要求，有重大偏离或保留的；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7、磋商响应报价超出项目预算或最高限价的；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8、被认定为低于成本报价磋商竞标的；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9、供应商的磋商报价高于自己前一轮的；</w:t>
      </w:r>
    </w:p>
    <w:p>
      <w:pPr>
        <w:snapToGrid w:val="0"/>
        <w:spacing w:line="360" w:lineRule="auto"/>
        <w:ind w:firstLine="482" w:firstLineChars="201"/>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10、供应商资格条件不符合国家有关规定，或者不满足磋商文件规定的资格条件的；</w:t>
      </w:r>
    </w:p>
    <w:p>
      <w:pPr>
        <w:snapToGrid w:val="0"/>
        <w:spacing w:line="360" w:lineRule="auto"/>
        <w:ind w:firstLine="482" w:firstLineChars="201"/>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11、同一供应商提交两个及以上不同的磋商响应文件或者磋商报价；</w:t>
      </w:r>
    </w:p>
    <w:p>
      <w:pPr>
        <w:snapToGrid w:val="0"/>
        <w:spacing w:line="360" w:lineRule="auto"/>
        <w:ind w:firstLine="482" w:firstLineChars="201"/>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12、磋商响应文件中已标价工程量清单与磋商文件规定的暂估价、暂列金额及甲供材料价格不一致的；</w:t>
      </w:r>
    </w:p>
    <w:p>
      <w:pPr>
        <w:snapToGrid w:val="0"/>
        <w:spacing w:line="360" w:lineRule="auto"/>
        <w:ind w:firstLine="482" w:firstLineChars="201"/>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13、磋商响应文件中已标价工程量清单与磋商文件明确列出的不可竞争费用项目或费率或计算基础不一致的；</w:t>
      </w:r>
    </w:p>
    <w:p>
      <w:pPr>
        <w:snapToGrid w:val="0"/>
        <w:spacing w:line="360" w:lineRule="auto"/>
        <w:ind w:firstLine="482" w:firstLineChars="201"/>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14、磋商响应文件中已标价工程量清单与磋商文件提供的工程量清单中的项目编码、项目名称、项目特征、计量单位、工程量不一致的；</w:t>
      </w:r>
    </w:p>
    <w:p>
      <w:pPr>
        <w:snapToGrid w:val="0"/>
        <w:spacing w:line="360" w:lineRule="auto"/>
        <w:ind w:firstLine="482" w:firstLineChars="201"/>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15、磋商响应文件载明的</w:t>
      </w:r>
      <w:r>
        <w:rPr>
          <w:rFonts w:hint="eastAsia" w:ascii="宋体" w:hAnsi="宋体" w:eastAsia="宋体" w:cs="宋体"/>
          <w:snapToGrid w:val="0"/>
          <w:color w:val="auto"/>
          <w:sz w:val="24"/>
          <w:szCs w:val="24"/>
          <w:highlight w:val="none"/>
          <w:lang w:val="en-US" w:eastAsia="zh-CN"/>
        </w:rPr>
        <w:t>采购</w:t>
      </w:r>
      <w:r>
        <w:rPr>
          <w:rFonts w:hint="eastAsia" w:ascii="宋体" w:hAnsi="宋体" w:eastAsia="宋体" w:cs="宋体"/>
          <w:snapToGrid w:val="0"/>
          <w:color w:val="auto"/>
          <w:sz w:val="24"/>
          <w:szCs w:val="24"/>
          <w:highlight w:val="none"/>
        </w:rPr>
        <w:t>项目完成期限超过磋商文件规定的期限的；</w:t>
      </w:r>
    </w:p>
    <w:p>
      <w:pPr>
        <w:snapToGrid w:val="0"/>
        <w:spacing w:line="360" w:lineRule="auto"/>
        <w:ind w:firstLine="482" w:firstLineChars="201"/>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16、明显不符合技术规范、技术标准的要求的；</w:t>
      </w:r>
    </w:p>
    <w:p>
      <w:pPr>
        <w:snapToGrid w:val="0"/>
        <w:spacing w:line="360" w:lineRule="auto"/>
        <w:ind w:firstLine="482" w:firstLineChars="201"/>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17、磋商响应文件载明的货物包装方式、检验标准和方法等不符合磋商文件的要求的；</w:t>
      </w:r>
    </w:p>
    <w:p>
      <w:pPr>
        <w:snapToGrid w:val="0"/>
        <w:spacing w:line="360" w:lineRule="auto"/>
        <w:ind w:firstLine="482" w:firstLineChars="201"/>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18、磋商响应文件提出了不能满足磋商文件要求或采购单位不能接受的工程验收、计量、价款结算和支付办法的；</w:t>
      </w:r>
    </w:p>
    <w:p>
      <w:pPr>
        <w:snapToGrid w:val="0"/>
        <w:spacing w:line="360" w:lineRule="auto"/>
        <w:ind w:firstLine="482" w:firstLineChars="201"/>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19、不同供应商的磋商响应文件以及磋商响应文件制作过程出现了磋商小组认为不应当雷同的情况的；</w:t>
      </w:r>
    </w:p>
    <w:p>
      <w:pPr>
        <w:snapToGrid w:val="0"/>
        <w:spacing w:line="360" w:lineRule="auto"/>
        <w:ind w:firstLine="482" w:firstLineChars="201"/>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20、以他人的名义投标、串通投标、以行贿手段谋取成交或者以其他弄虚作假方式磋商响应的；</w:t>
      </w:r>
    </w:p>
    <w:p>
      <w:pPr>
        <w:snapToGrid w:val="0"/>
        <w:spacing w:line="360" w:lineRule="auto"/>
        <w:ind w:firstLine="482" w:firstLineChars="201"/>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21、施工组织设计（施工方案）存在明显技术方案错误</w:t>
      </w:r>
      <w:r>
        <w:rPr>
          <w:rFonts w:hint="eastAsia" w:ascii="宋体" w:hAnsi="宋体" w:eastAsia="宋体" w:cs="宋体"/>
          <w:snapToGrid w:val="0"/>
          <w:color w:val="auto"/>
          <w:sz w:val="24"/>
          <w:szCs w:val="24"/>
          <w:highlight w:val="none"/>
          <w:lang w:val="en-US" w:eastAsia="zh-CN"/>
        </w:rPr>
        <w:t>的</w:t>
      </w:r>
      <w:r>
        <w:rPr>
          <w:rFonts w:hint="eastAsia" w:ascii="宋体" w:hAnsi="宋体" w:eastAsia="宋体" w:cs="宋体"/>
          <w:snapToGrid w:val="0"/>
          <w:color w:val="auto"/>
          <w:sz w:val="24"/>
          <w:szCs w:val="24"/>
          <w:highlight w:val="none"/>
        </w:rPr>
        <w:t xml:space="preserve">； </w:t>
      </w:r>
    </w:p>
    <w:p>
      <w:pPr>
        <w:snapToGrid w:val="0"/>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22、磋商响应文件关键内容模糊、无法辨认；</w:t>
      </w:r>
    </w:p>
    <w:p>
      <w:pPr>
        <w:snapToGrid w:val="0"/>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23、不符合</w:t>
      </w:r>
      <w:r>
        <w:rPr>
          <w:rFonts w:hint="eastAsia" w:ascii="宋体" w:hAnsi="宋体" w:eastAsia="宋体" w:cs="宋体"/>
          <w:snapToGrid w:val="0"/>
          <w:color w:val="auto"/>
          <w:sz w:val="24"/>
          <w:szCs w:val="24"/>
          <w:highlight w:val="none"/>
          <w:lang w:eastAsia="zh-CN"/>
        </w:rPr>
        <w:t>法律法规</w:t>
      </w:r>
      <w:r>
        <w:rPr>
          <w:rFonts w:hint="eastAsia" w:ascii="宋体" w:hAnsi="宋体" w:eastAsia="宋体" w:cs="宋体"/>
          <w:snapToGrid w:val="0"/>
          <w:color w:val="auto"/>
          <w:sz w:val="24"/>
          <w:szCs w:val="24"/>
          <w:highlight w:val="none"/>
        </w:rPr>
        <w:t>和磋商文件中规定的其他实质性响应要求的；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24、磋商小组依据法律法规</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磋商文件</w:t>
      </w:r>
      <w:r>
        <w:rPr>
          <w:rFonts w:hint="eastAsia" w:ascii="宋体" w:hAnsi="宋体" w:eastAsia="宋体" w:cs="宋体"/>
          <w:snapToGrid w:val="0"/>
          <w:color w:val="auto"/>
          <w:sz w:val="24"/>
          <w:szCs w:val="24"/>
          <w:highlight w:val="none"/>
        </w:rPr>
        <w:t>可以认定为无效响应的其他情况。</w:t>
      </w:r>
    </w:p>
    <w:p>
      <w:pPr>
        <w:snapToGrid w:val="0"/>
        <w:spacing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八、出现下列情形之一的，作废标处理</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1、供应商的报价均超出了采购预算或最高限价，采购单位不能支付的；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2、因情况变化，不再符合规定的竞争性磋商采购方式所适用情形的；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3、出现影响采购公正的违法、违规行为的；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4、因重大变故，采购任务取消的；</w:t>
      </w:r>
      <w:r>
        <w:rPr>
          <w:rFonts w:hint="eastAsia" w:ascii="宋体" w:hAnsi="宋体" w:eastAsia="宋体" w:cs="宋体"/>
          <w:color w:val="auto"/>
          <w:sz w:val="24"/>
          <w:szCs w:val="24"/>
          <w:highlight w:val="none"/>
        </w:rPr>
        <w:tab/>
      </w:r>
    </w:p>
    <w:p>
      <w:pPr>
        <w:pStyle w:val="16"/>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5、符合资格条件或者对磋商文件作实质响应的供应商不足3家的；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6、磋商小组依据法律法规可以认定为废标的其他情况。</w:t>
      </w:r>
    </w:p>
    <w:p>
      <w:pPr>
        <w:snapToGrid w:val="0"/>
        <w:spacing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九、成交通知</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成交结果在“南通市机关事务管理局网（http://jgsw.nantong.gov.cn/）-公告公示”栏公</w:t>
      </w:r>
      <w:r>
        <w:rPr>
          <w:rFonts w:hint="eastAsia" w:ascii="宋体" w:hAnsi="宋体" w:eastAsia="宋体" w:cs="宋体"/>
          <w:color w:val="auto"/>
          <w:kern w:val="0"/>
          <w:sz w:val="24"/>
          <w:szCs w:val="24"/>
          <w:highlight w:val="none"/>
          <w:lang w:val="en-US" w:eastAsia="zh-CN"/>
        </w:rPr>
        <w:t>告</w:t>
      </w:r>
      <w:r>
        <w:rPr>
          <w:rFonts w:hint="eastAsia" w:ascii="宋体" w:hAnsi="宋体" w:eastAsia="宋体" w:cs="宋体"/>
          <w:color w:val="auto"/>
          <w:kern w:val="0"/>
          <w:sz w:val="24"/>
          <w:szCs w:val="24"/>
          <w:highlight w:val="none"/>
        </w:rPr>
        <w:t>1个工作日。《成交通知书》一经发出，采购单位改变成交结果，或者供应商放弃成交的，各自承担相应的法律责任。《成交通知书》是采购合同的组成部分。</w:t>
      </w:r>
    </w:p>
    <w:bookmarkEnd w:id="78"/>
    <w:bookmarkEnd w:id="79"/>
    <w:p>
      <w:pPr>
        <w:pStyle w:val="2"/>
        <w:keepNext w:val="0"/>
        <w:keepLines w:val="0"/>
        <w:numPr>
          <w:ilvl w:val="0"/>
          <w:numId w:val="0"/>
        </w:numPr>
        <w:snapToGrid w:val="0"/>
        <w:spacing w:before="0" w:after="0" w:line="360" w:lineRule="auto"/>
        <w:jc w:val="center"/>
        <w:rPr>
          <w:rFonts w:hint="eastAsia" w:ascii="宋体" w:hAnsi="宋体" w:eastAsia="宋体" w:cs="宋体"/>
          <w:color w:val="auto"/>
          <w:w w:val="80"/>
          <w:highlight w:val="none"/>
        </w:rPr>
      </w:pPr>
      <w:r>
        <w:rPr>
          <w:rFonts w:hint="eastAsia" w:ascii="宋体" w:hAnsi="宋体" w:eastAsia="宋体" w:cs="宋体"/>
          <w:color w:val="auto"/>
          <w:w w:val="80"/>
          <w:highlight w:val="none"/>
        </w:rPr>
        <w:br w:type="page"/>
      </w:r>
      <w:r>
        <w:rPr>
          <w:rFonts w:hint="eastAsia" w:ascii="宋体" w:hAnsi="宋体" w:eastAsia="宋体" w:cs="宋体"/>
          <w:color w:val="auto"/>
          <w:w w:val="80"/>
          <w:highlight w:val="none"/>
        </w:rPr>
        <w:t>第五章 合同主要条款</w:t>
      </w:r>
    </w:p>
    <w:p>
      <w:pPr>
        <w:jc w:val="center"/>
        <w:rPr>
          <w:rFonts w:hint="eastAsia" w:ascii="宋体" w:hAnsi="宋体" w:eastAsia="宋体" w:cs="宋体"/>
          <w:b/>
          <w:color w:val="auto"/>
          <w:sz w:val="72"/>
          <w:szCs w:val="52"/>
          <w:highlight w:val="none"/>
        </w:rPr>
      </w:pPr>
      <w:bookmarkStart w:id="80" w:name="_Toc20744258"/>
      <w:bookmarkStart w:id="81" w:name="_Toc39047827"/>
      <w:bookmarkStart w:id="82" w:name="_Toc20744795"/>
    </w:p>
    <w:p>
      <w:pPr>
        <w:jc w:val="center"/>
        <w:rPr>
          <w:rFonts w:hint="eastAsia" w:ascii="宋体" w:hAnsi="宋体" w:eastAsia="宋体" w:cs="宋体"/>
          <w:b/>
          <w:color w:val="auto"/>
          <w:sz w:val="72"/>
          <w:szCs w:val="52"/>
          <w:highlight w:val="none"/>
        </w:rPr>
      </w:pPr>
    </w:p>
    <w:p>
      <w:pPr>
        <w:jc w:val="center"/>
        <w:rPr>
          <w:rFonts w:hint="eastAsia" w:ascii="宋体" w:hAnsi="宋体" w:eastAsia="宋体" w:cs="宋体"/>
          <w:b/>
          <w:color w:val="auto"/>
          <w:sz w:val="72"/>
          <w:szCs w:val="52"/>
          <w:highlight w:val="none"/>
        </w:rPr>
      </w:pPr>
    </w:p>
    <w:p>
      <w:pPr>
        <w:jc w:val="center"/>
        <w:rPr>
          <w:rFonts w:hint="eastAsia" w:ascii="宋体" w:hAnsi="宋体" w:eastAsia="宋体" w:cs="宋体"/>
          <w:b/>
          <w:color w:val="auto"/>
          <w:sz w:val="72"/>
          <w:szCs w:val="52"/>
          <w:highlight w:val="none"/>
        </w:rPr>
      </w:pPr>
      <w:r>
        <w:rPr>
          <w:rFonts w:hint="eastAsia" w:ascii="宋体" w:hAnsi="宋体" w:eastAsia="宋体" w:cs="宋体"/>
          <w:b/>
          <w:color w:val="auto"/>
          <w:sz w:val="72"/>
          <w:szCs w:val="52"/>
          <w:highlight w:val="none"/>
        </w:rPr>
        <w:t>建设工程施工合同</w:t>
      </w:r>
    </w:p>
    <w:p>
      <w:pPr>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（示范文本）</w:t>
      </w:r>
    </w:p>
    <w:p>
      <w:pPr>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（GF—2017—0201）</w:t>
      </w: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72"/>
          <w:szCs w:val="72"/>
          <w:highlight w:val="none"/>
        </w:rPr>
      </w:pPr>
    </w:p>
    <w:p>
      <w:pPr>
        <w:jc w:val="center"/>
        <w:rPr>
          <w:rFonts w:hint="eastAsia" w:ascii="宋体" w:hAnsi="宋体" w:eastAsia="宋体" w:cs="宋体"/>
          <w:b/>
          <w:color w:val="auto"/>
          <w:sz w:val="72"/>
          <w:szCs w:val="72"/>
          <w:highlight w:val="none"/>
        </w:rPr>
      </w:pPr>
    </w:p>
    <w:p>
      <w:pPr>
        <w:jc w:val="center"/>
        <w:rPr>
          <w:rFonts w:hint="eastAsia" w:ascii="宋体" w:hAnsi="宋体" w:eastAsia="宋体" w:cs="宋体"/>
          <w:b/>
          <w:color w:val="auto"/>
          <w:sz w:val="52"/>
          <w:szCs w:val="52"/>
          <w:highlight w:val="none"/>
        </w:rPr>
      </w:pP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jc w:val="center"/>
        <w:rPr>
          <w:rFonts w:hint="eastAsia" w:ascii="宋体" w:hAnsi="宋体" w:eastAsia="宋体" w:cs="宋体"/>
          <w:b/>
          <w:color w:val="auto"/>
          <w:sz w:val="72"/>
          <w:szCs w:val="52"/>
          <w:highlight w:val="none"/>
        </w:rPr>
      </w:pPr>
      <w:r>
        <w:rPr>
          <w:rFonts w:hint="eastAsia" w:ascii="宋体" w:hAnsi="宋体" w:eastAsia="宋体" w:cs="宋体"/>
          <w:snapToGrid w:val="0"/>
          <w:color w:val="auto"/>
          <w:kern w:val="0"/>
          <w:szCs w:val="24"/>
          <w:highlight w:val="none"/>
        </w:rPr>
        <w:br w:type="page"/>
      </w:r>
      <w:bookmarkEnd w:id="80"/>
      <w:bookmarkEnd w:id="81"/>
      <w:bookmarkEnd w:id="82"/>
      <w:bookmarkStart w:id="83" w:name="_Hlk145067362"/>
      <w:r>
        <w:rPr>
          <w:rFonts w:hint="eastAsia" w:ascii="宋体" w:hAnsi="宋体" w:eastAsia="宋体" w:cs="宋体"/>
          <w:b/>
          <w:color w:val="auto"/>
          <w:sz w:val="32"/>
          <w:szCs w:val="32"/>
          <w:highlight w:val="none"/>
        </w:rPr>
        <w:t>第一部分合同协议书</w:t>
      </w:r>
    </w:p>
    <w:p>
      <w:pPr>
        <w:spacing w:line="480" w:lineRule="auto"/>
        <w:rPr>
          <w:rFonts w:hint="eastAsia" w:ascii="宋体" w:hAnsi="宋体" w:eastAsia="宋体" w:cs="宋体"/>
          <w:b/>
          <w:snapToGrid w:val="0"/>
          <w:color w:val="auto"/>
          <w:kern w:val="0"/>
          <w:sz w:val="24"/>
          <w:szCs w:val="24"/>
          <w:highlight w:val="none"/>
        </w:rPr>
      </w:pPr>
    </w:p>
    <w:p>
      <w:pPr>
        <w:pageBreakBefore w:val="0"/>
        <w:widowControl w:val="0"/>
        <w:kinsoku/>
        <w:wordWrap/>
        <w:overflowPunct/>
        <w:topLinePunct w:val="0"/>
        <w:bidi w:val="0"/>
        <w:adjustRightInd/>
        <w:snapToGrid/>
        <w:spacing w:line="360" w:lineRule="auto"/>
        <w:textAlignment w:val="auto"/>
        <w:rPr>
          <w:rFonts w:hint="eastAsia" w:ascii="宋体" w:hAnsi="宋体" w:eastAsia="宋体" w:cs="宋体"/>
          <w:b/>
          <w:snapToGrid w:val="0"/>
          <w:color w:val="auto"/>
          <w:kern w:val="0"/>
          <w:sz w:val="24"/>
          <w:szCs w:val="24"/>
          <w:highlight w:val="none"/>
          <w:u w:val="single"/>
          <w:lang w:eastAsia="zh-CN"/>
        </w:rPr>
      </w:pPr>
      <w:r>
        <w:rPr>
          <w:rFonts w:hint="eastAsia" w:ascii="宋体" w:hAnsi="宋体" w:eastAsia="宋体" w:cs="宋体"/>
          <w:b/>
          <w:snapToGrid w:val="0"/>
          <w:color w:val="auto"/>
          <w:kern w:val="0"/>
          <w:sz w:val="24"/>
          <w:szCs w:val="24"/>
          <w:highlight w:val="none"/>
        </w:rPr>
        <w:t>发包人（全称）：</w:t>
      </w:r>
      <w:r>
        <w:rPr>
          <w:rFonts w:hint="eastAsia" w:ascii="宋体" w:hAnsi="宋体" w:eastAsia="宋体" w:cs="宋体"/>
          <w:b/>
          <w:bCs/>
          <w:snapToGrid w:val="0"/>
          <w:color w:val="auto"/>
          <w:kern w:val="0"/>
          <w:sz w:val="24"/>
          <w:szCs w:val="24"/>
          <w:highlight w:val="none"/>
          <w:u w:val="single"/>
          <w:lang w:eastAsia="zh-CN"/>
        </w:rPr>
        <w:t>南通市中天房地产开发有限公司</w:t>
      </w:r>
    </w:p>
    <w:p>
      <w:pPr>
        <w:pageBreakBefore w:val="0"/>
        <w:widowControl w:val="0"/>
        <w:kinsoku/>
        <w:wordWrap/>
        <w:overflowPunct/>
        <w:topLinePunct w:val="0"/>
        <w:bidi w:val="0"/>
        <w:adjustRightInd/>
        <w:snapToGrid/>
        <w:spacing w:line="360" w:lineRule="auto"/>
        <w:textAlignment w:val="auto"/>
        <w:rPr>
          <w:rFonts w:hint="eastAsia" w:ascii="宋体" w:hAnsi="宋体" w:eastAsia="宋体" w:cs="宋体"/>
          <w:b/>
          <w:snapToGrid w:val="0"/>
          <w:color w:val="auto"/>
          <w:kern w:val="0"/>
          <w:sz w:val="24"/>
          <w:szCs w:val="24"/>
          <w:highlight w:val="none"/>
          <w:u w:val="single"/>
        </w:rPr>
      </w:pPr>
      <w:r>
        <w:rPr>
          <w:rFonts w:hint="eastAsia" w:ascii="宋体" w:hAnsi="宋体" w:eastAsia="宋体" w:cs="宋体"/>
          <w:b/>
          <w:snapToGrid w:val="0"/>
          <w:color w:val="auto"/>
          <w:kern w:val="0"/>
          <w:sz w:val="24"/>
          <w:szCs w:val="24"/>
          <w:highlight w:val="none"/>
        </w:rPr>
        <w:t>承包人（全称）：</w:t>
      </w:r>
      <w:r>
        <w:rPr>
          <w:rFonts w:hint="eastAsia" w:ascii="宋体" w:hAnsi="宋体" w:eastAsia="宋体" w:cs="宋体"/>
          <w:snapToGrid w:val="0"/>
          <w:color w:val="auto"/>
          <w:kern w:val="0"/>
          <w:sz w:val="24"/>
          <w:szCs w:val="24"/>
          <w:highlight w:val="none"/>
          <w:u w:val="single"/>
        </w:rPr>
        <w:t xml:space="preserve">   </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根据《中华人民共和国民法典》、《中华人民共和国建筑法》及有关法律规定，遵循平等、自愿、公平和诚实信用的原则，双方就</w:t>
      </w:r>
      <w:r>
        <w:rPr>
          <w:rFonts w:hint="eastAsia" w:ascii="宋体" w:hAnsi="宋体" w:eastAsia="宋体" w:cs="宋体"/>
          <w:b/>
          <w:bCs/>
          <w:snapToGrid w:val="0"/>
          <w:color w:val="auto"/>
          <w:kern w:val="0"/>
          <w:sz w:val="24"/>
          <w:szCs w:val="24"/>
          <w:highlight w:val="none"/>
          <w:u w:val="single"/>
        </w:rPr>
        <w:t>南通市新城小区66号附2号楼加装电梯及配套设施施工项目</w:t>
      </w:r>
      <w:r>
        <w:rPr>
          <w:rFonts w:hint="eastAsia" w:ascii="宋体" w:hAnsi="宋体" w:eastAsia="宋体" w:cs="宋体"/>
          <w:snapToGrid w:val="0"/>
          <w:color w:val="auto"/>
          <w:kern w:val="0"/>
          <w:sz w:val="24"/>
          <w:szCs w:val="24"/>
          <w:highlight w:val="none"/>
        </w:rPr>
        <w:t xml:space="preserve">施工及有关事项协商一致，共同达成如下协议：  </w:t>
      </w:r>
    </w:p>
    <w:p>
      <w:pPr>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一、工程概况</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rPr>
        <w:t>1.工程名称:</w:t>
      </w:r>
      <w:r>
        <w:rPr>
          <w:rFonts w:hint="eastAsia" w:ascii="宋体" w:hAnsi="宋体" w:eastAsia="宋体" w:cs="宋体"/>
          <w:b/>
          <w:bCs/>
          <w:snapToGrid w:val="0"/>
          <w:color w:val="auto"/>
          <w:kern w:val="0"/>
          <w:sz w:val="24"/>
          <w:szCs w:val="24"/>
          <w:highlight w:val="none"/>
          <w:u w:val="single"/>
        </w:rPr>
        <w:t>南通市新城小区66号附2号楼加装电梯及配套设施施工项目</w:t>
      </w:r>
      <w:r>
        <w:rPr>
          <w:rFonts w:hint="eastAsia" w:ascii="宋体" w:hAnsi="宋体" w:eastAsia="宋体" w:cs="宋体"/>
          <w:snapToGrid w:val="0"/>
          <w:color w:val="auto"/>
          <w:kern w:val="0"/>
          <w:sz w:val="24"/>
          <w:szCs w:val="24"/>
          <w:highlight w:val="none"/>
        </w:rPr>
        <w:t>。</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2.工程地点:</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3.工程立项批准文号：</w:t>
      </w:r>
      <w:r>
        <w:rPr>
          <w:rFonts w:hint="eastAsia" w:ascii="宋体" w:hAnsi="宋体" w:eastAsia="宋体" w:cs="宋体"/>
          <w:snapToGrid w:val="0"/>
          <w:color w:val="auto"/>
          <w:kern w:val="0"/>
          <w:sz w:val="24"/>
          <w:szCs w:val="24"/>
          <w:highlight w:val="none"/>
          <w:u w:val="single"/>
        </w:rPr>
        <w:t xml:space="preserve">    /  </w:t>
      </w:r>
      <w:bookmarkStart w:id="84" w:name="_Hlk145065408"/>
      <w:bookmarkEnd w:id="84"/>
      <w:r>
        <w:rPr>
          <w:rFonts w:hint="eastAsia" w:ascii="宋体" w:hAnsi="宋体" w:eastAsia="宋体" w:cs="宋体"/>
          <w:bCs/>
          <w:snapToGrid w:val="0"/>
          <w:color w:val="auto"/>
          <w:kern w:val="0"/>
          <w:sz w:val="24"/>
          <w:szCs w:val="24"/>
          <w:highlight w:val="none"/>
        </w:rPr>
        <w:t>。</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4.资金来源：</w:t>
      </w:r>
      <w:r>
        <w:rPr>
          <w:rFonts w:hint="eastAsia" w:ascii="宋体" w:hAnsi="宋体" w:eastAsia="宋体" w:cs="宋体"/>
          <w:snapToGrid w:val="0"/>
          <w:color w:val="auto"/>
          <w:kern w:val="0"/>
          <w:sz w:val="24"/>
          <w:szCs w:val="24"/>
          <w:highlight w:val="none"/>
          <w:u w:val="single"/>
        </w:rPr>
        <w:t>财政资金</w:t>
      </w:r>
      <w:r>
        <w:rPr>
          <w:rFonts w:hint="eastAsia" w:ascii="宋体" w:hAnsi="宋体" w:eastAsia="宋体" w:cs="宋体"/>
          <w:bCs/>
          <w:snapToGrid w:val="0"/>
          <w:color w:val="auto"/>
          <w:kern w:val="0"/>
          <w:sz w:val="24"/>
          <w:szCs w:val="24"/>
          <w:highlight w:val="none"/>
        </w:rPr>
        <w:t>。</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5.工程内容：</w:t>
      </w:r>
      <w:r>
        <w:rPr>
          <w:rFonts w:hint="eastAsia" w:ascii="宋体" w:hAnsi="宋体" w:eastAsia="宋体" w:cs="宋体"/>
          <w:b/>
          <w:bCs/>
          <w:snapToGrid w:val="0"/>
          <w:color w:val="auto"/>
          <w:kern w:val="0"/>
          <w:sz w:val="24"/>
          <w:szCs w:val="24"/>
          <w:highlight w:val="none"/>
          <w:u w:val="single"/>
        </w:rPr>
        <w:t>详见竞争性磋商文件及清单中所示的内容。</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6.工程承包范围：</w:t>
      </w:r>
      <w:r>
        <w:rPr>
          <w:rFonts w:hint="eastAsia" w:ascii="宋体" w:hAnsi="宋体" w:eastAsia="宋体" w:cs="宋体"/>
          <w:bCs/>
          <w:snapToGrid w:val="0"/>
          <w:color w:val="auto"/>
          <w:kern w:val="0"/>
          <w:sz w:val="24"/>
          <w:szCs w:val="24"/>
          <w:highlight w:val="none"/>
          <w:u w:val="single"/>
        </w:rPr>
        <w:t>同工程内容</w:t>
      </w:r>
      <w:r>
        <w:rPr>
          <w:rFonts w:hint="eastAsia" w:ascii="宋体" w:hAnsi="宋体" w:eastAsia="宋体" w:cs="宋体"/>
          <w:b/>
          <w:bCs/>
          <w:snapToGrid w:val="0"/>
          <w:color w:val="auto"/>
          <w:kern w:val="0"/>
          <w:sz w:val="24"/>
          <w:szCs w:val="24"/>
          <w:highlight w:val="none"/>
          <w:u w:val="single"/>
        </w:rPr>
        <w:t>。</w:t>
      </w:r>
    </w:p>
    <w:p>
      <w:pPr>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二、合同工期</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计划开工日期：</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日，计划竣工日期：</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日。</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工期总日历天数：</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天。工期总日历天数与根据前述计划开竣工日期计算的工期天数不一致的，以工期总日历天数为准。开工日期以发包人签发的书面开工通知为准。</w:t>
      </w:r>
    </w:p>
    <w:p>
      <w:pPr>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三、质量标准</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工程质量符合</w:t>
      </w:r>
      <w:r>
        <w:rPr>
          <w:rFonts w:hint="eastAsia" w:ascii="宋体" w:hAnsi="宋体" w:eastAsia="宋体" w:cs="宋体"/>
          <w:b/>
          <w:bCs/>
          <w:snapToGrid w:val="0"/>
          <w:color w:val="auto"/>
          <w:kern w:val="0"/>
          <w:sz w:val="24"/>
          <w:szCs w:val="24"/>
          <w:highlight w:val="none"/>
          <w:u w:val="single"/>
          <w:lang w:val="en-US" w:eastAsia="zh-CN"/>
        </w:rPr>
        <w:t>合格</w:t>
      </w:r>
      <w:r>
        <w:rPr>
          <w:rFonts w:hint="eastAsia" w:ascii="宋体" w:hAnsi="宋体" w:eastAsia="宋体" w:cs="宋体"/>
          <w:snapToGrid w:val="0"/>
          <w:color w:val="auto"/>
          <w:kern w:val="0"/>
          <w:sz w:val="24"/>
          <w:szCs w:val="24"/>
          <w:highlight w:val="none"/>
        </w:rPr>
        <w:t>标准。</w:t>
      </w:r>
    </w:p>
    <w:p>
      <w:pPr>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四、签约合同价与合同价格形式</w:t>
      </w:r>
      <w:r>
        <w:rPr>
          <w:rFonts w:hint="eastAsia" w:ascii="宋体" w:hAnsi="宋体" w:eastAsia="宋体" w:cs="宋体"/>
          <w:b/>
          <w:snapToGrid w:val="0"/>
          <w:color w:val="auto"/>
          <w:kern w:val="0"/>
          <w:sz w:val="24"/>
          <w:szCs w:val="24"/>
          <w:highlight w:val="none"/>
        </w:rPr>
        <w:tab/>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u w:val="single"/>
          <w:lang w:val="en-US" w:eastAsia="zh-CN"/>
        </w:rPr>
      </w:pPr>
      <w:r>
        <w:rPr>
          <w:rFonts w:hint="eastAsia" w:ascii="宋体" w:hAnsi="宋体" w:eastAsia="宋体" w:cs="宋体"/>
          <w:snapToGrid w:val="0"/>
          <w:color w:val="auto"/>
          <w:kern w:val="0"/>
          <w:sz w:val="24"/>
          <w:szCs w:val="24"/>
          <w:highlight w:val="none"/>
        </w:rPr>
        <w:t>1.签约合同价为：</w:t>
      </w:r>
      <w:r>
        <w:rPr>
          <w:rFonts w:hint="eastAsia" w:ascii="宋体" w:hAnsi="宋体" w:eastAsia="宋体" w:cs="宋体"/>
          <w:snapToGrid w:val="0"/>
          <w:color w:val="auto"/>
          <w:kern w:val="0"/>
          <w:sz w:val="24"/>
          <w:szCs w:val="24"/>
          <w:highlight w:val="none"/>
          <w:u w:val="single"/>
          <w:lang w:val="en-US" w:eastAsia="zh-CN"/>
        </w:rPr>
        <w:t xml:space="preserve">               </w:t>
      </w:r>
    </w:p>
    <w:p>
      <w:pPr>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人民币（大写）</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元)；</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其中：</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（1）安全文明施工费：</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人民币（大写）</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元)；</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（2）材料和工程设备暂估价金额：</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人民币（大写）</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元)；</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（3）专业工程暂估价金额：</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人民币（大写）</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元)；</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（4）暂列金额：</w:t>
      </w:r>
    </w:p>
    <w:p>
      <w:pPr>
        <w:keepNext/>
        <w:keepLines/>
        <w:pageBreakBefore w:val="0"/>
        <w:widowControl w:val="0"/>
        <w:kinsoku/>
        <w:wordWrap/>
        <w:overflowPunct/>
        <w:topLinePunct w:val="0"/>
        <w:bidi w:val="0"/>
        <w:adjustRightInd/>
        <w:snapToGrid/>
        <w:spacing w:line="360" w:lineRule="auto"/>
        <w:ind w:firstLine="480" w:firstLineChars="200"/>
        <w:textAlignment w:val="auto"/>
        <w:outlineLvl w:val="3"/>
        <w:rPr>
          <w:rFonts w:hint="eastAsia" w:ascii="宋体" w:hAnsi="宋体" w:eastAsia="宋体" w:cs="宋体"/>
          <w:b/>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人民币（大写）</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元)。</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2.合同价格形式：</w:t>
      </w:r>
      <w:r>
        <w:rPr>
          <w:rFonts w:hint="eastAsia" w:ascii="宋体" w:hAnsi="宋体" w:eastAsia="宋体" w:cs="宋体"/>
          <w:b/>
          <w:snapToGrid w:val="0"/>
          <w:color w:val="auto"/>
          <w:kern w:val="0"/>
          <w:sz w:val="24"/>
          <w:szCs w:val="24"/>
          <w:highlight w:val="none"/>
          <w:u w:val="single"/>
        </w:rPr>
        <w:t>固定单价合同</w:t>
      </w:r>
      <w:r>
        <w:rPr>
          <w:rFonts w:hint="eastAsia" w:ascii="宋体" w:hAnsi="宋体" w:eastAsia="宋体" w:cs="宋体"/>
          <w:snapToGrid w:val="0"/>
          <w:color w:val="auto"/>
          <w:kern w:val="0"/>
          <w:sz w:val="24"/>
          <w:szCs w:val="24"/>
          <w:highlight w:val="none"/>
        </w:rPr>
        <w:t>。</w:t>
      </w:r>
    </w:p>
    <w:p>
      <w:pPr>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五、项目经理</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承包人项目经理：</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w:t>
      </w:r>
    </w:p>
    <w:p>
      <w:pPr>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六、合同文件构成</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本协议书与下列文件一起构成合同文件：</w:t>
      </w:r>
    </w:p>
    <w:p>
      <w:pPr>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（1）成交通知书；</w:t>
      </w:r>
    </w:p>
    <w:p>
      <w:pPr>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（2）投标函及其附录； </w:t>
      </w:r>
    </w:p>
    <w:p>
      <w:pPr>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（3）专用合同条款及其附件；</w:t>
      </w:r>
    </w:p>
    <w:p>
      <w:pPr>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（4）通用合同条款；</w:t>
      </w:r>
    </w:p>
    <w:p>
      <w:pPr>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（5）技术标准和要求；</w:t>
      </w:r>
    </w:p>
    <w:p>
      <w:pPr>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（6）图纸；</w:t>
      </w:r>
    </w:p>
    <w:p>
      <w:pPr>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（7）已标价工程量清单或预算书；</w:t>
      </w:r>
    </w:p>
    <w:p>
      <w:pPr>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（8）其他合同文件。</w:t>
      </w:r>
    </w:p>
    <w:p>
      <w:pPr>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七、承诺</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1.发包人承诺按照法律规定履行项目审批手续、筹集工程建设资金并按照合同约定的期限和方式支付合同价款。</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2.承包人承诺按照法律规定及合同约定组织完成工程施工，确保工程质量和安全，不进行违法分包，并在缺陷责任期及保修期内承担相应的工程维修责任。</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3.发包人和承包人通过招投标</w:t>
      </w: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val="en-US" w:eastAsia="zh-CN"/>
        </w:rPr>
        <w:t>采购</w:t>
      </w: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rPr>
        <w:t>形式签订合同的，双方理解并承诺不再就同一工程另行签订与合同实质性内容相背离的协议。</w:t>
      </w:r>
    </w:p>
    <w:p>
      <w:pPr>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八、词语含义</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本协议书中词语含义与第二部分通用合同条款中赋予的含义相同。</w:t>
      </w:r>
    </w:p>
    <w:p>
      <w:pPr>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九、签订时间</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本合同于</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bCs/>
          <w:snapToGrid w:val="0"/>
          <w:color w:val="auto"/>
          <w:kern w:val="0"/>
          <w:sz w:val="24"/>
          <w:szCs w:val="24"/>
          <w:highlight w:val="none"/>
          <w:u w:val="single"/>
        </w:rPr>
        <w:t>年</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bCs/>
          <w:snapToGrid w:val="0"/>
          <w:color w:val="auto"/>
          <w:kern w:val="0"/>
          <w:sz w:val="24"/>
          <w:szCs w:val="24"/>
          <w:highlight w:val="none"/>
          <w:u w:val="single"/>
        </w:rPr>
        <w:t>月</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bCs/>
          <w:snapToGrid w:val="0"/>
          <w:color w:val="auto"/>
          <w:kern w:val="0"/>
          <w:sz w:val="24"/>
          <w:szCs w:val="24"/>
          <w:highlight w:val="none"/>
          <w:u w:val="single"/>
        </w:rPr>
        <w:t>日</w:t>
      </w:r>
      <w:r>
        <w:rPr>
          <w:rFonts w:hint="eastAsia" w:ascii="宋体" w:hAnsi="宋体" w:eastAsia="宋体" w:cs="宋体"/>
          <w:bCs/>
          <w:snapToGrid w:val="0"/>
          <w:color w:val="auto"/>
          <w:kern w:val="0"/>
          <w:sz w:val="24"/>
          <w:szCs w:val="24"/>
          <w:highlight w:val="none"/>
        </w:rPr>
        <w:t>签订。</w:t>
      </w:r>
    </w:p>
    <w:p>
      <w:pPr>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十、签订地点</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本合同在</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bCs/>
          <w:snapToGrid w:val="0"/>
          <w:color w:val="auto"/>
          <w:kern w:val="0"/>
          <w:sz w:val="24"/>
          <w:szCs w:val="24"/>
          <w:highlight w:val="none"/>
        </w:rPr>
        <w:t>签订。</w:t>
      </w:r>
    </w:p>
    <w:p>
      <w:pPr>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十一、补充协议</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合同未尽事宜，合同当事人另行签订补充协议，补充协议是合同的组成部分。</w:t>
      </w:r>
    </w:p>
    <w:p>
      <w:pPr>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十二、合同生效</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本合同自</w:t>
      </w:r>
      <w:r>
        <w:rPr>
          <w:rFonts w:hint="eastAsia" w:ascii="宋体" w:hAnsi="宋体" w:eastAsia="宋体" w:cs="宋体"/>
          <w:b/>
          <w:bCs w:val="0"/>
          <w:snapToGrid w:val="0"/>
          <w:color w:val="auto"/>
          <w:kern w:val="0"/>
          <w:sz w:val="24"/>
          <w:szCs w:val="24"/>
          <w:highlight w:val="none"/>
          <w:u w:val="single"/>
          <w:lang w:val="en-US" w:eastAsia="zh-CN"/>
        </w:rPr>
        <w:t>承包人</w:t>
      </w:r>
      <w:r>
        <w:rPr>
          <w:rFonts w:hint="eastAsia" w:ascii="宋体" w:hAnsi="宋体" w:eastAsia="宋体" w:cs="宋体"/>
          <w:b/>
          <w:bCs/>
          <w:snapToGrid w:val="0"/>
          <w:color w:val="auto"/>
          <w:kern w:val="0"/>
          <w:sz w:val="24"/>
          <w:szCs w:val="24"/>
          <w:highlight w:val="none"/>
          <w:u w:val="single"/>
        </w:rPr>
        <w:t>交纳履约保证金，且双方签字盖章后</w:t>
      </w:r>
      <w:r>
        <w:rPr>
          <w:rFonts w:hint="eastAsia" w:ascii="宋体" w:hAnsi="宋体" w:eastAsia="宋体" w:cs="宋体"/>
          <w:bCs/>
          <w:snapToGrid w:val="0"/>
          <w:color w:val="auto"/>
          <w:kern w:val="0"/>
          <w:sz w:val="24"/>
          <w:szCs w:val="24"/>
          <w:highlight w:val="none"/>
        </w:rPr>
        <w:t>生效。</w:t>
      </w:r>
    </w:p>
    <w:p>
      <w:pPr>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十三、合同份数</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本合同壹式</w:t>
      </w:r>
      <w:r>
        <w:rPr>
          <w:rFonts w:hint="eastAsia" w:ascii="宋体" w:hAnsi="宋体" w:eastAsia="宋体" w:cs="宋体"/>
          <w:bCs/>
          <w:snapToGrid w:val="0"/>
          <w:color w:val="auto"/>
          <w:kern w:val="0"/>
          <w:sz w:val="24"/>
          <w:szCs w:val="24"/>
          <w:highlight w:val="none"/>
          <w:u w:val="single"/>
        </w:rPr>
        <w:t>陆</w:t>
      </w:r>
      <w:r>
        <w:rPr>
          <w:rFonts w:hint="eastAsia" w:ascii="宋体" w:hAnsi="宋体" w:eastAsia="宋体" w:cs="宋体"/>
          <w:bCs/>
          <w:snapToGrid w:val="0"/>
          <w:color w:val="auto"/>
          <w:kern w:val="0"/>
          <w:sz w:val="24"/>
          <w:szCs w:val="24"/>
          <w:highlight w:val="none"/>
        </w:rPr>
        <w:t>份，均具有同等法律效力，发包人执</w:t>
      </w:r>
      <w:r>
        <w:rPr>
          <w:rFonts w:hint="eastAsia" w:ascii="宋体" w:hAnsi="宋体" w:eastAsia="宋体" w:cs="宋体"/>
          <w:bCs/>
          <w:snapToGrid w:val="0"/>
          <w:color w:val="auto"/>
          <w:kern w:val="0"/>
          <w:sz w:val="24"/>
          <w:szCs w:val="24"/>
          <w:highlight w:val="none"/>
          <w:u w:val="single"/>
        </w:rPr>
        <w:t>叁</w:t>
      </w:r>
      <w:r>
        <w:rPr>
          <w:rFonts w:hint="eastAsia" w:ascii="宋体" w:hAnsi="宋体" w:eastAsia="宋体" w:cs="宋体"/>
          <w:bCs/>
          <w:snapToGrid w:val="0"/>
          <w:color w:val="auto"/>
          <w:kern w:val="0"/>
          <w:sz w:val="24"/>
          <w:szCs w:val="24"/>
          <w:highlight w:val="none"/>
        </w:rPr>
        <w:t>份，承包人执</w:t>
      </w:r>
      <w:r>
        <w:rPr>
          <w:rFonts w:hint="eastAsia" w:ascii="宋体" w:hAnsi="宋体" w:eastAsia="宋体" w:cs="宋体"/>
          <w:bCs/>
          <w:snapToGrid w:val="0"/>
          <w:color w:val="auto"/>
          <w:kern w:val="0"/>
          <w:sz w:val="24"/>
          <w:szCs w:val="24"/>
          <w:highlight w:val="none"/>
          <w:u w:val="single"/>
        </w:rPr>
        <w:t>叁</w:t>
      </w:r>
      <w:r>
        <w:rPr>
          <w:rFonts w:hint="eastAsia" w:ascii="宋体" w:hAnsi="宋体" w:eastAsia="宋体" w:cs="宋体"/>
          <w:bCs/>
          <w:snapToGrid w:val="0"/>
          <w:color w:val="auto"/>
          <w:kern w:val="0"/>
          <w:sz w:val="24"/>
          <w:szCs w:val="24"/>
          <w:highlight w:val="none"/>
        </w:rPr>
        <w:t>份。</w:t>
      </w:r>
    </w:p>
    <w:p>
      <w:pPr>
        <w:snapToGrid w:val="0"/>
        <w:spacing w:line="360" w:lineRule="auto"/>
        <w:rPr>
          <w:rFonts w:hint="eastAsia" w:ascii="宋体" w:hAnsi="宋体" w:eastAsia="宋体" w:cs="宋体"/>
          <w:snapToGrid w:val="0"/>
          <w:color w:val="auto"/>
          <w:kern w:val="0"/>
          <w:sz w:val="24"/>
          <w:szCs w:val="24"/>
          <w:highlight w:val="none"/>
        </w:rPr>
      </w:pPr>
    </w:p>
    <w:p>
      <w:pPr>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发包人：  (公章)                 承包人：  (公章)</w:t>
      </w:r>
    </w:p>
    <w:p>
      <w:pPr>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       法定代表人或其委托代理人：</w:t>
      </w:r>
    </w:p>
    <w:p>
      <w:pPr>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（签字）                        （签字）</w:t>
      </w:r>
    </w:p>
    <w:p>
      <w:pPr>
        <w:tabs>
          <w:tab w:val="left" w:pos="4410"/>
        </w:tabs>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组织机构代码：</w:t>
      </w:r>
      <w:r>
        <w:rPr>
          <w:rFonts w:hint="eastAsia" w:ascii="宋体" w:hAnsi="宋体" w:eastAsia="宋体" w:cs="宋体"/>
          <w:snapToGrid w:val="0"/>
          <w:color w:val="auto"/>
          <w:kern w:val="0"/>
          <w:sz w:val="24"/>
          <w:szCs w:val="24"/>
          <w:highlight w:val="none"/>
          <w:u w:val="single"/>
        </w:rPr>
        <w:t xml:space="preserve">       </w:t>
      </w:r>
      <w:r>
        <w:rPr>
          <w:rFonts w:hint="eastAsia" w:ascii="宋体" w:hAnsi="宋体" w:eastAsia="宋体" w:cs="宋体"/>
          <w:snapToGrid w:val="0"/>
          <w:color w:val="auto"/>
          <w:kern w:val="0"/>
          <w:sz w:val="24"/>
          <w:szCs w:val="24"/>
          <w:highlight w:val="none"/>
        </w:rPr>
        <w:t xml:space="preserve">       组织机构代码：</w:t>
      </w:r>
      <w:r>
        <w:rPr>
          <w:rFonts w:hint="eastAsia" w:ascii="宋体" w:hAnsi="宋体" w:eastAsia="宋体" w:cs="宋体"/>
          <w:snapToGrid w:val="0"/>
          <w:color w:val="auto"/>
          <w:kern w:val="0"/>
          <w:sz w:val="24"/>
          <w:szCs w:val="24"/>
          <w:highlight w:val="none"/>
          <w:u w:val="single"/>
        </w:rPr>
        <w:t xml:space="preserve">          </w:t>
      </w:r>
    </w:p>
    <w:p>
      <w:pPr>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  址：</w:t>
      </w:r>
      <w:r>
        <w:rPr>
          <w:rFonts w:hint="eastAsia" w:ascii="宋体" w:hAnsi="宋体" w:eastAsia="宋体" w:cs="宋体"/>
          <w:snapToGrid w:val="0"/>
          <w:color w:val="auto"/>
          <w:kern w:val="0"/>
          <w:sz w:val="24"/>
          <w:szCs w:val="24"/>
          <w:highlight w:val="none"/>
          <w:u w:val="single"/>
        </w:rPr>
        <w:t xml:space="preserve">     </w:t>
      </w:r>
      <w:r>
        <w:rPr>
          <w:rFonts w:hint="eastAsia" w:ascii="宋体" w:hAnsi="宋体" w:eastAsia="宋体" w:cs="宋体"/>
          <w:snapToGrid w:val="0"/>
          <w:color w:val="auto"/>
          <w:kern w:val="0"/>
          <w:sz w:val="24"/>
          <w:szCs w:val="24"/>
          <w:highlight w:val="none"/>
        </w:rPr>
        <w:t xml:space="preserve">       地  址：</w:t>
      </w:r>
      <w:r>
        <w:rPr>
          <w:rFonts w:hint="eastAsia" w:ascii="宋体" w:hAnsi="宋体" w:eastAsia="宋体" w:cs="宋体"/>
          <w:snapToGrid w:val="0"/>
          <w:color w:val="auto"/>
          <w:kern w:val="0"/>
          <w:sz w:val="24"/>
          <w:szCs w:val="24"/>
          <w:highlight w:val="none"/>
          <w:u w:val="single"/>
        </w:rPr>
        <w:t xml:space="preserve">        </w:t>
      </w:r>
    </w:p>
    <w:p>
      <w:pPr>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邮政编码：</w:t>
      </w:r>
      <w:r>
        <w:rPr>
          <w:rFonts w:hint="eastAsia" w:ascii="宋体" w:hAnsi="宋体" w:eastAsia="宋体" w:cs="宋体"/>
          <w:snapToGrid w:val="0"/>
          <w:color w:val="auto"/>
          <w:kern w:val="0"/>
          <w:sz w:val="24"/>
          <w:szCs w:val="24"/>
          <w:highlight w:val="none"/>
          <w:u w:val="single"/>
        </w:rPr>
        <w:t xml:space="preserve">      </w:t>
      </w:r>
      <w:r>
        <w:rPr>
          <w:rFonts w:hint="eastAsia" w:ascii="宋体" w:hAnsi="宋体" w:eastAsia="宋体" w:cs="宋体"/>
          <w:snapToGrid w:val="0"/>
          <w:color w:val="auto"/>
          <w:kern w:val="0"/>
          <w:sz w:val="24"/>
          <w:szCs w:val="24"/>
          <w:highlight w:val="none"/>
        </w:rPr>
        <w:t xml:space="preserve">      邮政编码：</w:t>
      </w:r>
      <w:r>
        <w:rPr>
          <w:rFonts w:hint="eastAsia" w:ascii="宋体" w:hAnsi="宋体" w:eastAsia="宋体" w:cs="宋体"/>
          <w:snapToGrid w:val="0"/>
          <w:color w:val="auto"/>
          <w:kern w:val="0"/>
          <w:sz w:val="24"/>
          <w:szCs w:val="24"/>
          <w:highlight w:val="none"/>
          <w:u w:val="single"/>
        </w:rPr>
        <w:t xml:space="preserve">   </w:t>
      </w:r>
    </w:p>
    <w:p>
      <w:pPr>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w:t>
      </w:r>
      <w:r>
        <w:rPr>
          <w:rFonts w:hint="eastAsia" w:ascii="宋体" w:hAnsi="宋体" w:eastAsia="宋体" w:cs="宋体"/>
          <w:snapToGrid w:val="0"/>
          <w:color w:val="auto"/>
          <w:kern w:val="0"/>
          <w:sz w:val="24"/>
          <w:szCs w:val="24"/>
          <w:highlight w:val="none"/>
          <w:u w:val="single"/>
        </w:rPr>
        <w:t xml:space="preserve">           </w:t>
      </w:r>
      <w:r>
        <w:rPr>
          <w:rFonts w:hint="eastAsia" w:ascii="宋体" w:hAnsi="宋体" w:eastAsia="宋体" w:cs="宋体"/>
          <w:snapToGrid w:val="0"/>
          <w:color w:val="auto"/>
          <w:kern w:val="0"/>
          <w:sz w:val="24"/>
          <w:szCs w:val="24"/>
          <w:highlight w:val="none"/>
        </w:rPr>
        <w:t xml:space="preserve">       法定代表人：</w:t>
      </w:r>
      <w:r>
        <w:rPr>
          <w:rFonts w:hint="eastAsia" w:ascii="宋体" w:hAnsi="宋体" w:eastAsia="宋体" w:cs="宋体"/>
          <w:snapToGrid w:val="0"/>
          <w:color w:val="auto"/>
          <w:kern w:val="0"/>
          <w:sz w:val="24"/>
          <w:szCs w:val="24"/>
          <w:highlight w:val="none"/>
          <w:u w:val="single"/>
        </w:rPr>
        <w:t xml:space="preserve">             </w:t>
      </w:r>
    </w:p>
    <w:p>
      <w:pPr>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 xml:space="preserve">       委托代理人：</w:t>
      </w:r>
      <w:r>
        <w:rPr>
          <w:rFonts w:hint="eastAsia" w:ascii="宋体" w:hAnsi="宋体" w:eastAsia="宋体" w:cs="宋体"/>
          <w:snapToGrid w:val="0"/>
          <w:color w:val="auto"/>
          <w:kern w:val="0"/>
          <w:sz w:val="24"/>
          <w:szCs w:val="24"/>
          <w:highlight w:val="none"/>
          <w:u w:val="single"/>
        </w:rPr>
        <w:t xml:space="preserve">           </w:t>
      </w:r>
    </w:p>
    <w:p>
      <w:pPr>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  话：</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 xml:space="preserve">       电  话：</w:t>
      </w:r>
      <w:r>
        <w:rPr>
          <w:rFonts w:hint="eastAsia" w:ascii="宋体" w:hAnsi="宋体" w:eastAsia="宋体" w:cs="宋体"/>
          <w:snapToGrid w:val="0"/>
          <w:color w:val="auto"/>
          <w:kern w:val="0"/>
          <w:sz w:val="24"/>
          <w:szCs w:val="24"/>
          <w:highlight w:val="none"/>
          <w:u w:val="single"/>
        </w:rPr>
        <w:t xml:space="preserve">     </w:t>
      </w:r>
    </w:p>
    <w:p>
      <w:pPr>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传  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 xml:space="preserve">       传  真：</w:t>
      </w:r>
      <w:r>
        <w:rPr>
          <w:rFonts w:hint="eastAsia" w:ascii="宋体" w:hAnsi="宋体" w:eastAsia="宋体" w:cs="宋体"/>
          <w:snapToGrid w:val="0"/>
          <w:color w:val="auto"/>
          <w:kern w:val="0"/>
          <w:sz w:val="24"/>
          <w:szCs w:val="24"/>
          <w:highlight w:val="none"/>
          <w:u w:val="single"/>
        </w:rPr>
        <w:t xml:space="preserve">     </w:t>
      </w:r>
    </w:p>
    <w:p>
      <w:pPr>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电子信箱：       电子信箱：</w:t>
      </w:r>
      <w:r>
        <w:rPr>
          <w:rFonts w:hint="eastAsia" w:ascii="宋体" w:hAnsi="宋体" w:eastAsia="宋体" w:cs="宋体"/>
          <w:snapToGrid w:val="0"/>
          <w:color w:val="auto"/>
          <w:kern w:val="0"/>
          <w:sz w:val="24"/>
          <w:szCs w:val="24"/>
          <w:highlight w:val="none"/>
          <w:u w:val="single"/>
        </w:rPr>
        <w:t xml:space="preserve">   </w:t>
      </w:r>
    </w:p>
    <w:p>
      <w:pPr>
        <w:spacing w:line="48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开户银行：</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 xml:space="preserve">       开户银行：</w:t>
      </w:r>
      <w:r>
        <w:rPr>
          <w:rFonts w:hint="eastAsia" w:ascii="宋体" w:hAnsi="宋体" w:eastAsia="宋体" w:cs="宋体"/>
          <w:snapToGrid w:val="0"/>
          <w:color w:val="auto"/>
          <w:kern w:val="0"/>
          <w:sz w:val="24"/>
          <w:szCs w:val="24"/>
          <w:highlight w:val="none"/>
          <w:u w:val="single"/>
        </w:rPr>
        <w:t xml:space="preserve">   </w:t>
      </w:r>
    </w:p>
    <w:p>
      <w:pPr>
        <w:spacing w:line="48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账  号：</w:t>
      </w:r>
      <w:r>
        <w:rPr>
          <w:rFonts w:hint="eastAsia" w:ascii="宋体" w:hAnsi="宋体" w:eastAsia="宋体" w:cs="宋体"/>
          <w:snapToGrid w:val="0"/>
          <w:color w:val="auto"/>
          <w:kern w:val="0"/>
          <w:sz w:val="24"/>
          <w:szCs w:val="24"/>
          <w:highlight w:val="none"/>
          <w:u w:val="single"/>
        </w:rPr>
        <w:t xml:space="preserve">       </w:t>
      </w:r>
      <w:r>
        <w:rPr>
          <w:rFonts w:hint="eastAsia" w:ascii="宋体" w:hAnsi="宋体" w:eastAsia="宋体" w:cs="宋体"/>
          <w:snapToGrid w:val="0"/>
          <w:color w:val="auto"/>
          <w:kern w:val="0"/>
          <w:sz w:val="24"/>
          <w:szCs w:val="24"/>
          <w:highlight w:val="none"/>
        </w:rPr>
        <w:t xml:space="preserve">       账  号：</w:t>
      </w:r>
      <w:r>
        <w:rPr>
          <w:rFonts w:hint="eastAsia" w:ascii="宋体" w:hAnsi="宋体" w:eastAsia="宋体" w:cs="宋体"/>
          <w:snapToGrid w:val="0"/>
          <w:color w:val="auto"/>
          <w:kern w:val="0"/>
          <w:sz w:val="24"/>
          <w:szCs w:val="24"/>
          <w:highlight w:val="none"/>
          <w:u w:val="single"/>
        </w:rPr>
        <w:t xml:space="preserve">     </w:t>
      </w:r>
    </w:p>
    <w:p>
      <w:pPr>
        <w:spacing w:line="480" w:lineRule="auto"/>
        <w:jc w:val="center"/>
        <w:rPr>
          <w:rFonts w:hint="eastAsia" w:ascii="宋体" w:hAnsi="宋体" w:eastAsia="宋体" w:cs="宋体"/>
          <w:b/>
          <w:color w:val="auto"/>
          <w:sz w:val="32"/>
          <w:szCs w:val="32"/>
          <w:highlight w:val="none"/>
        </w:rPr>
      </w:pPr>
      <w:r>
        <w:rPr>
          <w:rFonts w:hint="eastAsia" w:ascii="宋体" w:hAnsi="宋体" w:eastAsia="宋体" w:cs="宋体"/>
          <w:b/>
          <w:snapToGrid w:val="0"/>
          <w:color w:val="auto"/>
          <w:kern w:val="0"/>
          <w:sz w:val="24"/>
          <w:szCs w:val="24"/>
          <w:highlight w:val="none"/>
        </w:rPr>
        <w:br w:type="page"/>
      </w:r>
      <w:r>
        <w:rPr>
          <w:rFonts w:hint="eastAsia" w:ascii="宋体" w:hAnsi="宋体" w:eastAsia="宋体" w:cs="宋体"/>
          <w:b/>
          <w:color w:val="auto"/>
          <w:sz w:val="32"/>
          <w:szCs w:val="32"/>
          <w:highlight w:val="none"/>
        </w:rPr>
        <w:t>第二部分通用合同条款</w:t>
      </w:r>
    </w:p>
    <w:p>
      <w:pPr>
        <w:autoSpaceDE w:val="0"/>
        <w:autoSpaceDN w:val="0"/>
        <w:adjustRightInd w:val="0"/>
        <w:spacing w:line="360" w:lineRule="auto"/>
        <w:jc w:val="left"/>
        <w:rPr>
          <w:rFonts w:hint="eastAsia" w:ascii="宋体" w:hAnsi="宋体" w:eastAsia="宋体" w:cs="宋体"/>
          <w:snapToGrid w:val="0"/>
          <w:color w:val="auto"/>
          <w:kern w:val="0"/>
          <w:sz w:val="24"/>
          <w:szCs w:val="24"/>
          <w:highlight w:val="none"/>
        </w:rPr>
      </w:pPr>
    </w:p>
    <w:p>
      <w:pPr>
        <w:autoSpaceDE w:val="0"/>
        <w:autoSpaceDN w:val="0"/>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此部分采用《建设工程施工合同》范本（GF-2017-0201）中《第二部分 通用条款》 </w:t>
      </w:r>
    </w:p>
    <w:p>
      <w:pPr>
        <w:spacing w:line="480" w:lineRule="auto"/>
        <w:jc w:val="center"/>
        <w:rPr>
          <w:rFonts w:hint="eastAsia" w:ascii="宋体" w:hAnsi="宋体" w:eastAsia="宋体" w:cs="宋体"/>
          <w:b/>
          <w:color w:val="auto"/>
          <w:sz w:val="32"/>
          <w:szCs w:val="32"/>
          <w:highlight w:val="none"/>
        </w:rPr>
      </w:pPr>
      <w:r>
        <w:rPr>
          <w:rFonts w:hint="eastAsia" w:ascii="宋体" w:hAnsi="宋体" w:eastAsia="宋体" w:cs="宋体"/>
          <w:snapToGrid w:val="0"/>
          <w:color w:val="auto"/>
          <w:kern w:val="0"/>
          <w:sz w:val="24"/>
          <w:szCs w:val="24"/>
          <w:highlight w:val="none"/>
        </w:rPr>
        <w:br w:type="page"/>
      </w:r>
      <w:r>
        <w:rPr>
          <w:rFonts w:hint="eastAsia" w:ascii="宋体" w:hAnsi="宋体" w:eastAsia="宋体" w:cs="宋体"/>
          <w:b/>
          <w:color w:val="auto"/>
          <w:sz w:val="32"/>
          <w:szCs w:val="32"/>
          <w:highlight w:val="none"/>
        </w:rPr>
        <w:t>第三部分专用合同条款</w:t>
      </w:r>
    </w:p>
    <w:p>
      <w:pPr>
        <w:pageBreakBefore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 一般约定</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 词语定义</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1.1.1合同</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1.1.1.10其他合同文件包括：</w:t>
      </w:r>
      <w:r>
        <w:rPr>
          <w:rFonts w:hint="eastAsia" w:ascii="宋体" w:hAnsi="宋体" w:eastAsia="宋体" w:cs="宋体"/>
          <w:b/>
          <w:bCs/>
          <w:snapToGrid w:val="0"/>
          <w:color w:val="auto"/>
          <w:kern w:val="0"/>
          <w:sz w:val="24"/>
          <w:szCs w:val="24"/>
          <w:highlight w:val="none"/>
          <w:u w:val="single"/>
        </w:rPr>
        <w:t>（1）合同协议书及承诺书；（2）成交通知书；（3）</w:t>
      </w:r>
      <w:r>
        <w:rPr>
          <w:rFonts w:hint="eastAsia" w:ascii="宋体" w:hAnsi="宋体" w:eastAsia="宋体" w:cs="宋体"/>
          <w:b/>
          <w:bCs/>
          <w:snapToGrid w:val="0"/>
          <w:color w:val="auto"/>
          <w:kern w:val="0"/>
          <w:sz w:val="24"/>
          <w:szCs w:val="24"/>
          <w:highlight w:val="none"/>
          <w:u w:val="single"/>
          <w:lang w:val="en-US" w:eastAsia="zh-CN"/>
        </w:rPr>
        <w:t>采购</w:t>
      </w:r>
      <w:r>
        <w:rPr>
          <w:rFonts w:hint="eastAsia" w:ascii="宋体" w:hAnsi="宋体" w:eastAsia="宋体" w:cs="宋体"/>
          <w:b/>
          <w:bCs/>
          <w:snapToGrid w:val="0"/>
          <w:color w:val="auto"/>
          <w:kern w:val="0"/>
          <w:sz w:val="24"/>
          <w:szCs w:val="24"/>
          <w:highlight w:val="none"/>
          <w:u w:val="single"/>
        </w:rPr>
        <w:t>文件及修改、补充文件；（4）投标函及其附录；（5）专用合同条款及其附件；（6）通用合同条款；（7）技术标准和要求；（8）图纸；（9）已标价工程量清单或预算书；（10）磋商响应文件；（11）其他合同文件。</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1.1.2 合同当事人及其他相关方</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1.1.2.4监理人：</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bookmarkStart w:id="85" w:name="_Hlk145003820"/>
      <w:r>
        <w:rPr>
          <w:rFonts w:hint="eastAsia" w:ascii="宋体" w:hAnsi="宋体" w:eastAsia="宋体" w:cs="宋体"/>
          <w:snapToGrid w:val="0"/>
          <w:color w:val="auto"/>
          <w:kern w:val="0"/>
          <w:sz w:val="24"/>
          <w:szCs w:val="24"/>
          <w:highlight w:val="none"/>
        </w:rPr>
        <w:t>名    称：</w:t>
      </w:r>
      <w:r>
        <w:rPr>
          <w:rFonts w:hint="eastAsia" w:ascii="宋体" w:hAnsi="宋体" w:eastAsia="宋体" w:cs="宋体"/>
          <w:snapToGrid w:val="0"/>
          <w:color w:val="auto"/>
          <w:kern w:val="0"/>
          <w:sz w:val="24"/>
          <w:szCs w:val="24"/>
          <w:highlight w:val="none"/>
          <w:u w:val="single"/>
        </w:rPr>
        <w:t xml:space="preserve">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资质类别和等级：</w:t>
      </w:r>
      <w:r>
        <w:rPr>
          <w:rFonts w:hint="eastAsia" w:ascii="宋体" w:hAnsi="宋体" w:eastAsia="宋体" w:cs="宋体"/>
          <w:snapToGrid w:val="0"/>
          <w:color w:val="auto"/>
          <w:kern w:val="0"/>
          <w:sz w:val="24"/>
          <w:szCs w:val="24"/>
          <w:highlight w:val="none"/>
          <w:u w:val="single"/>
        </w:rPr>
        <w:t>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联系电话：</w:t>
      </w:r>
      <w:r>
        <w:rPr>
          <w:rFonts w:hint="eastAsia" w:ascii="宋体" w:hAnsi="宋体" w:eastAsia="宋体" w:cs="宋体"/>
          <w:snapToGrid w:val="0"/>
          <w:color w:val="auto"/>
          <w:kern w:val="0"/>
          <w:sz w:val="24"/>
          <w:szCs w:val="24"/>
          <w:highlight w:val="none"/>
          <w:u w:val="single"/>
        </w:rPr>
        <w:t>    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电子信箱：</w:t>
      </w:r>
      <w:r>
        <w:rPr>
          <w:rFonts w:hint="eastAsia" w:ascii="宋体" w:hAnsi="宋体" w:eastAsia="宋体" w:cs="宋体"/>
          <w:snapToGrid w:val="0"/>
          <w:color w:val="auto"/>
          <w:kern w:val="0"/>
          <w:sz w:val="24"/>
          <w:szCs w:val="24"/>
          <w:highlight w:val="none"/>
          <w:u w:val="single"/>
        </w:rPr>
        <w:t>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通信地址：</w:t>
      </w:r>
      <w:r>
        <w:rPr>
          <w:rFonts w:hint="eastAsia" w:ascii="宋体" w:hAnsi="宋体" w:eastAsia="宋体" w:cs="宋体"/>
          <w:snapToGrid w:val="0"/>
          <w:color w:val="auto"/>
          <w:kern w:val="0"/>
          <w:sz w:val="24"/>
          <w:szCs w:val="24"/>
          <w:highlight w:val="none"/>
          <w:u w:val="single"/>
        </w:rPr>
        <w:t>    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1.1.2.5 设计人：</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名    称：</w:t>
      </w:r>
      <w:r>
        <w:rPr>
          <w:rFonts w:hint="eastAsia" w:ascii="宋体" w:hAnsi="宋体" w:eastAsia="宋体" w:cs="宋体"/>
          <w:snapToGrid w:val="0"/>
          <w:color w:val="auto"/>
          <w:kern w:val="0"/>
          <w:sz w:val="24"/>
          <w:szCs w:val="24"/>
          <w:highlight w:val="none"/>
          <w:u w:val="single"/>
        </w:rPr>
        <w:t xml:space="preserve">                              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资质类别和等级：</w:t>
      </w:r>
      <w:r>
        <w:rPr>
          <w:rFonts w:hint="eastAsia" w:ascii="宋体" w:hAnsi="宋体" w:eastAsia="宋体" w:cs="宋体"/>
          <w:snapToGrid w:val="0"/>
          <w:color w:val="auto"/>
          <w:kern w:val="0"/>
          <w:sz w:val="24"/>
          <w:szCs w:val="24"/>
          <w:highlight w:val="none"/>
          <w:u w:val="single"/>
        </w:rPr>
        <w:t>                       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联系电话：</w:t>
      </w:r>
      <w:r>
        <w:rPr>
          <w:rFonts w:hint="eastAsia" w:ascii="宋体" w:hAnsi="宋体" w:eastAsia="宋体" w:cs="宋体"/>
          <w:snapToGrid w:val="0"/>
          <w:color w:val="auto"/>
          <w:kern w:val="0"/>
          <w:sz w:val="24"/>
          <w:szCs w:val="24"/>
          <w:highlight w:val="none"/>
          <w:u w:val="single"/>
        </w:rPr>
        <w:t>    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电子信箱：</w:t>
      </w:r>
      <w:r>
        <w:rPr>
          <w:rFonts w:hint="eastAsia" w:ascii="宋体" w:hAnsi="宋体" w:eastAsia="宋体" w:cs="宋体"/>
          <w:snapToGrid w:val="0"/>
          <w:color w:val="auto"/>
          <w:kern w:val="0"/>
          <w:sz w:val="24"/>
          <w:szCs w:val="24"/>
          <w:highlight w:val="none"/>
          <w:u w:val="single"/>
        </w:rPr>
        <w:t xml:space="preserve">    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通信地址：</w:t>
      </w:r>
      <w:r>
        <w:rPr>
          <w:rFonts w:hint="eastAsia" w:ascii="宋体" w:hAnsi="宋体" w:eastAsia="宋体" w:cs="宋体"/>
          <w:snapToGrid w:val="0"/>
          <w:color w:val="auto"/>
          <w:kern w:val="0"/>
          <w:sz w:val="24"/>
          <w:szCs w:val="24"/>
          <w:highlight w:val="none"/>
          <w:u w:val="single"/>
        </w:rPr>
        <w:t>                </w:t>
      </w:r>
      <w:r>
        <w:rPr>
          <w:rFonts w:hint="eastAsia" w:ascii="宋体" w:hAnsi="宋体" w:eastAsia="宋体" w:cs="宋体"/>
          <w:snapToGrid w:val="0"/>
          <w:color w:val="auto"/>
          <w:kern w:val="0"/>
          <w:sz w:val="24"/>
          <w:szCs w:val="24"/>
          <w:highlight w:val="none"/>
        </w:rPr>
        <w:t>。</w:t>
      </w:r>
    </w:p>
    <w:bookmarkEnd w:id="85"/>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1.3法律 </w:t>
      </w:r>
    </w:p>
    <w:p>
      <w:pPr>
        <w:pageBreakBefore w:val="0"/>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适用于合同的其他规范性文件：</w:t>
      </w:r>
      <w:r>
        <w:rPr>
          <w:rFonts w:hint="eastAsia" w:ascii="宋体" w:hAnsi="宋体" w:eastAsia="宋体" w:cs="宋体"/>
          <w:b/>
          <w:bCs/>
          <w:snapToGrid w:val="0"/>
          <w:color w:val="auto"/>
          <w:spacing w:val="-1"/>
          <w:kern w:val="0"/>
          <w:sz w:val="24"/>
          <w:szCs w:val="24"/>
          <w:highlight w:val="none"/>
          <w:u w:val="single" w:color="000000"/>
        </w:rPr>
        <w:t>《中华人民共和国建筑法》、《中华人民共和国民法典》、《中华人民共和国采购法》、七部委第 12 号令《评标委员会和评标方法暂行规定》、建设部第89号令《房屋建筑和市政基础设施工程施工招标投标管理办法》、七部委第30号令、《建设工程质量管理条例》（国务院第279号令）。</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 标准和规范</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1.4.1适用于工程的标准规范包括：</w:t>
      </w:r>
      <w:r>
        <w:rPr>
          <w:rFonts w:hint="eastAsia" w:ascii="宋体" w:hAnsi="宋体" w:eastAsia="宋体" w:cs="宋体"/>
          <w:b/>
          <w:bCs/>
          <w:snapToGrid w:val="0"/>
          <w:color w:val="auto"/>
          <w:spacing w:val="-1"/>
          <w:kern w:val="0"/>
          <w:sz w:val="24"/>
          <w:szCs w:val="24"/>
          <w:highlight w:val="none"/>
          <w:u w:val="single" w:color="000000"/>
        </w:rPr>
        <w:t>国家、地方、行业现行的建设工程规范和标准；国 家、地方、行业现行的有关材料、设备的规范和标准；现行的江苏省工程预算定额及相关规定。</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1.4.2发包人对工程的技术标准和功能要求的特殊要求：</w:t>
      </w:r>
      <w:r>
        <w:rPr>
          <w:rFonts w:hint="eastAsia" w:ascii="宋体" w:hAnsi="宋体" w:eastAsia="宋体" w:cs="宋体"/>
          <w:b/>
          <w:snapToGrid w:val="0"/>
          <w:color w:val="auto"/>
          <w:kern w:val="0"/>
          <w:sz w:val="24"/>
          <w:szCs w:val="24"/>
          <w:highlight w:val="none"/>
          <w:u w:val="single"/>
        </w:rPr>
        <w:t>按设计要求执行</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 合同文件的优先顺序</w:t>
      </w:r>
    </w:p>
    <w:p>
      <w:pPr>
        <w:keepNext/>
        <w:keepLines/>
        <w:pageBreakBefore w:val="0"/>
        <w:kinsoku/>
        <w:wordWrap/>
        <w:overflowPunct/>
        <w:topLinePunct w:val="0"/>
        <w:bidi w:val="0"/>
        <w:adjustRightInd/>
        <w:snapToGrid/>
        <w:spacing w:line="360" w:lineRule="auto"/>
        <w:ind w:right="0" w:firstLine="480" w:firstLineChars="200"/>
        <w:textAlignment w:val="auto"/>
        <w:outlineLvl w:val="7"/>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b/>
          <w:bCs/>
          <w:color w:val="auto"/>
          <w:spacing w:val="-1"/>
          <w:kern w:val="0"/>
          <w:sz w:val="24"/>
          <w:szCs w:val="24"/>
          <w:highlight w:val="none"/>
          <w:u w:val="single" w:color="000000"/>
        </w:rPr>
        <w:t>（1）合同协议书及承诺书；（2）成交通知书；（3）竞争性磋商文件及修改、补充文件；（4）投标函及其附录；（5）专用合同条款及其附件；（6）通用合同条款；（7）技术标准和要求；（8）图纸；（9）已标价工程量清单或预算书；（10）</w:t>
      </w:r>
      <w:r>
        <w:rPr>
          <w:rFonts w:hint="eastAsia" w:ascii="宋体" w:hAnsi="宋体" w:eastAsia="宋体" w:cs="宋体"/>
          <w:b/>
          <w:bCs/>
          <w:color w:val="auto"/>
          <w:kern w:val="0"/>
          <w:sz w:val="24"/>
          <w:szCs w:val="24"/>
          <w:highlight w:val="none"/>
          <w:u w:val="single"/>
        </w:rPr>
        <w:t>磋商响应文件</w:t>
      </w:r>
      <w:r>
        <w:rPr>
          <w:rFonts w:hint="eastAsia" w:ascii="宋体" w:hAnsi="宋体" w:eastAsia="宋体" w:cs="宋体"/>
          <w:b/>
          <w:bCs/>
          <w:color w:val="auto"/>
          <w:spacing w:val="-1"/>
          <w:kern w:val="0"/>
          <w:sz w:val="24"/>
          <w:szCs w:val="24"/>
          <w:highlight w:val="none"/>
          <w:u w:val="single" w:color="000000"/>
        </w:rPr>
        <w:t>；（11）其他合同文件。</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 图纸和承包人文件</w:t>
      </w:r>
      <w:r>
        <w:rPr>
          <w:rFonts w:hint="eastAsia" w:ascii="宋体" w:hAnsi="宋体" w:eastAsia="宋体" w:cs="宋体"/>
          <w:snapToGrid w:val="0"/>
          <w:color w:val="auto"/>
          <w:kern w:val="0"/>
          <w:sz w:val="24"/>
          <w:szCs w:val="24"/>
          <w:highlight w:val="none"/>
        </w:rPr>
        <w:tab/>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1.6.1 图纸的提供</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发包人向承包人提供图纸的期限： </w:t>
      </w:r>
      <w:r>
        <w:rPr>
          <w:rFonts w:hint="eastAsia" w:ascii="宋体" w:hAnsi="宋体" w:eastAsia="宋体" w:cs="宋体"/>
          <w:b/>
          <w:bCs/>
          <w:snapToGrid w:val="0"/>
          <w:color w:val="auto"/>
          <w:kern w:val="0"/>
          <w:sz w:val="24"/>
          <w:szCs w:val="24"/>
          <w:highlight w:val="none"/>
          <w:u w:val="single"/>
        </w:rPr>
        <w:t>开工前3天</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发包人向承包人提供图纸的数量：</w:t>
      </w:r>
      <w:r>
        <w:rPr>
          <w:rFonts w:hint="eastAsia" w:ascii="宋体" w:hAnsi="宋体" w:eastAsia="宋体" w:cs="宋体"/>
          <w:snapToGrid w:val="0"/>
          <w:color w:val="auto"/>
          <w:kern w:val="0"/>
          <w:sz w:val="24"/>
          <w:szCs w:val="24"/>
          <w:highlight w:val="none"/>
          <w:u w:val="single"/>
        </w:rPr>
        <w:t>2</w:t>
      </w:r>
      <w:r>
        <w:rPr>
          <w:rFonts w:hint="eastAsia" w:ascii="宋体" w:hAnsi="宋体" w:eastAsia="宋体" w:cs="宋体"/>
          <w:b/>
          <w:bCs/>
          <w:snapToGrid w:val="0"/>
          <w:color w:val="auto"/>
          <w:kern w:val="0"/>
          <w:sz w:val="24"/>
          <w:szCs w:val="24"/>
          <w:highlight w:val="none"/>
          <w:u w:val="single"/>
        </w:rPr>
        <w:t>套</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发包人向承包人提供图纸的内容：</w:t>
      </w:r>
      <w:r>
        <w:rPr>
          <w:rFonts w:hint="eastAsia" w:ascii="宋体" w:hAnsi="宋体" w:eastAsia="宋体" w:cs="宋体"/>
          <w:b/>
          <w:snapToGrid w:val="0"/>
          <w:color w:val="auto"/>
          <w:kern w:val="0"/>
          <w:sz w:val="24"/>
          <w:szCs w:val="24"/>
          <w:highlight w:val="none"/>
          <w:u w:val="single"/>
        </w:rPr>
        <w:t>本合同发包内容中的全部图纸</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1.6.4 承包人文件</w:t>
      </w:r>
    </w:p>
    <w:p>
      <w:pPr>
        <w:pageBreakBefore w:val="0"/>
        <w:widowControl/>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需要由承包人提供的文件，包括</w:t>
      </w:r>
      <w:r>
        <w:rPr>
          <w:rFonts w:hint="eastAsia" w:ascii="宋体" w:hAnsi="宋体" w:eastAsia="宋体" w:cs="宋体"/>
          <w:b/>
          <w:snapToGrid w:val="0"/>
          <w:color w:val="auto"/>
          <w:kern w:val="0"/>
          <w:sz w:val="24"/>
          <w:szCs w:val="24"/>
          <w:highlight w:val="none"/>
          <w:u w:val="single"/>
        </w:rPr>
        <w:t xml:space="preserve"> 开工前3天提供详细的施工组织设计、总进度计划。 图纸审查合格后一周内提供材料计划，每月25日前分别向发包人及监理方提供详细的施工进度计划、材料进场计划。发包人批准的施工组织设计将作为工程款支付的参考依据之一。每周四向监理和发包人提供下一周详细的施工进度计划及本周施工进度报表。具体计划及时间要求根据工程需要补充明确。施工组织设计经发包人及监理认可后方可开工。发包人批准的施工组织设计将作为工程款支付的参考依据之一。具体计划及时间要求根据工程需要补充明确。承包人不按时报送以上资料，造成发包人无法判断工程进展顺利进行的，发包人可按照现实情况向承包人收取1000-10000元的违约金，并可拒付相应部分工程进度款，责任由承包人承担。 承包人编制的进度计划中应明确各分部完成的具体时间，关键线路，劳动力动态变化图等。 实际进度滞后计划进度时，承包人在接到监理通知单后，必须落实纠偏调整措施并认真实施，否则向发包人支付违约金 2000元/次。 </w:t>
      </w:r>
    </w:p>
    <w:p>
      <w:pPr>
        <w:pageBreakBefore w:val="0"/>
        <w:widowControl/>
        <w:kinsoku/>
        <w:wordWrap/>
        <w:overflowPunct/>
        <w:topLinePunct w:val="0"/>
        <w:bidi w:val="0"/>
        <w:adjustRightInd/>
        <w:snapToGrid/>
        <w:spacing w:line="360" w:lineRule="auto"/>
        <w:ind w:right="0" w:firstLine="482" w:firstLineChars="200"/>
        <w:jc w:val="left"/>
        <w:textAlignment w:val="auto"/>
        <w:rPr>
          <w:rFonts w:hint="eastAsia" w:ascii="宋体" w:hAnsi="宋体" w:eastAsia="宋体" w:cs="宋体"/>
          <w:b/>
          <w:snapToGrid w:val="0"/>
          <w:color w:val="auto"/>
          <w:kern w:val="0"/>
          <w:sz w:val="24"/>
          <w:szCs w:val="24"/>
          <w:highlight w:val="none"/>
          <w:u w:val="single"/>
        </w:rPr>
      </w:pPr>
      <w:r>
        <w:rPr>
          <w:rFonts w:hint="eastAsia" w:ascii="宋体" w:hAnsi="宋体" w:eastAsia="宋体" w:cs="宋体"/>
          <w:b/>
          <w:snapToGrid w:val="0"/>
          <w:color w:val="auto"/>
          <w:kern w:val="0"/>
          <w:sz w:val="24"/>
          <w:szCs w:val="24"/>
          <w:highlight w:val="none"/>
          <w:u w:val="single"/>
        </w:rPr>
        <w:t>实际进度严重滞后进度计划明显不满足工期要求时，则视情节严重扣除工期保证金直至全部扣完。</w:t>
      </w:r>
    </w:p>
    <w:p>
      <w:pPr>
        <w:pageBreakBefore w:val="0"/>
        <w:widowControl/>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承包人提供的文件的数量为：</w:t>
      </w:r>
      <w:r>
        <w:rPr>
          <w:rFonts w:hint="eastAsia" w:ascii="宋体" w:hAnsi="宋体" w:eastAsia="宋体" w:cs="宋体"/>
          <w:b/>
          <w:bCs/>
          <w:snapToGrid w:val="0"/>
          <w:color w:val="auto"/>
          <w:spacing w:val="-1"/>
          <w:kern w:val="0"/>
          <w:sz w:val="24"/>
          <w:szCs w:val="24"/>
          <w:highlight w:val="none"/>
          <w:u w:val="single" w:color="000000"/>
        </w:rPr>
        <w:t>施工组织设计、总进度计划叁套</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承包人提供的文件的形式为：</w:t>
      </w:r>
      <w:r>
        <w:rPr>
          <w:rFonts w:hint="eastAsia" w:ascii="宋体" w:hAnsi="宋体" w:eastAsia="宋体" w:cs="宋体"/>
          <w:b/>
          <w:snapToGrid w:val="0"/>
          <w:color w:val="auto"/>
          <w:kern w:val="0"/>
          <w:sz w:val="24"/>
          <w:szCs w:val="24"/>
          <w:highlight w:val="none"/>
          <w:u w:val="single"/>
        </w:rPr>
        <w:t>书面形式</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发包人审批承包人文件的期限：</w:t>
      </w:r>
      <w:r>
        <w:rPr>
          <w:rFonts w:hint="eastAsia" w:ascii="宋体" w:hAnsi="宋体" w:eastAsia="宋体" w:cs="宋体"/>
          <w:b/>
          <w:snapToGrid w:val="0"/>
          <w:color w:val="auto"/>
          <w:kern w:val="0"/>
          <w:sz w:val="24"/>
          <w:szCs w:val="24"/>
          <w:highlight w:val="none"/>
          <w:u w:val="single"/>
        </w:rPr>
        <w:t>收到文件后7天内</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1.6.5 现场图纸准备</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关于现场图纸准备的约定：</w:t>
      </w:r>
      <w:r>
        <w:rPr>
          <w:rFonts w:hint="eastAsia" w:ascii="宋体" w:hAnsi="宋体" w:eastAsia="宋体" w:cs="宋体"/>
          <w:b/>
          <w:snapToGrid w:val="0"/>
          <w:color w:val="auto"/>
          <w:kern w:val="0"/>
          <w:sz w:val="24"/>
          <w:szCs w:val="24"/>
          <w:highlight w:val="none"/>
          <w:u w:val="single"/>
        </w:rPr>
        <w:t xml:space="preserve">施工现场保留一套完整图纸供发包人、监理人及有关人员使用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 联络</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1.7.1发包人和承包人应当在</w:t>
      </w:r>
      <w:r>
        <w:rPr>
          <w:rFonts w:hint="eastAsia" w:ascii="宋体" w:hAnsi="宋体" w:eastAsia="宋体" w:cs="宋体"/>
          <w:b/>
          <w:snapToGrid w:val="0"/>
          <w:color w:val="auto"/>
          <w:kern w:val="0"/>
          <w:sz w:val="24"/>
          <w:szCs w:val="24"/>
          <w:highlight w:val="none"/>
          <w:u w:val="single"/>
        </w:rPr>
        <w:t>3</w:t>
      </w:r>
      <w:r>
        <w:rPr>
          <w:rFonts w:hint="eastAsia" w:ascii="宋体" w:hAnsi="宋体" w:eastAsia="宋体" w:cs="宋体"/>
          <w:snapToGrid w:val="0"/>
          <w:color w:val="auto"/>
          <w:kern w:val="0"/>
          <w:sz w:val="24"/>
          <w:szCs w:val="24"/>
          <w:highlight w:val="none"/>
        </w:rPr>
        <w:t>天内将与合同有关的通知、批准、证明、证书、指示、指令、要求、请求、同意、意见、确定和决定等书面函件送达对方当事人。</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1.7.2 发包人接收文件的地点：</w:t>
      </w:r>
      <w:r>
        <w:rPr>
          <w:rFonts w:hint="eastAsia" w:ascii="宋体" w:hAnsi="宋体" w:eastAsia="宋体" w:cs="宋体"/>
          <w:snapToGrid w:val="0"/>
          <w:color w:val="auto"/>
          <w:kern w:val="0"/>
          <w:sz w:val="24"/>
          <w:szCs w:val="24"/>
          <w:highlight w:val="none"/>
          <w:u w:val="single"/>
        </w:rPr>
        <w:t>工地现场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发包人指定的接收人为：</w:t>
      </w:r>
      <w:r>
        <w:rPr>
          <w:rFonts w:hint="eastAsia" w:ascii="宋体" w:hAnsi="宋体" w:eastAsia="宋体" w:cs="宋体"/>
          <w:snapToGrid w:val="0"/>
          <w:color w:val="auto"/>
          <w:kern w:val="0"/>
          <w:sz w:val="24"/>
          <w:szCs w:val="24"/>
          <w:highlight w:val="none"/>
          <w:u w:val="single"/>
        </w:rPr>
        <w:t>     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承包人接收文件的地点：</w:t>
      </w:r>
      <w:r>
        <w:rPr>
          <w:rFonts w:hint="eastAsia" w:ascii="宋体" w:hAnsi="宋体" w:eastAsia="宋体" w:cs="宋体"/>
          <w:snapToGrid w:val="0"/>
          <w:color w:val="auto"/>
          <w:kern w:val="0"/>
          <w:sz w:val="24"/>
          <w:szCs w:val="24"/>
          <w:highlight w:val="none"/>
          <w:u w:val="single"/>
        </w:rPr>
        <w:t xml:space="preserve"> 工地现场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承包人指定的接收人为：</w:t>
      </w:r>
      <w:r>
        <w:rPr>
          <w:rFonts w:hint="eastAsia" w:ascii="宋体" w:hAnsi="宋体" w:eastAsia="宋体" w:cs="宋体"/>
          <w:snapToGrid w:val="0"/>
          <w:color w:val="auto"/>
          <w:kern w:val="0"/>
          <w:sz w:val="24"/>
          <w:szCs w:val="24"/>
          <w:highlight w:val="none"/>
          <w:u w:val="single"/>
        </w:rPr>
        <w:t xml:space="preserve">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监理人接收文件的地点：</w:t>
      </w:r>
      <w:r>
        <w:rPr>
          <w:rFonts w:hint="eastAsia" w:ascii="宋体" w:hAnsi="宋体" w:eastAsia="宋体" w:cs="宋体"/>
          <w:snapToGrid w:val="0"/>
          <w:color w:val="auto"/>
          <w:kern w:val="0"/>
          <w:sz w:val="24"/>
          <w:szCs w:val="24"/>
          <w:highlight w:val="none"/>
          <w:u w:val="single"/>
        </w:rPr>
        <w:t>工地现场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监理人指定的接收人为：</w:t>
      </w:r>
      <w:r>
        <w:rPr>
          <w:rFonts w:hint="eastAsia" w:ascii="宋体" w:hAnsi="宋体" w:eastAsia="宋体" w:cs="宋体"/>
          <w:snapToGrid w:val="0"/>
          <w:color w:val="auto"/>
          <w:kern w:val="0"/>
          <w:sz w:val="24"/>
          <w:szCs w:val="24"/>
          <w:highlight w:val="none"/>
          <w:u w:val="single"/>
        </w:rPr>
        <w:t>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1.10 交通运输</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1.10.3 场内交通  </w:t>
      </w:r>
    </w:p>
    <w:p>
      <w:pPr>
        <w:pageBreakBefore w:val="0"/>
        <w:widowControl/>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关于场外交通和场内交通的边界的约定：</w:t>
      </w:r>
      <w:r>
        <w:rPr>
          <w:rFonts w:hint="eastAsia" w:ascii="宋体" w:hAnsi="宋体" w:eastAsia="宋体" w:cs="宋体"/>
          <w:b/>
          <w:bCs/>
          <w:snapToGrid w:val="0"/>
          <w:color w:val="auto"/>
          <w:kern w:val="0"/>
          <w:sz w:val="24"/>
          <w:szCs w:val="24"/>
          <w:highlight w:val="none"/>
          <w:u w:val="single"/>
        </w:rPr>
        <w:t>以建筑红线和发包人要求的为准</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关于发包人向承包人免费提供满足工程施工需要的场内道路和交通设施的约定：</w:t>
      </w:r>
      <w:r>
        <w:rPr>
          <w:rFonts w:hint="eastAsia" w:ascii="宋体" w:hAnsi="宋体" w:eastAsia="宋体" w:cs="宋体"/>
          <w:b/>
          <w:snapToGrid w:val="0"/>
          <w:color w:val="auto"/>
          <w:kern w:val="0"/>
          <w:sz w:val="24"/>
          <w:szCs w:val="24"/>
          <w:highlight w:val="none"/>
          <w:u w:val="single"/>
        </w:rPr>
        <w:t xml:space="preserve">已具备施工条件。  </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1.10.4超大件和超重件的运输</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运输超大件或超重件所需的道路和桥梁临时加固改造费用和其他有关费用由</w:t>
      </w:r>
      <w:r>
        <w:rPr>
          <w:rFonts w:hint="eastAsia" w:ascii="宋体" w:hAnsi="宋体" w:eastAsia="宋体" w:cs="宋体"/>
          <w:b/>
          <w:snapToGrid w:val="0"/>
          <w:color w:val="auto"/>
          <w:kern w:val="0"/>
          <w:sz w:val="24"/>
          <w:szCs w:val="24"/>
          <w:highlight w:val="none"/>
          <w:u w:val="single"/>
        </w:rPr>
        <w:t>承包人</w:t>
      </w:r>
      <w:r>
        <w:rPr>
          <w:rFonts w:hint="eastAsia" w:ascii="宋体" w:hAnsi="宋体" w:eastAsia="宋体" w:cs="宋体"/>
          <w:snapToGrid w:val="0"/>
          <w:color w:val="auto"/>
          <w:kern w:val="0"/>
          <w:sz w:val="24"/>
          <w:szCs w:val="24"/>
          <w:highlight w:val="none"/>
        </w:rPr>
        <w:t>承担。</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1.11 知识产权</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snapToGrid w:val="0"/>
          <w:color w:val="auto"/>
          <w:kern w:val="0"/>
          <w:sz w:val="24"/>
          <w:szCs w:val="24"/>
          <w:highlight w:val="none"/>
          <w:u w:val="single"/>
        </w:rPr>
        <w:t xml:space="preserve">著作权属发包人。承包人未经发包人同意不得将本工程图纸转给第三人，不得进行复制，不得向承包人以外的人泄露有关图纸内容 </w:t>
      </w:r>
      <w:r>
        <w:rPr>
          <w:rFonts w:hint="eastAsia" w:ascii="宋体" w:hAnsi="宋体" w:eastAsia="宋体" w:cs="宋体"/>
          <w:b/>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关于发包人提供的上述文件的使用限制的要求：</w:t>
      </w:r>
      <w:r>
        <w:rPr>
          <w:rFonts w:hint="eastAsia" w:ascii="宋体" w:hAnsi="宋体" w:eastAsia="宋体" w:cs="宋体"/>
          <w:b/>
          <w:snapToGrid w:val="0"/>
          <w:color w:val="auto"/>
          <w:kern w:val="0"/>
          <w:sz w:val="24"/>
          <w:szCs w:val="24"/>
          <w:highlight w:val="none"/>
          <w:u w:val="single"/>
        </w:rPr>
        <w:t>按通用条款执行</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1.11.2 关于承包人为实施工程所编制文件的著作权的归属：</w:t>
      </w:r>
      <w:r>
        <w:rPr>
          <w:rFonts w:hint="eastAsia" w:ascii="宋体" w:hAnsi="宋体" w:eastAsia="宋体" w:cs="宋体"/>
          <w:b/>
          <w:snapToGrid w:val="0"/>
          <w:color w:val="auto"/>
          <w:kern w:val="0"/>
          <w:sz w:val="24"/>
          <w:szCs w:val="24"/>
          <w:highlight w:val="none"/>
          <w:u w:val="single"/>
        </w:rPr>
        <w:t>按通用条款执行</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关于承包人提供的上述文件的使用限制的要求：</w:t>
      </w:r>
      <w:r>
        <w:rPr>
          <w:rFonts w:hint="eastAsia" w:ascii="宋体" w:hAnsi="宋体" w:eastAsia="宋体" w:cs="宋体"/>
          <w:b/>
          <w:snapToGrid w:val="0"/>
          <w:color w:val="auto"/>
          <w:kern w:val="0"/>
          <w:sz w:val="24"/>
          <w:szCs w:val="24"/>
          <w:highlight w:val="none"/>
          <w:u w:val="single"/>
        </w:rPr>
        <w:t>按通用条款执行</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1.11.4 承包人在施工过程中所采用的专利、专有技术、技术秘密的使用费的承担方式：</w:t>
      </w:r>
      <w:r>
        <w:rPr>
          <w:rFonts w:hint="eastAsia" w:ascii="宋体" w:hAnsi="宋体" w:eastAsia="宋体" w:cs="宋体"/>
          <w:b/>
          <w:snapToGrid w:val="0"/>
          <w:color w:val="auto"/>
          <w:kern w:val="0"/>
          <w:sz w:val="24"/>
          <w:szCs w:val="24"/>
          <w:highlight w:val="none"/>
          <w:u w:val="single"/>
        </w:rPr>
        <w:t>已包含在本合同价内</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1.13工程量清单错误的修正</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出现工程量清单错误时，是否调整合同价格：</w:t>
      </w:r>
      <w:r>
        <w:rPr>
          <w:rFonts w:hint="eastAsia" w:ascii="宋体" w:hAnsi="宋体" w:eastAsia="宋体" w:cs="宋体"/>
          <w:snapToGrid w:val="0"/>
          <w:color w:val="auto"/>
          <w:kern w:val="0"/>
          <w:sz w:val="24"/>
          <w:szCs w:val="24"/>
          <w:highlight w:val="none"/>
          <w:u w:val="single"/>
        </w:rPr>
        <w:t>是</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允许调整合同价格的工程量偏差范围：</w:t>
      </w:r>
      <w:r>
        <w:rPr>
          <w:rFonts w:hint="eastAsia" w:ascii="宋体" w:hAnsi="宋体" w:eastAsia="宋体" w:cs="宋体"/>
          <w:snapToGrid w:val="0"/>
          <w:color w:val="auto"/>
          <w:kern w:val="0"/>
          <w:sz w:val="24"/>
          <w:szCs w:val="24"/>
          <w:highlight w:val="none"/>
          <w:u w:val="single"/>
        </w:rPr>
        <w:t xml:space="preserve"> 按本合同条款中第12.1款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2. 发包人</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 发包人代表</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发包人代表：</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姓    名：</w:t>
      </w:r>
      <w:r>
        <w:rPr>
          <w:rFonts w:hint="eastAsia" w:ascii="宋体" w:hAnsi="宋体" w:eastAsia="宋体" w:cs="宋体"/>
          <w:snapToGrid w:val="0"/>
          <w:color w:val="auto"/>
          <w:kern w:val="0"/>
          <w:sz w:val="24"/>
          <w:szCs w:val="24"/>
          <w:highlight w:val="none"/>
          <w:u w:val="single"/>
        </w:rPr>
        <w:t>          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身份证号：</w:t>
      </w:r>
      <w:r>
        <w:rPr>
          <w:rFonts w:hint="eastAsia" w:ascii="宋体" w:hAnsi="宋体" w:eastAsia="宋体" w:cs="宋体"/>
          <w:snapToGrid w:val="0"/>
          <w:color w:val="auto"/>
          <w:kern w:val="0"/>
          <w:sz w:val="24"/>
          <w:szCs w:val="24"/>
          <w:highlight w:val="none"/>
          <w:u w:val="single"/>
        </w:rPr>
        <w:t>          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职    务：</w:t>
      </w:r>
      <w:r>
        <w:rPr>
          <w:rFonts w:hint="eastAsia" w:ascii="宋体" w:hAnsi="宋体" w:eastAsia="宋体" w:cs="宋体"/>
          <w:snapToGrid w:val="0"/>
          <w:color w:val="auto"/>
          <w:kern w:val="0"/>
          <w:sz w:val="24"/>
          <w:szCs w:val="24"/>
          <w:highlight w:val="none"/>
          <w:u w:val="single"/>
        </w:rPr>
        <w:t>          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联系电话：</w:t>
      </w:r>
      <w:r>
        <w:rPr>
          <w:rFonts w:hint="eastAsia" w:ascii="宋体" w:hAnsi="宋体" w:eastAsia="宋体" w:cs="宋体"/>
          <w:snapToGrid w:val="0"/>
          <w:color w:val="auto"/>
          <w:kern w:val="0"/>
          <w:sz w:val="24"/>
          <w:szCs w:val="24"/>
          <w:highlight w:val="none"/>
          <w:u w:val="single"/>
        </w:rPr>
        <w:t>          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电子信箱：</w:t>
      </w:r>
      <w:r>
        <w:rPr>
          <w:rFonts w:hint="eastAsia" w:ascii="宋体" w:hAnsi="宋体" w:eastAsia="宋体" w:cs="宋体"/>
          <w:snapToGrid w:val="0"/>
          <w:color w:val="auto"/>
          <w:kern w:val="0"/>
          <w:sz w:val="24"/>
          <w:szCs w:val="24"/>
          <w:highlight w:val="none"/>
          <w:u w:val="single"/>
        </w:rPr>
        <w:t>          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通信地址：</w:t>
      </w:r>
      <w:r>
        <w:rPr>
          <w:rFonts w:hint="eastAsia" w:ascii="宋体" w:hAnsi="宋体" w:eastAsia="宋体" w:cs="宋体"/>
          <w:snapToGrid w:val="0"/>
          <w:color w:val="auto"/>
          <w:kern w:val="0"/>
          <w:sz w:val="24"/>
          <w:szCs w:val="24"/>
          <w:highlight w:val="none"/>
          <w:u w:val="single"/>
        </w:rPr>
        <w:t>          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发包人对发包人代表的授权范围如下：</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b/>
          <w:bCs/>
          <w:snapToGrid w:val="0"/>
          <w:color w:val="auto"/>
          <w:kern w:val="0"/>
          <w:sz w:val="24"/>
          <w:szCs w:val="24"/>
          <w:highlight w:val="none"/>
          <w:u w:val="single"/>
        </w:rPr>
        <w:t xml:space="preserve">代表发包人行使本合同约定的发包人的权力和监理人需要取得发包人批准的权力 </w:t>
      </w:r>
      <w:r>
        <w:rPr>
          <w:rFonts w:hint="eastAsia" w:ascii="宋体" w:hAnsi="宋体" w:eastAsia="宋体" w:cs="宋体"/>
          <w:b/>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 施工现场、施工条件和基础资料的提供</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2.4.1 提供施工现场</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关于发包人移交施工现场的期限要求：</w:t>
      </w:r>
      <w:r>
        <w:rPr>
          <w:rFonts w:hint="eastAsia" w:ascii="宋体" w:hAnsi="宋体" w:eastAsia="宋体" w:cs="宋体"/>
          <w:b/>
          <w:snapToGrid w:val="0"/>
          <w:color w:val="auto"/>
          <w:kern w:val="0"/>
          <w:sz w:val="24"/>
          <w:szCs w:val="24"/>
          <w:highlight w:val="none"/>
          <w:u w:val="single"/>
        </w:rPr>
        <w:t>以施工现场的现状为准</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2.4.2 提供施工条件</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关于发包人应负责提供施工所需要的条件，包括：</w:t>
      </w:r>
      <w:r>
        <w:rPr>
          <w:rFonts w:hint="eastAsia" w:ascii="宋体" w:hAnsi="宋体" w:eastAsia="宋体" w:cs="宋体"/>
          <w:b/>
          <w:snapToGrid w:val="0"/>
          <w:color w:val="auto"/>
          <w:kern w:val="0"/>
          <w:sz w:val="24"/>
          <w:szCs w:val="24"/>
          <w:highlight w:val="none"/>
          <w:u w:val="single"/>
        </w:rPr>
        <w:t>发包人于开工前办理好施工所需证件、批件（承包人自身资质证件除外）。施工过程中承包人不得因发包人前期手续而出现不进行施工准备、索赔、</w:t>
      </w:r>
      <w:r>
        <w:rPr>
          <w:rFonts w:hint="eastAsia" w:ascii="宋体" w:hAnsi="宋体" w:eastAsia="宋体" w:cs="宋体"/>
          <w:b/>
          <w:snapToGrid w:val="0"/>
          <w:color w:val="auto"/>
          <w:kern w:val="0"/>
          <w:sz w:val="24"/>
          <w:szCs w:val="24"/>
          <w:highlight w:val="none"/>
          <w:u w:val="single"/>
          <w:lang w:eastAsia="zh-CN"/>
        </w:rPr>
        <w:t>消极怠工</w:t>
      </w:r>
      <w:r>
        <w:rPr>
          <w:rFonts w:hint="eastAsia" w:ascii="宋体" w:hAnsi="宋体" w:eastAsia="宋体" w:cs="宋体"/>
          <w:b/>
          <w:snapToGrid w:val="0"/>
          <w:color w:val="auto"/>
          <w:kern w:val="0"/>
          <w:sz w:val="24"/>
          <w:szCs w:val="24"/>
          <w:highlight w:val="none"/>
          <w:u w:val="single"/>
        </w:rPr>
        <w:t xml:space="preserve">等情形，应积极配合，保证工程按计划进行，否则按违约处理 </w:t>
      </w:r>
      <w:r>
        <w:rPr>
          <w:rFonts w:hint="eastAsia" w:ascii="宋体" w:hAnsi="宋体" w:eastAsia="宋体" w:cs="宋体"/>
          <w:b/>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 资金来源证明及支付担保</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发包人提供资金来源证明的期限要求：</w:t>
      </w:r>
      <w:r>
        <w:rPr>
          <w:rFonts w:hint="eastAsia" w:ascii="宋体" w:hAnsi="宋体" w:eastAsia="宋体" w:cs="宋体"/>
          <w:snapToGrid w:val="0"/>
          <w:color w:val="auto"/>
          <w:kern w:val="0"/>
          <w:sz w:val="24"/>
          <w:szCs w:val="24"/>
          <w:highlight w:val="none"/>
          <w:u w:val="single"/>
        </w:rPr>
        <w:t xml:space="preserve">无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发包人是否提供支付担保：</w:t>
      </w:r>
      <w:r>
        <w:rPr>
          <w:rFonts w:hint="eastAsia" w:ascii="宋体" w:hAnsi="宋体" w:eastAsia="宋体" w:cs="宋体"/>
          <w:snapToGrid w:val="0"/>
          <w:color w:val="auto"/>
          <w:kern w:val="0"/>
          <w:sz w:val="24"/>
          <w:szCs w:val="24"/>
          <w:highlight w:val="none"/>
          <w:u w:val="single"/>
        </w:rPr>
        <w:t xml:space="preserve">不提供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发包人提供支付担保的形式：</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 承包人</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3.1 承包人的一般义务</w:t>
      </w:r>
    </w:p>
    <w:p>
      <w:pPr>
        <w:pageBreakBefore w:val="0"/>
        <w:widowControl/>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（5）承包人提交的竣工资料的内容：</w:t>
      </w:r>
      <w:r>
        <w:rPr>
          <w:rFonts w:hint="eastAsia" w:ascii="宋体" w:hAnsi="宋体" w:eastAsia="宋体" w:cs="宋体"/>
          <w:b/>
          <w:bCs/>
          <w:snapToGrid w:val="0"/>
          <w:color w:val="auto"/>
          <w:kern w:val="0"/>
          <w:sz w:val="24"/>
          <w:szCs w:val="24"/>
          <w:highlight w:val="none"/>
          <w:u w:val="single"/>
        </w:rPr>
        <w:t>承包人提供监理工程师审查通过的完整的竣工图、竣工备案资料、竣工结算及其他资料。A. 施工中没有设计变更，施工后由承包人在发包人认可的施工图纸上加盖竣工图章，提交发包人；B. 施工中只有零星的少量设计变更，承包人在施工图变更位置注明，并连同经发包人同意的变更签证，竣工后由承包人加盖竣工图章交给发包人；C.施工中对原设计中变更较多，原施工图难于作为竣工图，应由承包人组织重新绘制竣工图，并承担相应费用。</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承包人需要提交的竣工资料套数：</w:t>
      </w:r>
      <w:r>
        <w:rPr>
          <w:rFonts w:hint="eastAsia" w:ascii="宋体" w:hAnsi="宋体" w:eastAsia="宋体" w:cs="宋体"/>
          <w:b/>
          <w:bCs/>
          <w:snapToGrid w:val="0"/>
          <w:color w:val="auto"/>
          <w:kern w:val="0"/>
          <w:sz w:val="24"/>
          <w:szCs w:val="24"/>
          <w:highlight w:val="none"/>
          <w:u w:val="single"/>
        </w:rPr>
        <w:t>四套</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承包人提交的竣工资料的费用承担：</w:t>
      </w:r>
      <w:r>
        <w:rPr>
          <w:rFonts w:hint="eastAsia" w:ascii="宋体" w:hAnsi="宋体" w:eastAsia="宋体" w:cs="宋体"/>
          <w:b/>
          <w:bCs/>
          <w:snapToGrid w:val="0"/>
          <w:color w:val="auto"/>
          <w:kern w:val="0"/>
          <w:sz w:val="24"/>
          <w:szCs w:val="24"/>
          <w:highlight w:val="none"/>
          <w:u w:val="single"/>
        </w:rPr>
        <w:t>由承包人承担</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承包人提交的竣工资料移交时间：</w:t>
      </w:r>
      <w:r>
        <w:rPr>
          <w:rFonts w:hint="eastAsia" w:ascii="宋体" w:hAnsi="宋体" w:eastAsia="宋体" w:cs="宋体"/>
          <w:b/>
          <w:bCs/>
          <w:snapToGrid w:val="0"/>
          <w:color w:val="auto"/>
          <w:kern w:val="0"/>
          <w:sz w:val="24"/>
          <w:szCs w:val="24"/>
          <w:highlight w:val="none"/>
          <w:u w:val="single"/>
        </w:rPr>
        <w:t>工程竣工验收合格之日算起30天内</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
          <w:bCs/>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承包人提交的竣工资料形式要求：</w:t>
      </w:r>
      <w:r>
        <w:rPr>
          <w:rFonts w:hint="eastAsia" w:ascii="宋体" w:hAnsi="宋体" w:eastAsia="宋体" w:cs="宋体"/>
          <w:b/>
          <w:bCs/>
          <w:snapToGrid w:val="0"/>
          <w:color w:val="auto"/>
          <w:kern w:val="0"/>
          <w:sz w:val="24"/>
          <w:szCs w:val="24"/>
          <w:highlight w:val="none"/>
          <w:u w:val="single"/>
        </w:rPr>
        <w:t>承包人提供的竣工图必须与实际相符合，否则由此对发包人所造成的所有损失由承包人承担。承包人提供的竣工图和资料必须经城建档案部门验收合格。</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
          <w:bCs/>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（6）承包人应履行的其他义务：</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①承担施工安全保卫工作及非夜间施工照明的责任和要求，承包人必须在施工现场入口处、施工起重机械、临时用电设施、脚手架、出入通道口、孔洞口等危险部位，设置明显的安全警示标志和必要的安全防护设施。安全警示标志和防护设施必须符合国家、行业标准。如发生安全事故，责任由承包人承担。承包人须服从发包人及监理的统一管理，承包人在进场前要制订对人员、机械设备的操作及安全用电等各方面的安全制度，增强全体施工人员的安全意识，落实安全责任，保证做到绝对安全。所需费用均包含在合同价中。</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②承包人办理交通、环卫、环保、安全监督和施工噪音管理等有关手续，遵守政府有关主管部门对施工场地交通、施工噪音、环境保护和安全生产等的管理规定，按规定办理有关手续，并以书面形式通知发包人。所需费用均包含在合同价中。</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③承包人有义务根据发包人提供的图纸及有关文件提出合理化建议，以及对于设计中存在的问题在施工之前提出；承包人须无条件接受发包人发出的设计变更，并按设计变更进行施工。</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④承包人应充分勘察本项目的施工条件及现有建筑物、构筑物的现状情况及施工难度，充分预见可能发生的一切额外费用，施工时间需严格按照发包人要求进行，配合发包人统一安排管理，精心编制施工方案，不得影响工期。本项目涉及的所有措施费用（如赶工措施费、材料设备进出场费、垃圾清运费等可预见及不可预见的所有费用），承包人在磋商响应时根据现场实际情况自行考虑，结算时不再调整。</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⑤承包人必须保护现有建筑、道路、结构物等成品，如有损坏，应按照不低于原设计标准恢复，费用列入报价。碰到地下管线等，要求承包人严格按有关部门的要求采取措施进行保护，如发生损坏，所有损失由承包人承担。</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⑥施工场地清洁卫生的要求：按市级文明工地要求，做好场地清理及相关工作。施工现场的材料堆放要整齐，机械停放有序，做到工完料清；遵守环境卫生管理的有关规定，符合清洁卫生要求；定期地将所有建筑垃圾从施工场地清除，并运出场外；交工前，将所有剩余的建筑材料运走或运至指定地点堆放，将所有施工机械和设备从施工场地运走。上述费用包含在合同价中。未能达到上述要求发包人有权扣除承包人20%的履约保证金。若承包人现场施工作业面、办公区、生活区内清洁卫生满足不了文明施工要求，发包人有权安排其它单位或个人打扫，按具体发生的费用2倍及以上从进度款中扣除。</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⑦承包人在竣工验收合格后七天内拆除现场所有临时设施，包括所有的机械设备、材料、建筑垃圾全部清运出现场，清理标准应征得发包人认可。否则如发生相关费用由业主单位在工程竣工结算价款中扣除，并且承包人按1000元/天向发包人支付违约金。</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⑧作为一个有经验的施工承包商，承包人应结合现场及自身实际情况，编制切实可行的施工组织方案（含临时安全措施搭建方案），开工前在发包人认可后方可实施。承包人须确保施工进行期间安全防护（包含但不仅限于安全警示牌、夜间警示灯等）、文明施工的措施到位，施工期间不得影响周围环境，所涉及的相关费用应含在报价中。发包人不另行支付任何费用。</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⑨承包人在施工现场应设置有关标语、标牌，做好安全文明施工工作，树立企业形象，主动接受社会监督。在工程施工过程中以及工程保修期内，由于承包人责任出现质量问题、安全事故或者因其他原因，受到报纸、电视等媒体的曝光或被政府有关主管部门的通报批评，均会给本工程的社会形象造成损失，每发生一次承包人须向发包人支付不低于2万元的违约金，并承担由此给发包人造成直接或间接的损失，违约金及损失从承包人工程进度款中扣除。</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⑩双方约定承包人应做的其他工作：A.现场施工条件和情况由承包人自行勘察，机械设备布置和防护由承包人自行负责并承担费用。B.在施工过程中不得破坏施工场地周围的自然景观和环境。C.如果在现场工作的过程中，发现电线、水管管道，或者其他公共设施，承包人应立即停止工作，并及时报告发包人或专门机构。D.临时停水、停电、二次搬运、成品保护等所需措施费用和工期承包人在磋商响应报价中已充分考虑，并已考虑了各种可能因素影响施工所增加的费用，因此，发生上述情况，发包人不另行增加费用。E.对于施工过程中承包人不得因发包方前期手续而索赔或消极施工，需积极配合，保证工程按计划进行，否则按违约处理。</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⑪承包人有义务根据发包人提供的图纸及有关文件提出合理化建议，以及对于设计中存在的问题在施工之前提出；承包人须无条件接受发包人发出的设计变更，并在合理的时间内完成设计变更。</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⑫施工过程中排污、环保、市容、消防、治安、人口管理等相关手续的办理以及因施工造成对临近居民的影响所引起的纠纷等，由承包人配合发包人协调处理。施工期间要求承包人做好施工期间的扬尘排污措施，执行《市政府办公室关于转发市物价局等四部门《南通市城市施工工地扬尘排污费征收管理试行办法》的通知》（通政办发〔2016〕21号），编制专项施工组织设计，经发包人、监理认可后施工，此外承包单位需做好申报工作，如因措施不到位，达标消减系数达不到1，承包单位将承担所有扬尘排污费用（包括发包人缴纳的）。</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
          <w:bCs/>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 xml:space="preserve">⑬承包人必须在施工期间做好对突发公共事件的应急处理工作，内容主要包含：发包人接收来自数字化城市管理热线 12319、政府服务热线 12345、城建服务热线83531111 以及市长信箱、市民来函来电等施工区域现场涉及安全、文明施工、环境保护和卫生保洁、设施维修等方面的举报投诉等，承包人应当按照发包人或在相关部门指令下于限定时间内完成指定整改任务并按要求做好回复和档案记录工作，未能按照要求及时整改且未说明理由的，每次将视情况处以500－2000元的违约金处理。 </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 项目经理</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3.2.1 项目经理：</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姓    名：</w:t>
      </w:r>
      <w:r>
        <w:rPr>
          <w:rFonts w:hint="eastAsia" w:ascii="宋体" w:hAnsi="宋体" w:eastAsia="宋体" w:cs="宋体"/>
          <w:snapToGrid w:val="0"/>
          <w:color w:val="auto"/>
          <w:kern w:val="0"/>
          <w:sz w:val="24"/>
          <w:szCs w:val="24"/>
          <w:highlight w:val="none"/>
          <w:u w:val="single"/>
        </w:rPr>
        <w:t>  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身份证号：</w:t>
      </w:r>
      <w:r>
        <w:rPr>
          <w:rFonts w:hint="eastAsia" w:ascii="宋体" w:hAnsi="宋体" w:eastAsia="宋体" w:cs="宋体"/>
          <w:snapToGrid w:val="0"/>
          <w:color w:val="auto"/>
          <w:kern w:val="0"/>
          <w:sz w:val="24"/>
          <w:szCs w:val="24"/>
          <w:highlight w:val="none"/>
          <w:u w:val="single"/>
        </w:rPr>
        <w:t>  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建造师执业资格等级：</w:t>
      </w:r>
      <w:r>
        <w:rPr>
          <w:rFonts w:hint="eastAsia" w:ascii="宋体" w:hAnsi="宋体" w:eastAsia="宋体" w:cs="宋体"/>
          <w:snapToGrid w:val="0"/>
          <w:color w:val="auto"/>
          <w:kern w:val="0"/>
          <w:sz w:val="24"/>
          <w:szCs w:val="24"/>
          <w:highlight w:val="none"/>
          <w:u w:val="single"/>
        </w:rPr>
        <w:t>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建造师注册证书号：</w:t>
      </w:r>
      <w:r>
        <w:rPr>
          <w:rFonts w:hint="eastAsia" w:ascii="宋体" w:hAnsi="宋体" w:eastAsia="宋体" w:cs="宋体"/>
          <w:snapToGrid w:val="0"/>
          <w:color w:val="auto"/>
          <w:kern w:val="0"/>
          <w:sz w:val="24"/>
          <w:szCs w:val="24"/>
          <w:highlight w:val="none"/>
          <w:u w:val="single"/>
        </w:rPr>
        <w:t>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建造师执业印章号：</w:t>
      </w:r>
      <w:r>
        <w:rPr>
          <w:rFonts w:hint="eastAsia" w:ascii="宋体" w:hAnsi="宋体" w:eastAsia="宋体" w:cs="宋体"/>
          <w:snapToGrid w:val="0"/>
          <w:color w:val="auto"/>
          <w:kern w:val="0"/>
          <w:sz w:val="24"/>
          <w:szCs w:val="24"/>
          <w:highlight w:val="none"/>
          <w:u w:val="single"/>
        </w:rPr>
        <w:t>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安全生产考核合格证书号：</w:t>
      </w:r>
      <w:r>
        <w:rPr>
          <w:rFonts w:hint="eastAsia" w:ascii="宋体" w:hAnsi="宋体" w:eastAsia="宋体" w:cs="宋体"/>
          <w:snapToGrid w:val="0"/>
          <w:color w:val="auto"/>
          <w:kern w:val="0"/>
          <w:sz w:val="24"/>
          <w:szCs w:val="24"/>
          <w:highlight w:val="none"/>
          <w:u w:val="single"/>
        </w:rPr>
        <w:t>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联系电话：</w:t>
      </w:r>
      <w:r>
        <w:rPr>
          <w:rFonts w:hint="eastAsia" w:ascii="宋体" w:hAnsi="宋体" w:eastAsia="宋体" w:cs="宋体"/>
          <w:snapToGrid w:val="0"/>
          <w:color w:val="auto"/>
          <w:kern w:val="0"/>
          <w:sz w:val="24"/>
          <w:szCs w:val="24"/>
          <w:highlight w:val="none"/>
          <w:u w:val="single"/>
        </w:rPr>
        <w:t>  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电子信箱：</w:t>
      </w:r>
      <w:r>
        <w:rPr>
          <w:rFonts w:hint="eastAsia" w:ascii="宋体" w:hAnsi="宋体" w:eastAsia="宋体" w:cs="宋体"/>
          <w:snapToGrid w:val="0"/>
          <w:color w:val="auto"/>
          <w:kern w:val="0"/>
          <w:sz w:val="24"/>
          <w:szCs w:val="24"/>
          <w:highlight w:val="none"/>
          <w:u w:val="single"/>
        </w:rPr>
        <w:t>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通信地址：</w:t>
      </w:r>
      <w:r>
        <w:rPr>
          <w:rFonts w:hint="eastAsia" w:ascii="宋体" w:hAnsi="宋体" w:eastAsia="宋体" w:cs="宋体"/>
          <w:snapToGrid w:val="0"/>
          <w:color w:val="auto"/>
          <w:kern w:val="0"/>
          <w:sz w:val="24"/>
          <w:szCs w:val="24"/>
          <w:highlight w:val="none"/>
          <w:u w:val="single"/>
        </w:rPr>
        <w:t>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
          <w:bCs/>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承包人对项目经理的授权范围如下：</w:t>
      </w:r>
      <w:r>
        <w:rPr>
          <w:rFonts w:hint="eastAsia" w:ascii="宋体" w:hAnsi="宋体" w:eastAsia="宋体" w:cs="宋体"/>
          <w:b/>
          <w:bCs/>
          <w:snapToGrid w:val="0"/>
          <w:color w:val="auto"/>
          <w:kern w:val="0"/>
          <w:sz w:val="24"/>
          <w:szCs w:val="24"/>
          <w:highlight w:val="none"/>
          <w:u w:val="single"/>
        </w:rPr>
        <w:t xml:space="preserve">全面履行本合同工程的施工管理职责，为工程参与各方做好协调和服务，在资金、技术、工程进度、质量、安全、环境保护、文明施工等合约目标范围向发包人直接负责，听从发包人和监理的指挥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
          <w:bCs/>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关于项目经理每月在施工现场的时间要求：</w:t>
      </w:r>
      <w:r>
        <w:rPr>
          <w:rFonts w:hint="eastAsia" w:ascii="宋体" w:hAnsi="宋体" w:eastAsia="宋体" w:cs="宋体"/>
          <w:b/>
          <w:bCs/>
          <w:snapToGrid w:val="0"/>
          <w:color w:val="auto"/>
          <w:kern w:val="0"/>
          <w:sz w:val="24"/>
          <w:szCs w:val="24"/>
          <w:highlight w:val="none"/>
          <w:u w:val="single"/>
        </w:rPr>
        <w:t>项目经理保证出勤每周六天及以上，每月不少于26天，并在每天不少于8小时，每少一天向发包人缴纳违约金1000元，累计缺勤15天或连续缺勤5天，发包人有权单方面提前终止合同，限令退场，已完成工程量不予结算，并由承包人承担由此发生的全部责任和损失。</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
          <w:bCs/>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承包人未提交劳动合同，以及没有为项目经理缴纳养老保险证明的违约责任：</w:t>
      </w:r>
      <w:r>
        <w:rPr>
          <w:rFonts w:hint="eastAsia" w:ascii="宋体" w:hAnsi="宋体" w:eastAsia="宋体" w:cs="宋体"/>
          <w:b/>
          <w:bCs/>
          <w:snapToGrid w:val="0"/>
          <w:color w:val="auto"/>
          <w:kern w:val="0"/>
          <w:sz w:val="24"/>
          <w:szCs w:val="24"/>
          <w:highlight w:val="none"/>
          <w:u w:val="single"/>
        </w:rPr>
        <w:t>除责令停工整改外，并向发包人支付1万元作为违约金。承包人承担上述违约给发包人造成的一切损失，发包人有权单方面解除合同，已完工程不做结算。</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项目经理未经批准，擅自离开施工现场的违约责任：</w:t>
      </w:r>
      <w:r>
        <w:rPr>
          <w:rFonts w:hint="eastAsia" w:ascii="宋体" w:hAnsi="宋体" w:eastAsia="宋体" w:cs="宋体"/>
          <w:b/>
          <w:bCs/>
          <w:snapToGrid w:val="0"/>
          <w:color w:val="auto"/>
          <w:kern w:val="0"/>
          <w:sz w:val="24"/>
          <w:szCs w:val="24"/>
          <w:highlight w:val="none"/>
          <w:u w:val="single"/>
        </w:rPr>
        <w:t>发包人将不定期进行考核检查，检查时，发现未经发包人同意，项目经理擅自离开现场，每少一天向发包人缴纳违约金2000元，累计缺勤15天或连续缺勤5天，发包人有权单方面提前终止合同，限令退场，已完成工程量不予结算，并由承包人承担由此发生的全部责任和损失。</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
          <w:bCs/>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3.2.</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 xml:space="preserve"> 承包人擅自更换项目经理的违约责任：</w:t>
      </w:r>
      <w:r>
        <w:rPr>
          <w:rFonts w:hint="eastAsia" w:ascii="宋体" w:hAnsi="宋体" w:eastAsia="宋体" w:cs="宋体"/>
          <w:b/>
          <w:bCs/>
          <w:snapToGrid w:val="0"/>
          <w:color w:val="auto"/>
          <w:kern w:val="0"/>
          <w:sz w:val="24"/>
          <w:szCs w:val="24"/>
          <w:highlight w:val="none"/>
          <w:u w:val="single"/>
        </w:rPr>
        <w:t>承包人必须指派磋商响应文件中承诺的项目负责人到施工现场负责施工管理，不得更换，工程施工期间必须保证施工全过程在本项目工地工作，不得兼职本工程以外的工作，除不可抗力因素外，确实需要更换的，除须经发包人书面批准外，同时承包人应向发包人缴纳违约金1万元/次。承包人承担上述违约给发包人造成的一切损失，发包人有权单方面解除合同，已完工程不做结算。</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3.2.</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 xml:space="preserve"> 承包人无正当理由拒绝更换项目经理的违约责任</w:t>
      </w:r>
      <w:r>
        <w:rPr>
          <w:rFonts w:hint="eastAsia" w:ascii="宋体" w:hAnsi="宋体" w:eastAsia="宋体" w:cs="宋体"/>
          <w:b/>
          <w:bCs/>
          <w:snapToGrid w:val="0"/>
          <w:color w:val="auto"/>
          <w:kern w:val="0"/>
          <w:sz w:val="24"/>
          <w:szCs w:val="24"/>
          <w:highlight w:val="none"/>
          <w:u w:val="single"/>
        </w:rPr>
        <w:t>：除责令停工整改外，并向发包人缴纳违约金1万元。承包人承担上述违约给发包人造成的一切损失，发包人有权单方面解除合同，已完工程不做结算。</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3.3 承包人人员</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3.3.1 承包人提交项目管理机构及施工现场管理人员安排报告的期限：</w:t>
      </w:r>
      <w:r>
        <w:rPr>
          <w:rFonts w:hint="eastAsia" w:ascii="宋体" w:hAnsi="宋体" w:eastAsia="宋体" w:cs="宋体"/>
          <w:snapToGrid w:val="0"/>
          <w:color w:val="auto"/>
          <w:kern w:val="0"/>
          <w:sz w:val="24"/>
          <w:szCs w:val="24"/>
          <w:highlight w:val="none"/>
          <w:u w:val="single"/>
        </w:rPr>
        <w:t>施工合同签订前。</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3.3.</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承包人无正当理由拒绝撤换主要施工管理人员的违约责任：</w:t>
      </w:r>
      <w:r>
        <w:rPr>
          <w:rFonts w:hint="eastAsia" w:ascii="宋体" w:hAnsi="宋体" w:eastAsia="宋体" w:cs="宋体"/>
          <w:snapToGrid w:val="0"/>
          <w:color w:val="auto"/>
          <w:kern w:val="0"/>
          <w:sz w:val="24"/>
          <w:szCs w:val="24"/>
          <w:highlight w:val="none"/>
          <w:u w:val="single"/>
        </w:rPr>
        <w:t>承包人常驻项目部技术负责人、施工员、安全员、质量员经发包人和监理方考核不合格者，承包人必须 在一周内无条件更换，同时须缴纳相应金额的违约金（更换 5000元/次/人）。承包人人员资格的特别规定：所有特殊工种人员均应符合有关规定，获得上岗资格，持有有关部门颁发的资质证书或上岗证，并在施工上岗之前提供给监理工程师审查，施工中持证上岗。在特殊工种的施工中，若发现未持有资格证书施工，则按每发现一次，收取1000 元/人次的违约金，累计3次则停工整顿，由此造成的损失由承包人承担。</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3.3.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 xml:space="preserve"> 承包人主要施工管理人员离开施工现场的批准要求：</w:t>
      </w:r>
      <w:r>
        <w:rPr>
          <w:rFonts w:hint="eastAsia" w:ascii="宋体" w:hAnsi="宋体" w:eastAsia="宋体" w:cs="宋体"/>
          <w:snapToGrid w:val="0"/>
          <w:color w:val="auto"/>
          <w:kern w:val="0"/>
          <w:sz w:val="24"/>
          <w:szCs w:val="24"/>
          <w:highlight w:val="none"/>
          <w:u w:val="single"/>
        </w:rPr>
        <w:t xml:space="preserve">须经监理及发包人现场代表书面同意，否则视为缺勤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3.3.</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承包人擅自更换主要施工管理人员的违约责任：</w:t>
      </w:r>
      <w:r>
        <w:rPr>
          <w:rFonts w:hint="eastAsia" w:ascii="宋体" w:hAnsi="宋体" w:eastAsia="宋体" w:cs="宋体"/>
          <w:snapToGrid w:val="0"/>
          <w:color w:val="auto"/>
          <w:kern w:val="0"/>
          <w:sz w:val="24"/>
          <w:szCs w:val="24"/>
          <w:highlight w:val="none"/>
          <w:u w:val="single"/>
        </w:rPr>
        <w:t>承包人必须指派磋商响应文件中承诺的本项目主要施工管理人员（含技术负责人、施工员、安全员、质量员、资料员）到施工现场负责施工管理，且通过发包人的考核；若有变动，除需得到发包人考核认可外，同时需向发包人缴纳违约金5000元/次/人。</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承包人主要施工管理人员擅自离开施工现场的违约责任：</w:t>
      </w:r>
      <w:r>
        <w:rPr>
          <w:rFonts w:hint="eastAsia" w:ascii="宋体" w:hAnsi="宋体" w:eastAsia="宋体" w:cs="宋体"/>
          <w:snapToGrid w:val="0"/>
          <w:color w:val="auto"/>
          <w:kern w:val="0"/>
          <w:sz w:val="24"/>
          <w:szCs w:val="24"/>
          <w:highlight w:val="none"/>
          <w:u w:val="single"/>
        </w:rPr>
        <w:t>项目部的技术负责人、施工员、质量员、安全员必须在本工程施工期内必须每月出勤达26天以上，每天不少于8小时，离开施工现场时必须向发包人请假。未经发包人同意，发现施工管理人不在现场的，承包人向发包人缴纳违约金1000元/人·天。每月累计缺勤10天或连续缺勤5天，且未经发包方或监理认可，发包人有权要求承包人无条件更换施工管理人员，同时承包人须向发包人缴纳违约金5000元/次/人。</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3.5 分包</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3.5.1 分包的一般约定</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禁止分包的工程包括：</w:t>
      </w:r>
      <w:r>
        <w:rPr>
          <w:rFonts w:hint="eastAsia" w:ascii="宋体" w:hAnsi="宋体" w:eastAsia="宋体" w:cs="宋体"/>
          <w:snapToGrid w:val="0"/>
          <w:color w:val="auto"/>
          <w:kern w:val="0"/>
          <w:sz w:val="24"/>
          <w:szCs w:val="24"/>
          <w:highlight w:val="none"/>
          <w:u w:val="single"/>
        </w:rPr>
        <w:t>禁止分包</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主体结构、关键性工作的范围</w:t>
      </w:r>
      <w:bookmarkStart w:id="86" w:name="_Toc303539104"/>
      <w:bookmarkStart w:id="87" w:name="_Toc297120461"/>
      <w:bookmarkStart w:id="88" w:name="_Toc296347160"/>
      <w:bookmarkStart w:id="89" w:name="_Toc296890989"/>
      <w:bookmarkStart w:id="90" w:name="_Toc296891201"/>
      <w:bookmarkStart w:id="91" w:name="_Toc297216153"/>
      <w:bookmarkStart w:id="92" w:name="_Toc297123494"/>
      <w:bookmarkStart w:id="93" w:name="_Toc304295525"/>
      <w:bookmarkStart w:id="94" w:name="_Toc296503161"/>
      <w:bookmarkStart w:id="95" w:name="_Toc296346662"/>
      <w:bookmarkStart w:id="96" w:name="_Toc296944500"/>
      <w:bookmarkStart w:id="97" w:name="_Toc300934947"/>
      <w:bookmarkStart w:id="98" w:name="_Toc297048347"/>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u w:val="single"/>
        </w:rPr>
        <w:t xml:space="preserve"> / </w:t>
      </w:r>
      <w:r>
        <w:rPr>
          <w:rFonts w:hint="eastAsia" w:ascii="宋体" w:hAnsi="宋体" w:eastAsia="宋体" w:cs="宋体"/>
          <w:snapToGrid w:val="0"/>
          <w:color w:val="auto"/>
          <w:kern w:val="0"/>
          <w:sz w:val="24"/>
          <w:szCs w:val="24"/>
          <w:highlight w:val="none"/>
        </w:rPr>
        <w:t>。</w:t>
      </w:r>
    </w:p>
    <w:bookmarkEnd w:id="86"/>
    <w:bookmarkEnd w:id="87"/>
    <w:bookmarkEnd w:id="88"/>
    <w:bookmarkEnd w:id="89"/>
    <w:bookmarkEnd w:id="90"/>
    <w:bookmarkEnd w:id="91"/>
    <w:bookmarkEnd w:id="92"/>
    <w:bookmarkEnd w:id="93"/>
    <w:bookmarkEnd w:id="94"/>
    <w:bookmarkEnd w:id="95"/>
    <w:bookmarkEnd w:id="96"/>
    <w:bookmarkEnd w:id="97"/>
    <w:bookmarkEnd w:id="98"/>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3.5.2分包的确定</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允许分包的专业工程包括：</w:t>
      </w:r>
      <w:r>
        <w:rPr>
          <w:rFonts w:hint="eastAsia" w:ascii="宋体" w:hAnsi="宋体" w:eastAsia="宋体" w:cs="宋体"/>
          <w:snapToGrid w:val="0"/>
          <w:color w:val="auto"/>
          <w:kern w:val="0"/>
          <w:sz w:val="24"/>
          <w:szCs w:val="24"/>
          <w:highlight w:val="none"/>
          <w:u w:val="single"/>
        </w:rPr>
        <w:t xml:space="preserve">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其他关于分包的约定：</w:t>
      </w:r>
      <w:r>
        <w:rPr>
          <w:rFonts w:hint="eastAsia" w:ascii="宋体" w:hAnsi="宋体" w:eastAsia="宋体" w:cs="宋体"/>
          <w:snapToGrid w:val="0"/>
          <w:color w:val="auto"/>
          <w:kern w:val="0"/>
          <w:sz w:val="24"/>
          <w:szCs w:val="24"/>
          <w:highlight w:val="none"/>
          <w:u w:val="single"/>
        </w:rPr>
        <w:t xml:space="preserve">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3.5.</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分包合同价款</w:t>
      </w:r>
    </w:p>
    <w:p>
      <w:pPr>
        <w:pageBreakBefore w:val="0"/>
        <w:kinsoku/>
        <w:wordWrap/>
        <w:overflowPunct/>
        <w:topLinePunct w:val="0"/>
        <w:bidi w:val="0"/>
        <w:adjustRightInd/>
        <w:snapToGrid/>
        <w:spacing w:line="360" w:lineRule="auto"/>
        <w:ind w:right="0" w:firstLine="480"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关于分包合同价款支付的约定：</w:t>
      </w:r>
      <w:r>
        <w:rPr>
          <w:rFonts w:hint="eastAsia" w:ascii="宋体" w:hAnsi="宋体" w:eastAsia="宋体" w:cs="宋体"/>
          <w:snapToGrid w:val="0"/>
          <w:color w:val="auto"/>
          <w:kern w:val="0"/>
          <w:sz w:val="24"/>
          <w:szCs w:val="24"/>
          <w:highlight w:val="none"/>
          <w:u w:val="single"/>
        </w:rPr>
        <w:t xml:space="preserve">  /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3.6 工程照管与成品、半成品保护</w:t>
      </w:r>
    </w:p>
    <w:p>
      <w:pPr>
        <w:pageBreakBefore w:val="0"/>
        <w:kinsoku/>
        <w:wordWrap/>
        <w:overflowPunct/>
        <w:topLinePunct w:val="0"/>
        <w:bidi w:val="0"/>
        <w:adjustRightInd/>
        <w:snapToGrid/>
        <w:spacing w:line="360" w:lineRule="auto"/>
        <w:ind w:right="0" w:firstLine="480" w:firstLineChars="200"/>
        <w:jc w:val="both"/>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承包人负责照管工程及工程相关的材料、工程设备的起始时间：</w:t>
      </w:r>
      <w:r>
        <w:rPr>
          <w:rFonts w:hint="eastAsia" w:ascii="宋体" w:hAnsi="宋体" w:eastAsia="宋体" w:cs="宋体"/>
          <w:snapToGrid w:val="0"/>
          <w:color w:val="auto"/>
          <w:kern w:val="0"/>
          <w:sz w:val="24"/>
          <w:szCs w:val="24"/>
          <w:highlight w:val="none"/>
          <w:u w:val="single"/>
        </w:rPr>
        <w:t>设备、人员进场至验收合格移交接管单位使用前由承包人负责照管和保护，费用由承包人承担</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both"/>
        <w:textAlignment w:val="auto"/>
        <w:rPr>
          <w:rFonts w:hint="eastAsia" w:ascii="宋体" w:hAnsi="宋体" w:eastAsia="宋体" w:cs="宋体"/>
          <w:snapToGrid w:val="0"/>
          <w:color w:val="auto"/>
          <w:kern w:val="0"/>
          <w:sz w:val="24"/>
          <w:szCs w:val="24"/>
          <w:highlight w:val="none"/>
        </w:rPr>
      </w:pPr>
      <w:bookmarkStart w:id="99" w:name="_Toc351203636"/>
      <w:r>
        <w:rPr>
          <w:rFonts w:hint="eastAsia" w:ascii="宋体" w:hAnsi="宋体" w:eastAsia="宋体" w:cs="宋体"/>
          <w:snapToGrid w:val="0"/>
          <w:color w:val="auto"/>
          <w:kern w:val="0"/>
          <w:sz w:val="24"/>
          <w:szCs w:val="24"/>
          <w:highlight w:val="none"/>
        </w:rPr>
        <w:t>3.7 履约担保</w:t>
      </w:r>
    </w:p>
    <w:p>
      <w:pPr>
        <w:pageBreakBefore w:val="0"/>
        <w:tabs>
          <w:tab w:val="left" w:pos="5436"/>
        </w:tabs>
        <w:kinsoku/>
        <w:wordWrap/>
        <w:overflowPunct/>
        <w:topLinePunct w:val="0"/>
        <w:bidi w:val="0"/>
        <w:adjustRightInd/>
        <w:snapToGrid/>
        <w:spacing w:line="360" w:lineRule="auto"/>
        <w:ind w:right="0" w:firstLine="480"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承包人是否提供履约担保：</w:t>
      </w:r>
      <w:r>
        <w:rPr>
          <w:rFonts w:hint="eastAsia" w:ascii="宋体" w:hAnsi="宋体" w:eastAsia="宋体" w:cs="宋体"/>
          <w:snapToGrid w:val="0"/>
          <w:color w:val="auto"/>
          <w:kern w:val="0"/>
          <w:sz w:val="24"/>
          <w:szCs w:val="24"/>
          <w:highlight w:val="none"/>
          <w:u w:val="single"/>
        </w:rPr>
        <w:t xml:space="preserve">是 </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rPr>
        <w:tab/>
      </w:r>
    </w:p>
    <w:p>
      <w:pPr>
        <w:pageBreakBefore w:val="0"/>
        <w:kinsoku/>
        <w:wordWrap/>
        <w:overflowPunct/>
        <w:topLinePunct w:val="0"/>
        <w:bidi w:val="0"/>
        <w:adjustRightInd/>
        <w:snapToGrid/>
        <w:spacing w:line="360" w:lineRule="auto"/>
        <w:ind w:right="0" w:firstLine="480"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承包人提供履约担保的形式、金额及期限的约定：</w:t>
      </w:r>
    </w:p>
    <w:p>
      <w:pPr>
        <w:pageBreakBefore w:val="0"/>
        <w:kinsoku/>
        <w:wordWrap/>
        <w:overflowPunct/>
        <w:topLinePunct w:val="0"/>
        <w:bidi w:val="0"/>
        <w:adjustRightInd/>
        <w:snapToGrid/>
        <w:spacing w:line="360" w:lineRule="auto"/>
        <w:ind w:right="0" w:firstLine="480" w:firstLineChars="200"/>
        <w:jc w:val="both"/>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（1）承包人提供履约担保的形式：银行转账；</w:t>
      </w:r>
    </w:p>
    <w:p>
      <w:pPr>
        <w:pageBreakBefore w:val="0"/>
        <w:kinsoku/>
        <w:wordWrap/>
        <w:overflowPunct/>
        <w:topLinePunct w:val="0"/>
        <w:bidi w:val="0"/>
        <w:adjustRightInd/>
        <w:snapToGrid/>
        <w:spacing w:line="360" w:lineRule="auto"/>
        <w:ind w:right="0" w:firstLine="480" w:firstLineChars="200"/>
        <w:jc w:val="both"/>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（2）金额：履约保证金为合同价的10%，计万元，其中：工期履约保证金为合同价的2%，计</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u w:val="single"/>
        </w:rPr>
        <w:t>万元；质量履约保证金为合同价的3%，计</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u w:val="single"/>
        </w:rPr>
        <w:t>万元；安全文明履约保证金为合同价的3%，计</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u w:val="single"/>
        </w:rPr>
        <w:t>万元；竣工资料（含结算资料）履约保证金为合同价的2%，计</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u w:val="single"/>
        </w:rPr>
        <w:t>万元。</w:t>
      </w:r>
    </w:p>
    <w:p>
      <w:pPr>
        <w:pageBreakBefore w:val="0"/>
        <w:kinsoku/>
        <w:wordWrap/>
        <w:overflowPunct/>
        <w:topLinePunct w:val="0"/>
        <w:bidi w:val="0"/>
        <w:adjustRightInd/>
        <w:snapToGrid/>
        <w:spacing w:line="360" w:lineRule="auto"/>
        <w:ind w:right="0" w:firstLine="480" w:firstLineChars="200"/>
        <w:jc w:val="both"/>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（3）承包人应按照</w:t>
      </w:r>
      <w:r>
        <w:rPr>
          <w:rFonts w:hint="eastAsia" w:ascii="宋体" w:hAnsi="宋体" w:eastAsia="宋体" w:cs="宋体"/>
          <w:snapToGrid w:val="0"/>
          <w:color w:val="auto"/>
          <w:kern w:val="0"/>
          <w:sz w:val="24"/>
          <w:szCs w:val="24"/>
          <w:highlight w:val="none"/>
          <w:u w:val="single"/>
          <w:lang w:val="en-US" w:eastAsia="zh-CN"/>
        </w:rPr>
        <w:t>磋商</w:t>
      </w:r>
      <w:r>
        <w:rPr>
          <w:rFonts w:hint="eastAsia" w:ascii="宋体" w:hAnsi="宋体" w:eastAsia="宋体" w:cs="宋体"/>
          <w:snapToGrid w:val="0"/>
          <w:color w:val="auto"/>
          <w:kern w:val="0"/>
          <w:sz w:val="24"/>
          <w:szCs w:val="24"/>
          <w:highlight w:val="none"/>
          <w:u w:val="single"/>
        </w:rPr>
        <w:t>文件规定的时间，将履约担保足额提供给发包人。承包人未按期提交履约保证金的，视为承包人放弃签订合同的权利，不得要求发包人签订本合同。即使签订了本合同，双方亦确认本合同自行解除。</w:t>
      </w:r>
    </w:p>
    <w:p>
      <w:pPr>
        <w:pageBreakBefore w:val="0"/>
        <w:kinsoku/>
        <w:wordWrap/>
        <w:overflowPunct/>
        <w:topLinePunct w:val="0"/>
        <w:bidi w:val="0"/>
        <w:adjustRightInd/>
        <w:snapToGrid/>
        <w:spacing w:line="360" w:lineRule="auto"/>
        <w:ind w:right="0" w:firstLine="480" w:firstLineChars="200"/>
        <w:jc w:val="both"/>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4）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5）关于质量保证金的补充约定：a.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b.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履约保证金的退还均不计息。</w:t>
      </w:r>
    </w:p>
    <w:bookmarkEnd w:id="99"/>
    <w:p>
      <w:pPr>
        <w:pageBreakBefore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b/>
          <w:snapToGrid w:val="0"/>
          <w:color w:val="auto"/>
          <w:kern w:val="0"/>
          <w:sz w:val="24"/>
          <w:szCs w:val="24"/>
          <w:highlight w:val="none"/>
        </w:rPr>
      </w:pPr>
      <w:bookmarkStart w:id="100" w:name="_Toc427307550"/>
      <w:r>
        <w:rPr>
          <w:rFonts w:hint="eastAsia" w:ascii="宋体" w:hAnsi="宋体" w:eastAsia="宋体" w:cs="宋体"/>
          <w:b/>
          <w:snapToGrid w:val="0"/>
          <w:color w:val="auto"/>
          <w:kern w:val="0"/>
          <w:sz w:val="24"/>
          <w:szCs w:val="24"/>
          <w:highlight w:val="none"/>
        </w:rPr>
        <w:t>4</w:t>
      </w:r>
      <w:bookmarkStart w:id="101" w:name="_Toc296503162"/>
      <w:bookmarkStart w:id="102" w:name="_Toc296944501"/>
      <w:bookmarkStart w:id="103" w:name="_Toc292559871"/>
      <w:bookmarkStart w:id="104" w:name="_Toc296347161"/>
      <w:bookmarkStart w:id="105" w:name="_Toc267251413"/>
      <w:bookmarkStart w:id="106" w:name="_Toc296891202"/>
      <w:bookmarkStart w:id="107" w:name="_Toc297048348"/>
      <w:bookmarkStart w:id="108" w:name="_Toc297120462"/>
      <w:bookmarkStart w:id="109" w:name="_Toc292559366"/>
      <w:bookmarkStart w:id="110" w:name="_Toc296890990"/>
      <w:bookmarkStart w:id="111" w:name="_Toc296346663"/>
      <w:r>
        <w:rPr>
          <w:rFonts w:hint="eastAsia" w:ascii="宋体" w:hAnsi="宋体" w:eastAsia="宋体" w:cs="宋体"/>
          <w:b/>
          <w:snapToGrid w:val="0"/>
          <w:color w:val="auto"/>
          <w:kern w:val="0"/>
          <w:sz w:val="24"/>
          <w:szCs w:val="24"/>
          <w:highlight w:val="none"/>
        </w:rPr>
        <w:t>. 监</w:t>
      </w:r>
      <w:bookmarkEnd w:id="101"/>
      <w:bookmarkEnd w:id="102"/>
      <w:bookmarkEnd w:id="103"/>
      <w:bookmarkEnd w:id="104"/>
      <w:bookmarkEnd w:id="105"/>
      <w:bookmarkEnd w:id="106"/>
      <w:bookmarkEnd w:id="107"/>
      <w:bookmarkEnd w:id="108"/>
      <w:bookmarkEnd w:id="109"/>
      <w:bookmarkEnd w:id="110"/>
      <w:bookmarkEnd w:id="111"/>
      <w:r>
        <w:rPr>
          <w:rFonts w:hint="eastAsia" w:ascii="宋体" w:hAnsi="宋体" w:eastAsia="宋体" w:cs="宋体"/>
          <w:b/>
          <w:snapToGrid w:val="0"/>
          <w:color w:val="auto"/>
          <w:kern w:val="0"/>
          <w:sz w:val="24"/>
          <w:szCs w:val="24"/>
          <w:highlight w:val="none"/>
        </w:rPr>
        <w:t>理人</w:t>
      </w:r>
      <w:bookmarkEnd w:id="100"/>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4.1监理人的一般规定</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关于监理人的监理内容：</w:t>
      </w:r>
      <w:r>
        <w:rPr>
          <w:rFonts w:hint="eastAsia" w:ascii="宋体" w:hAnsi="宋体" w:eastAsia="宋体" w:cs="宋体"/>
          <w:b/>
          <w:snapToGrid w:val="0"/>
          <w:color w:val="auto"/>
          <w:sz w:val="24"/>
          <w:szCs w:val="24"/>
          <w:highlight w:val="none"/>
          <w:u w:val="single"/>
        </w:rPr>
        <w:t>见《建设工程委托监理合同》</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关于监理人的监理权限：</w:t>
      </w:r>
      <w:r>
        <w:rPr>
          <w:rFonts w:hint="eastAsia" w:ascii="宋体" w:hAnsi="宋体" w:eastAsia="宋体" w:cs="宋体"/>
          <w:b/>
          <w:snapToGrid w:val="0"/>
          <w:color w:val="auto"/>
          <w:sz w:val="24"/>
          <w:szCs w:val="24"/>
          <w:highlight w:val="none"/>
          <w:u w:val="single"/>
        </w:rPr>
        <w:t>见《建设工程委托监理合同》</w:t>
      </w:r>
      <w:r>
        <w:rPr>
          <w:rFonts w:hint="eastAsia" w:ascii="宋体" w:hAnsi="宋体" w:eastAsia="宋体" w:cs="宋体"/>
          <w:snapToGrid w:val="0"/>
          <w:color w:val="auto"/>
          <w:kern w:val="0"/>
          <w:sz w:val="24"/>
          <w:szCs w:val="24"/>
          <w:highlight w:val="none"/>
        </w:rPr>
        <w:t xml:space="preserve">。 </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关于监理人在施工现场的办公场所、生活场所的提供和费用承担的约定：</w:t>
      </w:r>
      <w:r>
        <w:rPr>
          <w:rFonts w:hint="eastAsia" w:ascii="宋体" w:hAnsi="宋体" w:eastAsia="宋体" w:cs="宋体"/>
          <w:snapToGrid w:val="0"/>
          <w:color w:val="auto"/>
          <w:kern w:val="0"/>
          <w:sz w:val="24"/>
          <w:szCs w:val="24"/>
          <w:highlight w:val="none"/>
          <w:u w:val="single"/>
        </w:rPr>
        <w:t>已包含在监理服务费中</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4.2 监理人员</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bookmarkStart w:id="112" w:name="_Toc267251418"/>
      <w:r>
        <w:rPr>
          <w:rFonts w:hint="eastAsia" w:ascii="宋体" w:hAnsi="宋体" w:eastAsia="宋体" w:cs="宋体"/>
          <w:snapToGrid w:val="0"/>
          <w:color w:val="auto"/>
          <w:kern w:val="0"/>
          <w:sz w:val="24"/>
          <w:szCs w:val="24"/>
          <w:highlight w:val="none"/>
        </w:rPr>
        <w:t>总监理工程师：</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总监理工程师：</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姓    名：；</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职    务：；</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监理工程师执业资格证书号：；</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联系电话：；</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电子信箱：；</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通信地址：；</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关于监理人的其他约定：。</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商定或确定</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在发包人和承包人不能通过协商达成一致意见时，发包人授权监理人对以下事项进行确定：</w:t>
      </w:r>
    </w:p>
    <w:p>
      <w:pPr>
        <w:pageBreakBefore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b/>
          <w:snapToGrid w:val="0"/>
          <w:color w:val="auto"/>
          <w:kern w:val="0"/>
          <w:sz w:val="24"/>
          <w:szCs w:val="24"/>
          <w:highlight w:val="none"/>
        </w:rPr>
      </w:pPr>
      <w:bookmarkStart w:id="113" w:name="_5._工程质量"/>
      <w:bookmarkEnd w:id="113"/>
      <w:bookmarkStart w:id="114" w:name="_Toc427307551"/>
      <w:r>
        <w:rPr>
          <w:rFonts w:hint="eastAsia" w:ascii="宋体" w:hAnsi="宋体" w:eastAsia="宋体" w:cs="宋体"/>
          <w:b/>
          <w:snapToGrid w:val="0"/>
          <w:color w:val="auto"/>
          <w:kern w:val="0"/>
          <w:sz w:val="24"/>
          <w:szCs w:val="24"/>
          <w:highlight w:val="none"/>
        </w:rPr>
        <w:t>5</w:t>
      </w:r>
      <w:bookmarkEnd w:id="112"/>
      <w:bookmarkStart w:id="115" w:name="_Toc297048349"/>
      <w:bookmarkStart w:id="116" w:name="_Toc296347162"/>
      <w:bookmarkStart w:id="117" w:name="_Toc296503163"/>
      <w:bookmarkStart w:id="118" w:name="_Toc297120463"/>
      <w:bookmarkStart w:id="119" w:name="_Toc296346664"/>
      <w:bookmarkStart w:id="120" w:name="_Toc292559872"/>
      <w:bookmarkStart w:id="121" w:name="_Toc296891203"/>
      <w:bookmarkStart w:id="122" w:name="_Toc292559367"/>
      <w:bookmarkStart w:id="123" w:name="_Toc296944502"/>
      <w:bookmarkStart w:id="124" w:name="_Toc296890991"/>
      <w:r>
        <w:rPr>
          <w:rFonts w:hint="eastAsia" w:ascii="宋体" w:hAnsi="宋体" w:eastAsia="宋体" w:cs="宋体"/>
          <w:b/>
          <w:snapToGrid w:val="0"/>
          <w:color w:val="auto"/>
          <w:kern w:val="0"/>
          <w:sz w:val="24"/>
          <w:szCs w:val="24"/>
          <w:highlight w:val="none"/>
        </w:rPr>
        <w:t>. 工程质量</w:t>
      </w:r>
      <w:bookmarkEnd w:id="114"/>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5.1 质量要求</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bookmarkStart w:id="125" w:name="_Toc427307552"/>
      <w:bookmarkStart w:id="126" w:name="_Toc304295527"/>
      <w:bookmarkStart w:id="127" w:name="_Toc303539106"/>
      <w:bookmarkStart w:id="128" w:name="_Toc312677997"/>
      <w:bookmarkStart w:id="129" w:name="_Toc318581164"/>
      <w:bookmarkStart w:id="130" w:name="_Toc300934949"/>
      <w:bookmarkStart w:id="131" w:name="_Toc297216155"/>
      <w:bookmarkStart w:id="132" w:name="_Toc297123496"/>
      <w:r>
        <w:rPr>
          <w:rFonts w:hint="eastAsia" w:ascii="宋体" w:hAnsi="宋体" w:eastAsia="宋体" w:cs="宋体"/>
          <w:snapToGrid w:val="0"/>
          <w:color w:val="auto"/>
          <w:kern w:val="0"/>
          <w:sz w:val="24"/>
          <w:szCs w:val="24"/>
          <w:highlight w:val="none"/>
        </w:rPr>
        <w:t>5.1.1工程质量必须达到国家施工质量验收规范合格标准。</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5.1.2关于工程奖项的约定：</w:t>
      </w:r>
      <w:r>
        <w:rPr>
          <w:rFonts w:hint="eastAsia" w:ascii="宋体" w:hAnsi="宋体" w:eastAsia="宋体" w:cs="宋体"/>
          <w:b/>
          <w:snapToGrid w:val="0"/>
          <w:color w:val="auto"/>
          <w:kern w:val="0"/>
          <w:sz w:val="24"/>
          <w:szCs w:val="24"/>
          <w:highlight w:val="none"/>
          <w:u w:val="single"/>
        </w:rPr>
        <w:t xml:space="preserve">/ </w:t>
      </w:r>
      <w:r>
        <w:rPr>
          <w:rFonts w:hint="eastAsia" w:ascii="宋体" w:hAnsi="宋体" w:eastAsia="宋体" w:cs="宋体"/>
          <w:b/>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5.3 隐蔽工程检查</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5.3.</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承包人提前通知监理人隐蔽工程检查的期限的约定：</w:t>
      </w:r>
      <w:r>
        <w:rPr>
          <w:rFonts w:hint="eastAsia" w:ascii="宋体" w:hAnsi="宋体" w:eastAsia="宋体" w:cs="宋体"/>
          <w:b/>
          <w:snapToGrid w:val="0"/>
          <w:color w:val="auto"/>
          <w:kern w:val="0"/>
          <w:sz w:val="24"/>
          <w:szCs w:val="24"/>
          <w:highlight w:val="none"/>
          <w:u w:val="single"/>
        </w:rPr>
        <w:t>共同检查前24小时书面通知监理人</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监理人不能按时进行检查时，应提前</w:t>
      </w:r>
      <w:r>
        <w:rPr>
          <w:rFonts w:hint="eastAsia" w:ascii="宋体" w:hAnsi="宋体" w:eastAsia="宋体" w:cs="宋体"/>
          <w:snapToGrid w:val="0"/>
          <w:color w:val="auto"/>
          <w:kern w:val="0"/>
          <w:sz w:val="24"/>
          <w:szCs w:val="24"/>
          <w:highlight w:val="none"/>
          <w:u w:val="single"/>
        </w:rPr>
        <w:t xml:space="preserve"> 12 </w:t>
      </w:r>
      <w:r>
        <w:rPr>
          <w:rFonts w:hint="eastAsia" w:ascii="宋体" w:hAnsi="宋体" w:eastAsia="宋体" w:cs="宋体"/>
          <w:snapToGrid w:val="0"/>
          <w:color w:val="auto"/>
          <w:kern w:val="0"/>
          <w:sz w:val="24"/>
          <w:szCs w:val="24"/>
          <w:highlight w:val="none"/>
        </w:rPr>
        <w:t>小时提交书面延期要求。</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关于延期最长不得超过：</w:t>
      </w:r>
      <w:r>
        <w:rPr>
          <w:rFonts w:hint="eastAsia" w:ascii="宋体" w:hAnsi="宋体" w:eastAsia="宋体" w:cs="宋体"/>
          <w:snapToGrid w:val="0"/>
          <w:color w:val="auto"/>
          <w:kern w:val="0"/>
          <w:sz w:val="24"/>
          <w:szCs w:val="24"/>
          <w:highlight w:val="none"/>
          <w:u w:val="single"/>
        </w:rPr>
        <w:t xml:space="preserve">24 </w:t>
      </w:r>
      <w:r>
        <w:rPr>
          <w:rFonts w:hint="eastAsia" w:ascii="宋体" w:hAnsi="宋体" w:eastAsia="宋体" w:cs="宋体"/>
          <w:snapToGrid w:val="0"/>
          <w:color w:val="auto"/>
          <w:kern w:val="0"/>
          <w:sz w:val="24"/>
          <w:szCs w:val="24"/>
          <w:highlight w:val="none"/>
        </w:rPr>
        <w:t>小时。</w:t>
      </w:r>
    </w:p>
    <w:p>
      <w:pPr>
        <w:pageBreakBefore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6. 安全文明施工与环境保护</w:t>
      </w:r>
      <w:bookmarkEnd w:id="125"/>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6.1安全文明施工</w:t>
      </w:r>
    </w:p>
    <w:p>
      <w:pPr>
        <w:pageBreakBefore w:val="0"/>
        <w:widowControl/>
        <w:kinsoku/>
        <w:wordWrap/>
        <w:overflowPunct/>
        <w:topLinePunct w:val="0"/>
        <w:bidi w:val="0"/>
        <w:adjustRightInd/>
        <w:snapToGrid/>
        <w:spacing w:line="360" w:lineRule="auto"/>
        <w:ind w:right="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承包人从开始进场到竣工验收期间，必须全过程服从发包人及监理方的管理和安排。</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6.1.1 项目安全生产的达标目标及相应事项的约定：</w:t>
      </w:r>
    </w:p>
    <w:p>
      <w:pPr>
        <w:pageBreakBefore w:val="0"/>
        <w:kinsoku/>
        <w:wordWrap/>
        <w:overflowPunct/>
        <w:topLinePunct w:val="0"/>
        <w:autoSpaceDN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u w:val="single"/>
        </w:rPr>
        <w:t>（1）承包人须对本合同范围内所有施工范围和施工人员负全部安全施工责任。承包人应严格</w:t>
      </w:r>
      <w:r>
        <w:rPr>
          <w:rFonts w:hint="eastAsia" w:ascii="宋体" w:hAnsi="宋体" w:eastAsia="宋体" w:cs="宋体"/>
          <w:bCs/>
          <w:snapToGrid w:val="0"/>
          <w:color w:val="auto"/>
          <w:kern w:val="0"/>
          <w:sz w:val="24"/>
          <w:szCs w:val="24"/>
          <w:highlight w:val="none"/>
          <w:u w:val="single"/>
          <w:lang w:eastAsia="zh-CN"/>
        </w:rPr>
        <w:t>按照</w:t>
      </w:r>
      <w:r>
        <w:rPr>
          <w:rFonts w:hint="eastAsia" w:ascii="宋体" w:hAnsi="宋体" w:eastAsia="宋体" w:cs="宋体"/>
          <w:bCs/>
          <w:snapToGrid w:val="0"/>
          <w:color w:val="auto"/>
          <w:kern w:val="0"/>
          <w:sz w:val="24"/>
          <w:szCs w:val="24"/>
          <w:highlight w:val="none"/>
          <w:u w:val="single"/>
        </w:rPr>
        <w:t>《建设工程安全生产管理条例》等法律、工程建设安全</w:t>
      </w:r>
      <w:r>
        <w:rPr>
          <w:rFonts w:hint="eastAsia" w:ascii="宋体" w:hAnsi="宋体" w:eastAsia="宋体" w:cs="宋体"/>
          <w:bCs/>
          <w:snapToGrid w:val="0"/>
          <w:color w:val="auto"/>
          <w:kern w:val="0"/>
          <w:sz w:val="24"/>
          <w:szCs w:val="24"/>
          <w:highlight w:val="none"/>
          <w:u w:val="single"/>
          <w:lang w:eastAsia="zh-CN"/>
        </w:rPr>
        <w:t>生产</w:t>
      </w:r>
      <w:r>
        <w:rPr>
          <w:rFonts w:hint="eastAsia" w:ascii="宋体" w:hAnsi="宋体" w:eastAsia="宋体" w:cs="宋体"/>
          <w:bCs/>
          <w:snapToGrid w:val="0"/>
          <w:color w:val="auto"/>
          <w:kern w:val="0"/>
          <w:sz w:val="24"/>
          <w:szCs w:val="24"/>
          <w:highlight w:val="none"/>
          <w:u w:val="single"/>
        </w:rPr>
        <w:t>有关管理规定，采取安全措施组织施工。若发生安全事故，一切责任由承包方承担，罚没全部安全文明履约保证金，并视情节严重向承包方收取1万-5万违约金。</w:t>
      </w:r>
    </w:p>
    <w:p>
      <w:pPr>
        <w:pageBreakBefore w:val="0"/>
        <w:kinsoku/>
        <w:wordWrap/>
        <w:overflowPunct/>
        <w:topLinePunct w:val="0"/>
        <w:autoSpaceDN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u w:val="single"/>
        </w:rPr>
        <w:t>（2）承包人对施工现场安全生产负总责，现场必须按要求配备安全员，安全员及特种作业人员应持证上岗。</w:t>
      </w:r>
    </w:p>
    <w:p>
      <w:pPr>
        <w:pageBreakBefore w:val="0"/>
        <w:kinsoku/>
        <w:wordWrap/>
        <w:overflowPunct/>
        <w:topLinePunct w:val="0"/>
        <w:autoSpaceDN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u w:val="single"/>
        </w:rPr>
        <w:t>（3）工程施工前和施工中，承包人项目经理或技术负责人应当对有关安全施工技术进行交底；承包人必须编制安全施工措施和施工现场临时用电、施工现场周边及主要通道的安全防护措施</w:t>
      </w:r>
      <w:r>
        <w:rPr>
          <w:rFonts w:hint="eastAsia" w:ascii="宋体" w:hAnsi="宋体" w:eastAsia="宋体" w:cs="宋体"/>
          <w:bCs/>
          <w:snapToGrid w:val="0"/>
          <w:color w:val="auto"/>
          <w:kern w:val="0"/>
          <w:sz w:val="24"/>
          <w:szCs w:val="24"/>
          <w:highlight w:val="none"/>
          <w:u w:val="single"/>
          <w:lang w:eastAsia="zh-CN"/>
        </w:rPr>
        <w:t>及其他有关法规</w:t>
      </w:r>
      <w:r>
        <w:rPr>
          <w:rFonts w:hint="eastAsia" w:ascii="宋体" w:hAnsi="宋体" w:eastAsia="宋体" w:cs="宋体"/>
          <w:bCs/>
          <w:snapToGrid w:val="0"/>
          <w:color w:val="auto"/>
          <w:kern w:val="0"/>
          <w:sz w:val="24"/>
          <w:szCs w:val="24"/>
          <w:highlight w:val="none"/>
          <w:u w:val="single"/>
        </w:rPr>
        <w:t>要求的专项施工方案，专项施工方案必须经本单位技术负责人批准后，报发包人代表和现场监理批准后实施。</w:t>
      </w:r>
    </w:p>
    <w:p>
      <w:pPr>
        <w:pageBreakBefore w:val="0"/>
        <w:kinsoku/>
        <w:wordWrap/>
        <w:overflowPunct/>
        <w:topLinePunct w:val="0"/>
        <w:autoSpaceDN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u w:val="single"/>
        </w:rPr>
        <w:t>工程施工前，承包人应根据</w:t>
      </w:r>
      <w:r>
        <w:rPr>
          <w:rFonts w:hint="eastAsia" w:ascii="宋体" w:hAnsi="宋体" w:eastAsia="宋体" w:cs="宋体"/>
          <w:bCs/>
          <w:snapToGrid w:val="0"/>
          <w:color w:val="auto"/>
          <w:kern w:val="0"/>
          <w:sz w:val="24"/>
          <w:szCs w:val="24"/>
          <w:highlight w:val="none"/>
          <w:u w:val="single"/>
          <w:lang w:eastAsia="zh-CN"/>
        </w:rPr>
        <w:t>法律法规</w:t>
      </w:r>
      <w:r>
        <w:rPr>
          <w:rFonts w:hint="eastAsia" w:ascii="宋体" w:hAnsi="宋体" w:eastAsia="宋体" w:cs="宋体"/>
          <w:bCs/>
          <w:snapToGrid w:val="0"/>
          <w:color w:val="auto"/>
          <w:kern w:val="0"/>
          <w:sz w:val="24"/>
          <w:szCs w:val="24"/>
          <w:highlight w:val="none"/>
          <w:u w:val="single"/>
        </w:rPr>
        <w:t>、规范、标准等要求，制定安全施工标准及要求，负责向施工作业班组、作业人员作出详细的说明，并由双方签字确认。</w:t>
      </w:r>
    </w:p>
    <w:p>
      <w:pPr>
        <w:pageBreakBefore w:val="0"/>
        <w:kinsoku/>
        <w:wordWrap/>
        <w:overflowPunct/>
        <w:topLinePunct w:val="0"/>
        <w:autoSpaceDN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u w:val="single"/>
        </w:rPr>
        <w:t>工程施工前，承包人使用的安全防护用具、机械设备、施工机具及配件，应当具有生产（制造）许可证、产品合格证，并在进入施工现场前进行查验，经监理工程师签字确认后方可使用。</w:t>
      </w:r>
    </w:p>
    <w:p>
      <w:pPr>
        <w:pageBreakBefore w:val="0"/>
        <w:kinsoku/>
        <w:wordWrap/>
        <w:overflowPunct/>
        <w:topLinePunct w:val="0"/>
        <w:autoSpaceDN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u w:val="single"/>
        </w:rPr>
        <w:t>特种作业人员，必须按照国家有关规定经过专门的安全作业培训，并取得特种作业操作资格证书后，方可上岗作业。</w:t>
      </w:r>
    </w:p>
    <w:p>
      <w:pPr>
        <w:pageBreakBefore w:val="0"/>
        <w:kinsoku/>
        <w:wordWrap/>
        <w:overflowPunct/>
        <w:topLinePunct w:val="0"/>
        <w:autoSpaceDN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u w:val="single"/>
        </w:rPr>
        <w:t>（4）承包人应严格</w:t>
      </w:r>
      <w:r>
        <w:rPr>
          <w:rFonts w:hint="eastAsia" w:ascii="宋体" w:hAnsi="宋体" w:eastAsia="宋体" w:cs="宋体"/>
          <w:bCs/>
          <w:snapToGrid w:val="0"/>
          <w:color w:val="auto"/>
          <w:kern w:val="0"/>
          <w:sz w:val="24"/>
          <w:szCs w:val="24"/>
          <w:highlight w:val="none"/>
          <w:u w:val="single"/>
          <w:lang w:eastAsia="zh-CN"/>
        </w:rPr>
        <w:t>按照</w:t>
      </w:r>
      <w:r>
        <w:rPr>
          <w:rFonts w:hint="eastAsia" w:ascii="宋体" w:hAnsi="宋体" w:eastAsia="宋体" w:cs="宋体"/>
          <w:bCs/>
          <w:snapToGrid w:val="0"/>
          <w:color w:val="auto"/>
          <w:kern w:val="0"/>
          <w:sz w:val="24"/>
          <w:szCs w:val="24"/>
          <w:highlight w:val="none"/>
          <w:u w:val="single"/>
        </w:rPr>
        <w:t>《建设工程安全生产管理条例》等</w:t>
      </w:r>
      <w:r>
        <w:rPr>
          <w:rFonts w:hint="eastAsia" w:ascii="宋体" w:hAnsi="宋体" w:eastAsia="宋体" w:cs="宋体"/>
          <w:bCs/>
          <w:snapToGrid w:val="0"/>
          <w:color w:val="auto"/>
          <w:kern w:val="0"/>
          <w:sz w:val="24"/>
          <w:szCs w:val="24"/>
          <w:highlight w:val="none"/>
          <w:u w:val="single"/>
          <w:lang w:eastAsia="zh-CN"/>
        </w:rPr>
        <w:t>法律法规</w:t>
      </w:r>
      <w:r>
        <w:rPr>
          <w:rFonts w:hint="eastAsia" w:ascii="宋体" w:hAnsi="宋体" w:eastAsia="宋体" w:cs="宋体"/>
          <w:bCs/>
          <w:snapToGrid w:val="0"/>
          <w:color w:val="auto"/>
          <w:kern w:val="0"/>
          <w:sz w:val="24"/>
          <w:szCs w:val="24"/>
          <w:highlight w:val="none"/>
          <w:u w:val="single"/>
        </w:rPr>
        <w:t>采取安全措施、组织施工，如发生事故，所造成的一切责任与后果均由承包人承担。</w:t>
      </w:r>
    </w:p>
    <w:p>
      <w:pPr>
        <w:pageBreakBefore w:val="0"/>
        <w:kinsoku/>
        <w:wordWrap/>
        <w:overflowPunct/>
        <w:topLinePunct w:val="0"/>
        <w:autoSpaceDN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u w:val="single"/>
        </w:rPr>
        <w:t>（5）未能达到上述（1）-（3）条要求，发包人有权扣除承包人安全文明施工履约保证金的50%。</w:t>
      </w:r>
    </w:p>
    <w:p>
      <w:pPr>
        <w:pageBreakBefore w:val="0"/>
        <w:kinsoku/>
        <w:wordWrap/>
        <w:overflowPunct/>
        <w:topLinePunct w:val="0"/>
        <w:autoSpaceDN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u w:val="single"/>
        </w:rPr>
        <w:t>（6）建立安全制度、安全检查制度、安全教育制度、工地班前活动制度、文明施工检查制度。满足江苏省、南通市等安监部门安全文明生产的要求，做好安全技术教育及交底，落实所有安全技术措施和人身防护用品。</w:t>
      </w:r>
    </w:p>
    <w:p>
      <w:pPr>
        <w:pageBreakBefore w:val="0"/>
        <w:kinsoku/>
        <w:wordWrap/>
        <w:overflowPunct/>
        <w:topLinePunct w:val="0"/>
        <w:autoSpaceDN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u w:val="single"/>
        </w:rPr>
        <w:t>（7）凡在施工期间，由于承包人原因造成的事故，除根据事故的严重程度或等级扣除20%的履约保证金金额外，还需承担全部责任及由此引起的一切费用，发包人不承担任何责任。</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6.1.</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 xml:space="preserve"> 关于治安保卫的特别约定：</w:t>
      </w:r>
      <w:r>
        <w:rPr>
          <w:rFonts w:hint="eastAsia" w:ascii="宋体" w:hAnsi="宋体" w:eastAsia="宋体" w:cs="宋体"/>
          <w:snapToGrid w:val="0"/>
          <w:color w:val="auto"/>
          <w:kern w:val="0"/>
          <w:sz w:val="24"/>
          <w:szCs w:val="24"/>
          <w:highlight w:val="none"/>
          <w:u w:val="single"/>
        </w:rPr>
        <w:t>由承包人负责建立施工现场的治安联防组，落实并实施施工场地的治安保卫工作，并对此负全责。发包人可不定期对其治安保卫工作进行监督检查。施工期间承包人按发包人要求做好成品保护工作；未竣工或已竣工工程未交付之前，由承包单位负责已完成工程的保护工作，所需费用含在报价内。对需要保护的产品和材料须保护期内发生损坏由承包人无条件、自费、限期予以修补。竣工合格交付后由发包人负责保护，如发包人有特殊要求的可另行补充协议加以约定。</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关于编制施工场地治安管理计划的约定：</w:t>
      </w:r>
      <w:r>
        <w:rPr>
          <w:rFonts w:hint="eastAsia" w:ascii="宋体" w:hAnsi="宋体" w:eastAsia="宋体" w:cs="宋体"/>
          <w:snapToGrid w:val="0"/>
          <w:color w:val="auto"/>
          <w:kern w:val="0"/>
          <w:sz w:val="24"/>
          <w:szCs w:val="24"/>
          <w:highlight w:val="none"/>
          <w:u w:val="single"/>
        </w:rPr>
        <w:t>由承包人具体负责编制施工场地治安管理计划，制定应对突发治安事件的紧急预案，在开工前提供，并应得到发包人和监理方的认可。</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前述发包人对承包人治安计划的认可及对其施工现场治安保卫工作的监督，不得理解为对本合同约定的变更，也不得减轻或免除承包人的任何责任和义务</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6.1.</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文明施工</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合同当事人对文明施工的要求：</w:t>
      </w:r>
      <w:r>
        <w:rPr>
          <w:rFonts w:hint="eastAsia" w:ascii="宋体" w:hAnsi="宋体" w:eastAsia="宋体" w:cs="宋体"/>
          <w:snapToGrid w:val="0"/>
          <w:color w:val="auto"/>
          <w:kern w:val="0"/>
          <w:sz w:val="24"/>
          <w:szCs w:val="24"/>
          <w:highlight w:val="none"/>
          <w:u w:val="single"/>
        </w:rPr>
        <w:t>承包人必须做好场地清理及相关工作，施工现场要求保证施工场地清洁；施工现场的材料、设备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未能达到上述要求发包人有权部分或全部扣除承包人安全文明履约保证金。若承包人现场施工作业面、办公区、生活区内清洁卫生满足不了文明施工要求，发包人有权</w:t>
      </w:r>
      <w:r>
        <w:rPr>
          <w:rFonts w:hint="eastAsia" w:ascii="宋体" w:hAnsi="宋体" w:eastAsia="宋体" w:cs="宋体"/>
          <w:snapToGrid w:val="0"/>
          <w:color w:val="auto"/>
          <w:kern w:val="0"/>
          <w:sz w:val="24"/>
          <w:szCs w:val="24"/>
          <w:highlight w:val="none"/>
          <w:u w:val="single"/>
          <w:lang w:eastAsia="zh-CN"/>
        </w:rPr>
        <w:t>安排其他</w:t>
      </w:r>
      <w:r>
        <w:rPr>
          <w:rFonts w:hint="eastAsia" w:ascii="宋体" w:hAnsi="宋体" w:eastAsia="宋体" w:cs="宋体"/>
          <w:snapToGrid w:val="0"/>
          <w:color w:val="auto"/>
          <w:kern w:val="0"/>
          <w:sz w:val="24"/>
          <w:szCs w:val="24"/>
          <w:highlight w:val="none"/>
          <w:u w:val="single"/>
        </w:rPr>
        <w:t>单位或个人打扫，按具体发生的费用2倍及以上从进度款中扣除。承包人必须服从发包人现场的统一管理和协调，做到文明施工。</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6.1.</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关于安全文明施工费支付比例和支付期限的约定：</w:t>
      </w:r>
      <w:r>
        <w:rPr>
          <w:rFonts w:hint="eastAsia" w:ascii="宋体" w:hAnsi="宋体" w:eastAsia="宋体" w:cs="宋体"/>
          <w:snapToGrid w:val="0"/>
          <w:color w:val="auto"/>
          <w:kern w:val="0"/>
          <w:sz w:val="24"/>
          <w:szCs w:val="24"/>
          <w:highlight w:val="none"/>
          <w:u w:val="single"/>
        </w:rPr>
        <w:t xml:space="preserve"> 含在合同工程款中</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6.1.</w:t>
      </w:r>
      <w:r>
        <w:rPr>
          <w:rFonts w:hint="eastAsia" w:ascii="宋体" w:hAnsi="宋体" w:eastAsia="宋体" w:cs="宋体"/>
          <w:bCs/>
          <w:snapToGrid w:val="0"/>
          <w:color w:val="auto"/>
          <w:kern w:val="0"/>
          <w:sz w:val="24"/>
          <w:szCs w:val="24"/>
          <w:highlight w:val="none"/>
          <w:lang w:val="en-US" w:eastAsia="zh-CN"/>
        </w:rPr>
        <w:t>5</w:t>
      </w:r>
      <w:r>
        <w:rPr>
          <w:rFonts w:hint="eastAsia" w:ascii="宋体" w:hAnsi="宋体" w:eastAsia="宋体" w:cs="宋体"/>
          <w:bCs/>
          <w:snapToGrid w:val="0"/>
          <w:color w:val="auto"/>
          <w:kern w:val="0"/>
          <w:sz w:val="24"/>
          <w:szCs w:val="24"/>
          <w:highlight w:val="none"/>
        </w:rPr>
        <w:t xml:space="preserve"> 安全生产责任</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承包人应严格</w:t>
      </w:r>
      <w:r>
        <w:rPr>
          <w:rFonts w:hint="eastAsia" w:ascii="宋体" w:hAnsi="宋体" w:eastAsia="宋体" w:cs="宋体"/>
          <w:snapToGrid w:val="0"/>
          <w:color w:val="auto"/>
          <w:kern w:val="0"/>
          <w:sz w:val="24"/>
          <w:szCs w:val="24"/>
          <w:highlight w:val="none"/>
          <w:u w:val="single"/>
          <w:lang w:eastAsia="zh-CN"/>
        </w:rPr>
        <w:t>按照</w:t>
      </w:r>
      <w:r>
        <w:rPr>
          <w:rFonts w:hint="eastAsia" w:ascii="宋体" w:hAnsi="宋体" w:eastAsia="宋体" w:cs="宋体"/>
          <w:snapToGrid w:val="0"/>
          <w:color w:val="auto"/>
          <w:kern w:val="0"/>
          <w:sz w:val="24"/>
          <w:szCs w:val="24"/>
          <w:highlight w:val="none"/>
          <w:u w:val="single"/>
        </w:rPr>
        <w:t>《建设工程安全生产管理条例》等</w:t>
      </w:r>
      <w:r>
        <w:rPr>
          <w:rFonts w:hint="eastAsia" w:ascii="宋体" w:hAnsi="宋体" w:eastAsia="宋体" w:cs="宋体"/>
          <w:snapToGrid w:val="0"/>
          <w:color w:val="auto"/>
          <w:kern w:val="0"/>
          <w:sz w:val="24"/>
          <w:szCs w:val="24"/>
          <w:highlight w:val="none"/>
          <w:u w:val="single"/>
          <w:lang w:eastAsia="zh-CN"/>
        </w:rPr>
        <w:t>法律法规</w:t>
      </w:r>
      <w:r>
        <w:rPr>
          <w:rFonts w:hint="eastAsia" w:ascii="宋体" w:hAnsi="宋体" w:eastAsia="宋体" w:cs="宋体"/>
          <w:snapToGrid w:val="0"/>
          <w:color w:val="auto"/>
          <w:kern w:val="0"/>
          <w:sz w:val="24"/>
          <w:szCs w:val="24"/>
          <w:highlight w:val="none"/>
          <w:u w:val="single"/>
        </w:rPr>
        <w:t>采取安全措施、组织施工，承包人须对本合同范围内所有施工范围和施工人员负全部安全施工责任。承包人应严格</w:t>
      </w:r>
      <w:r>
        <w:rPr>
          <w:rFonts w:hint="eastAsia" w:ascii="宋体" w:hAnsi="宋体" w:eastAsia="宋体" w:cs="宋体"/>
          <w:snapToGrid w:val="0"/>
          <w:color w:val="auto"/>
          <w:kern w:val="0"/>
          <w:sz w:val="24"/>
          <w:szCs w:val="24"/>
          <w:highlight w:val="none"/>
          <w:u w:val="single"/>
          <w:lang w:eastAsia="zh-CN"/>
        </w:rPr>
        <w:t>按照</w:t>
      </w:r>
      <w:r>
        <w:rPr>
          <w:rFonts w:hint="eastAsia" w:ascii="宋体" w:hAnsi="宋体" w:eastAsia="宋体" w:cs="宋体"/>
          <w:snapToGrid w:val="0"/>
          <w:color w:val="auto"/>
          <w:kern w:val="0"/>
          <w:sz w:val="24"/>
          <w:szCs w:val="24"/>
          <w:highlight w:val="none"/>
          <w:u w:val="single"/>
        </w:rPr>
        <w:t>工程建设安全</w:t>
      </w:r>
      <w:r>
        <w:rPr>
          <w:rFonts w:hint="eastAsia" w:ascii="宋体" w:hAnsi="宋体" w:eastAsia="宋体" w:cs="宋体"/>
          <w:snapToGrid w:val="0"/>
          <w:color w:val="auto"/>
          <w:kern w:val="0"/>
          <w:sz w:val="24"/>
          <w:szCs w:val="24"/>
          <w:highlight w:val="none"/>
          <w:u w:val="single"/>
          <w:lang w:eastAsia="zh-CN"/>
        </w:rPr>
        <w:t>生产</w:t>
      </w:r>
      <w:r>
        <w:rPr>
          <w:rFonts w:hint="eastAsia" w:ascii="宋体" w:hAnsi="宋体" w:eastAsia="宋体" w:cs="宋体"/>
          <w:snapToGrid w:val="0"/>
          <w:color w:val="auto"/>
          <w:kern w:val="0"/>
          <w:sz w:val="24"/>
          <w:szCs w:val="24"/>
          <w:highlight w:val="none"/>
          <w:u w:val="single"/>
        </w:rPr>
        <w:t>有关管理规定，采取安全措施组织施工。若发生安全事故，一切责任由承包方承担。</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承包人对因工程施工可能造成损害的毗邻建筑物、构筑物和地下管线等，应当采取专项防护措施。承包人应当遵守有关环境保护</w:t>
      </w:r>
      <w:r>
        <w:rPr>
          <w:rFonts w:hint="eastAsia" w:ascii="宋体" w:hAnsi="宋体" w:eastAsia="宋体" w:cs="宋体"/>
          <w:snapToGrid w:val="0"/>
          <w:color w:val="auto"/>
          <w:kern w:val="0"/>
          <w:sz w:val="24"/>
          <w:szCs w:val="24"/>
          <w:highlight w:val="none"/>
          <w:u w:val="single"/>
          <w:lang w:eastAsia="zh-CN"/>
        </w:rPr>
        <w:t>法律法规</w:t>
      </w:r>
      <w:r>
        <w:rPr>
          <w:rFonts w:hint="eastAsia" w:ascii="宋体" w:hAnsi="宋体" w:eastAsia="宋体" w:cs="宋体"/>
          <w:snapToGrid w:val="0"/>
          <w:color w:val="auto"/>
          <w:kern w:val="0"/>
          <w:sz w:val="24"/>
          <w:szCs w:val="24"/>
          <w:highlight w:val="none"/>
          <w:u w:val="single"/>
        </w:rPr>
        <w:t>的规定，在施工现场采取措施，防止或减少粉尘、废气、废水、固体废物、噪声、振动和施工照明对人和环境的危害和污染。若因承包人原因产生不良后果的，由承包人承担一切责任。</w:t>
      </w:r>
    </w:p>
    <w:p>
      <w:pPr>
        <w:pageBreakBefore w:val="0"/>
        <w:kinsoku/>
        <w:wordWrap/>
        <w:overflowPunct/>
        <w:topLinePunct w:val="0"/>
        <w:bidi w:val="0"/>
        <w:adjustRightInd/>
        <w:snapToGrid/>
        <w:spacing w:line="360" w:lineRule="auto"/>
        <w:ind w:right="0" w:firstLine="480" w:firstLineChars="200"/>
        <w:textAlignment w:val="auto"/>
        <w:outlineLvl w:val="3"/>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bookmarkEnd w:id="126"/>
    <w:bookmarkEnd w:id="127"/>
    <w:bookmarkEnd w:id="128"/>
    <w:bookmarkEnd w:id="129"/>
    <w:bookmarkEnd w:id="130"/>
    <w:bookmarkEnd w:id="131"/>
    <w:bookmarkEnd w:id="132"/>
    <w:p>
      <w:pPr>
        <w:pageBreakBefore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b/>
          <w:snapToGrid w:val="0"/>
          <w:color w:val="auto"/>
          <w:kern w:val="0"/>
          <w:sz w:val="24"/>
          <w:szCs w:val="24"/>
          <w:highlight w:val="none"/>
        </w:rPr>
      </w:pPr>
      <w:bookmarkStart w:id="133" w:name="_Toc427307553"/>
      <w:r>
        <w:rPr>
          <w:rFonts w:hint="eastAsia" w:ascii="宋体" w:hAnsi="宋体" w:eastAsia="宋体" w:cs="宋体"/>
          <w:b/>
          <w:snapToGrid w:val="0"/>
          <w:color w:val="auto"/>
          <w:kern w:val="0"/>
          <w:sz w:val="24"/>
          <w:szCs w:val="24"/>
          <w:highlight w:val="none"/>
        </w:rPr>
        <w:t>7. 工期和进度</w:t>
      </w:r>
      <w:bookmarkEnd w:id="133"/>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7.1 施工组织设计</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7.1.1 合同当事人约定的施工组织设计应包括的其他内容：</w:t>
      </w:r>
      <w:r>
        <w:rPr>
          <w:rFonts w:hint="eastAsia" w:ascii="宋体" w:hAnsi="宋体" w:eastAsia="宋体" w:cs="宋体"/>
          <w:snapToGrid w:val="0"/>
          <w:color w:val="auto"/>
          <w:kern w:val="0"/>
          <w:sz w:val="24"/>
          <w:szCs w:val="24"/>
          <w:highlight w:val="none"/>
          <w:u w:val="single"/>
        </w:rPr>
        <w:t>承包人在开工前必须提交详细的施工组织设计，报发包人及总监审批，施工组织设计经发包人及监理认可后方可开工</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7.1.2 施工组织设计的提交和修改</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承包人提交详细施工组织设计的期限的约定：</w:t>
      </w:r>
      <w:r>
        <w:rPr>
          <w:rFonts w:hint="eastAsia" w:ascii="宋体" w:hAnsi="宋体" w:eastAsia="宋体" w:cs="宋体"/>
          <w:snapToGrid w:val="0"/>
          <w:color w:val="auto"/>
          <w:kern w:val="0"/>
          <w:sz w:val="24"/>
          <w:szCs w:val="24"/>
          <w:highlight w:val="none"/>
          <w:u w:val="single"/>
        </w:rPr>
        <w:t>开工通知载明的开工日期前3天提交，逾期未提交，承包人按每延期1天向发包人支付违约金1万元</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发包人委托的监理人在收到详细的施工组织设计后确认或提出修改意见的期限：</w:t>
      </w:r>
      <w:r>
        <w:rPr>
          <w:rFonts w:hint="eastAsia" w:ascii="宋体" w:hAnsi="宋体" w:eastAsia="宋体" w:cs="宋体"/>
          <w:snapToGrid w:val="0"/>
          <w:color w:val="auto"/>
          <w:kern w:val="0"/>
          <w:sz w:val="24"/>
          <w:szCs w:val="24"/>
          <w:highlight w:val="none"/>
          <w:u w:val="single"/>
        </w:rPr>
        <w:t>收到上述完整的、符合要求的文件后3个工作日内予以确认或提出修改意见，逾期视为已确认。</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7.2 施工进度计划</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7.2.</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 xml:space="preserve"> 施工进度计划的修订</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发包人委托的监理人在收到修订的施工进度计划后确认或提出修改意见的期限：</w:t>
      </w:r>
      <w:r>
        <w:rPr>
          <w:rFonts w:hint="eastAsia" w:ascii="宋体" w:hAnsi="宋体" w:eastAsia="宋体" w:cs="宋体"/>
          <w:snapToGrid w:val="0"/>
          <w:color w:val="auto"/>
          <w:kern w:val="0"/>
          <w:sz w:val="24"/>
          <w:szCs w:val="24"/>
          <w:highlight w:val="none"/>
          <w:u w:val="single"/>
        </w:rPr>
        <w:t>收到施工组织设计（施工方案）和进度计划后3日内予以确认或提出修改意见，逾期视为已确认。</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7.3 开工</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7.3.1 开工准备</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关于承包人提交工程开工报审表的期限：</w:t>
      </w:r>
      <w:r>
        <w:rPr>
          <w:rFonts w:hint="eastAsia" w:ascii="宋体" w:hAnsi="宋体" w:eastAsia="宋体" w:cs="宋体"/>
          <w:snapToGrid w:val="0"/>
          <w:color w:val="auto"/>
          <w:kern w:val="0"/>
          <w:sz w:val="24"/>
          <w:szCs w:val="24"/>
          <w:highlight w:val="none"/>
          <w:u w:val="single"/>
        </w:rPr>
        <w:t xml:space="preserve"> 合同签订后3天内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关于发包人应完成的其他开工准备工作及期限：</w:t>
      </w:r>
      <w:r>
        <w:rPr>
          <w:rFonts w:hint="eastAsia" w:ascii="宋体" w:hAnsi="宋体" w:eastAsia="宋体" w:cs="宋体"/>
          <w:snapToGrid w:val="0"/>
          <w:color w:val="auto"/>
          <w:kern w:val="0"/>
          <w:sz w:val="24"/>
          <w:szCs w:val="24"/>
          <w:highlight w:val="none"/>
          <w:u w:val="single"/>
        </w:rPr>
        <w:t>组织图纸会审和管线交底</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关于承包人应完成的其他开工准备工作及期限：</w:t>
      </w:r>
      <w:r>
        <w:rPr>
          <w:rFonts w:hint="eastAsia" w:ascii="宋体" w:hAnsi="宋体" w:eastAsia="宋体" w:cs="宋体"/>
          <w:snapToGrid w:val="0"/>
          <w:color w:val="auto"/>
          <w:kern w:val="0"/>
          <w:sz w:val="24"/>
          <w:szCs w:val="24"/>
          <w:highlight w:val="none"/>
          <w:u w:val="single"/>
        </w:rPr>
        <w:t>遵守政府有关主管部门对施工场地交通、施工噪音、环境保护和安全生产（包含但不限于）等的管理规定，按规定办理有关手续，并以书面形式通知发包人。</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7.3.2开工通知</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因发包人原因造成承包人未能在计划开工日期之日起</w:t>
      </w:r>
      <w:r>
        <w:rPr>
          <w:rFonts w:hint="eastAsia" w:ascii="宋体" w:hAnsi="宋体" w:eastAsia="宋体" w:cs="宋体"/>
          <w:bCs/>
          <w:snapToGrid w:val="0"/>
          <w:color w:val="auto"/>
          <w:kern w:val="0"/>
          <w:sz w:val="24"/>
          <w:szCs w:val="24"/>
          <w:highlight w:val="none"/>
          <w:u w:val="single"/>
        </w:rPr>
        <w:t>另行协商</w:t>
      </w:r>
      <w:r>
        <w:rPr>
          <w:rFonts w:hint="eastAsia" w:ascii="宋体" w:hAnsi="宋体" w:eastAsia="宋体" w:cs="宋体"/>
          <w:snapToGrid w:val="0"/>
          <w:color w:val="auto"/>
          <w:kern w:val="0"/>
          <w:sz w:val="24"/>
          <w:szCs w:val="24"/>
          <w:highlight w:val="none"/>
        </w:rPr>
        <w:t>天内发出开工通知的，承包人有权提出价格调整要求，或者解除合同。</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7.4 测量放线</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7.4.1发包人通过监理人向承包人提供测量基准点、基准线和水准点及其书面资料的期限</w:t>
      </w:r>
      <w:r>
        <w:rPr>
          <w:rFonts w:hint="eastAsia" w:ascii="宋体" w:hAnsi="宋体" w:eastAsia="宋体" w:cs="宋体"/>
          <w:snapToGrid w:val="0"/>
          <w:color w:val="auto"/>
          <w:kern w:val="0"/>
          <w:sz w:val="24"/>
          <w:szCs w:val="24"/>
          <w:highlight w:val="none"/>
          <w:u w:val="single"/>
        </w:rPr>
        <w:t>以书面形式交给承包人，并于开工前进行现场交验</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7.5 工期延误</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7.5.1 因发包人原因导致工期延误</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A.因发包人未在开工前提供施工场地，提供图纸；</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B.因发包人原因造成工程延期开工、停建、缓建、暂停施工（不含勒令停工）；</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C.因发包人原因提出的单次设计变更导致工程量增加超过合同总价的8%以上的；</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D.由市级以上有关部门正式发布和认定的自然灾害。</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上述情况发生后3天内，承包人需就延误的内容对工程进度造成的影响，向发包人提交书面报告，办理延期手续（须得到</w:t>
      </w:r>
      <w:r>
        <w:rPr>
          <w:rFonts w:hint="eastAsia" w:ascii="宋体" w:hAnsi="宋体" w:eastAsia="宋体" w:cs="宋体"/>
          <w:snapToGrid w:val="0"/>
          <w:color w:val="auto"/>
          <w:kern w:val="0"/>
          <w:sz w:val="24"/>
          <w:szCs w:val="24"/>
          <w:highlight w:val="none"/>
          <w:u w:val="single"/>
          <w:lang w:val="en-US" w:eastAsia="zh-CN"/>
        </w:rPr>
        <w:t>发包人</w:t>
      </w:r>
      <w:r>
        <w:rPr>
          <w:rFonts w:hint="eastAsia" w:ascii="宋体" w:hAnsi="宋体" w:eastAsia="宋体" w:cs="宋体"/>
          <w:snapToGrid w:val="0"/>
          <w:color w:val="auto"/>
          <w:kern w:val="0"/>
          <w:sz w:val="24"/>
          <w:szCs w:val="24"/>
          <w:highlight w:val="none"/>
          <w:u w:val="single"/>
        </w:rPr>
        <w:t>代表签字的书面认可），经发包人批准后方可顺延工期，否则工期不予顺延。</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因发包人原因导致工期延误，不论工期是否顺延，承包人不得向发包人主张相应的误工、窝工等费用赔偿。</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7.5.2 因承包人原因导致工期延误</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因承包人原因造成工期延误，逾期竣工违约金的计算方法为：</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因承包人原因延误工期，在规定的工期或阶段工期前未能完成，工期每推迟一天，支付给发包人违约金2000元/天，超过30日历天，则扣除工期履约保证金，并以工程结算价为基数每天千分之三向发包人缴纳违约金，超过30日历天，发包人有权要求承包人清退出场，所完成的合格工程量按60%计算，其他按通用条款中约定内容执行。</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7.6 不利物质条件</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不利物质条件的其他情形和有关约定</w:t>
      </w:r>
      <w:r>
        <w:rPr>
          <w:rFonts w:hint="eastAsia" w:ascii="宋体" w:hAnsi="宋体" w:eastAsia="宋体" w:cs="宋体"/>
          <w:snapToGrid w:val="0"/>
          <w:color w:val="auto"/>
          <w:kern w:val="0"/>
          <w:sz w:val="24"/>
          <w:szCs w:val="24"/>
          <w:highlight w:val="none"/>
          <w:u w:val="single"/>
        </w:rPr>
        <w:t>：双方在确定竣工日期、施工工期及各控制点工期时，已充分考虑可能出现的各种形式的雨雪、冰雹、台风、高温天气、低温天气、停水、停电、节假日、扰民、市政影响等不利因素及发包人分包工程的影响，因此施工过程中除本合同7.5.1规定的情况外，不管发生任何情况，均不顺延工期。为体现承包人的合作诚意，承包人同意因发包人原因的工期顺延，承包人自愿放弃索赔的权利。</w:t>
      </w:r>
    </w:p>
    <w:p>
      <w:pPr>
        <w:pageBreakBefore w:val="0"/>
        <w:numPr>
          <w:ilvl w:val="0"/>
          <w:numId w:val="9"/>
        </w:numPr>
        <w:kinsoku/>
        <w:wordWrap/>
        <w:overflowPunct/>
        <w:topLinePunct w:val="0"/>
        <w:bidi w:val="0"/>
        <w:adjustRightInd/>
        <w:snapToGrid/>
        <w:spacing w:line="360" w:lineRule="auto"/>
        <w:ind w:right="0" w:firstLine="482" w:firstLineChars="200"/>
        <w:textAlignment w:val="auto"/>
        <w:rPr>
          <w:rFonts w:hint="eastAsia" w:ascii="宋体" w:hAnsi="宋体" w:eastAsia="宋体" w:cs="宋体"/>
          <w:snapToGrid w:val="0"/>
          <w:color w:val="auto"/>
          <w:kern w:val="0"/>
          <w:sz w:val="24"/>
          <w:szCs w:val="24"/>
          <w:highlight w:val="none"/>
        </w:rPr>
      </w:pPr>
      <w:bookmarkStart w:id="134" w:name="_Toc427307554"/>
      <w:r>
        <w:rPr>
          <w:rFonts w:hint="eastAsia" w:ascii="宋体" w:hAnsi="宋体" w:eastAsia="宋体" w:cs="宋体"/>
          <w:b/>
          <w:snapToGrid w:val="0"/>
          <w:color w:val="auto"/>
          <w:kern w:val="0"/>
          <w:sz w:val="24"/>
          <w:szCs w:val="24"/>
          <w:highlight w:val="none"/>
        </w:rPr>
        <w:t>材料与设备</w:t>
      </w:r>
      <w:bookmarkEnd w:id="134"/>
    </w:p>
    <w:bookmarkEnd w:id="115"/>
    <w:bookmarkEnd w:id="116"/>
    <w:bookmarkEnd w:id="117"/>
    <w:bookmarkEnd w:id="118"/>
    <w:bookmarkEnd w:id="119"/>
    <w:bookmarkEnd w:id="120"/>
    <w:bookmarkEnd w:id="121"/>
    <w:bookmarkEnd w:id="122"/>
    <w:bookmarkEnd w:id="123"/>
    <w:bookmarkEnd w:id="124"/>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8.1 发包人供应材料与工程设备：</w:t>
      </w:r>
      <w:r>
        <w:rPr>
          <w:rFonts w:hint="eastAsia" w:ascii="宋体" w:hAnsi="宋体" w:eastAsia="宋体" w:cs="宋体"/>
          <w:snapToGrid w:val="0"/>
          <w:color w:val="auto"/>
          <w:kern w:val="0"/>
          <w:sz w:val="24"/>
          <w:szCs w:val="24"/>
          <w:highlight w:val="none"/>
          <w:u w:val="single"/>
        </w:rPr>
        <w:t>无。如有时，承包人应编制材料供应计划。合同生效后一般材料承包人应提前15天向发包人按实提交所需材料品种、数量、型号、规格、质量等级，如有误差造成的损失由承包人承担。</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发包人供应材料设备的结算方法：</w:t>
      </w:r>
      <w:r>
        <w:rPr>
          <w:rFonts w:hint="eastAsia" w:ascii="宋体" w:hAnsi="宋体" w:eastAsia="宋体" w:cs="宋体"/>
          <w:snapToGrid w:val="0"/>
          <w:color w:val="auto"/>
          <w:kern w:val="0"/>
          <w:sz w:val="24"/>
          <w:szCs w:val="24"/>
          <w:highlight w:val="none"/>
          <w:u w:val="single"/>
        </w:rPr>
        <w:t>无。如有时，按结算审计的甲供材料数量乘以</w:t>
      </w:r>
      <w:r>
        <w:rPr>
          <w:rFonts w:hint="eastAsia" w:ascii="宋体" w:hAnsi="宋体" w:eastAsia="宋体" w:cs="宋体"/>
          <w:snapToGrid w:val="0"/>
          <w:color w:val="auto"/>
          <w:kern w:val="0"/>
          <w:sz w:val="24"/>
          <w:szCs w:val="24"/>
          <w:highlight w:val="none"/>
          <w:u w:val="single"/>
          <w:lang w:val="en-US" w:eastAsia="zh-CN"/>
        </w:rPr>
        <w:t>采购</w:t>
      </w:r>
      <w:r>
        <w:rPr>
          <w:rFonts w:hint="eastAsia" w:ascii="宋体" w:hAnsi="宋体" w:eastAsia="宋体" w:cs="宋体"/>
          <w:snapToGrid w:val="0"/>
          <w:color w:val="auto"/>
          <w:kern w:val="0"/>
          <w:sz w:val="24"/>
          <w:szCs w:val="24"/>
          <w:highlight w:val="none"/>
          <w:u w:val="single"/>
        </w:rPr>
        <w:t>时规定的暂定价扣除工程款，承包人超领部分，按发包人采购最高价结算，发包人在竣工决算时扣回；承包人领用不足部分，按发包人采购综合平均价结算，发包人在竣工决算时考虑对承包人予以一定增补。</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8.2承包人采购材料与工程设备</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1）承包人采购的材料：承包人须按发包人要求建立材料台账，供发包人检查，材料台账中必须注明并包含下列内容：材料名称、规格型号或等级、厂家、进场数量、出厂合格证、编号、进场日期、使用部位、施工单位验收人、检测情况、监理见证人、发包人代表等。承包人在材料使用前，应有向监理报验、提供材料台账的程序，并见证抽样送检。不合格的材料不得使用，发包人或监理抽查发现使用的材料无报验手续及材料台账（或材料台账不符合要求的）或不合格，可指令停工，要求返工剥离。所发生的费用由承包人承担，工期不予顺延。</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2）承包人供应的材料和设备，必须按有关规定提供相应的出厂证明、合格证、质保书、化验检测报告等，并负责对国家（或地方）规范、强制性条文规定的材料性能到发包人指定的检测机构进行施工前或施工后的检测，同时对材料数量、规格、质量由发包人现场工程师和监理人验收合格后方可进入施工现场使用。检验试验费包含本工程所有按规定应进行建筑材料、构配件等试样的制作、封样、送检</w:t>
      </w:r>
      <w:r>
        <w:rPr>
          <w:rFonts w:hint="eastAsia" w:ascii="宋体" w:hAnsi="宋体" w:eastAsia="宋体" w:cs="宋体"/>
          <w:snapToGrid w:val="0"/>
          <w:color w:val="auto"/>
          <w:kern w:val="0"/>
          <w:sz w:val="24"/>
          <w:szCs w:val="24"/>
          <w:highlight w:val="none"/>
          <w:u w:val="single"/>
          <w:lang w:eastAsia="zh-CN"/>
        </w:rPr>
        <w:t>和其他</w:t>
      </w:r>
      <w:r>
        <w:rPr>
          <w:rFonts w:hint="eastAsia" w:ascii="宋体" w:hAnsi="宋体" w:eastAsia="宋体" w:cs="宋体"/>
          <w:snapToGrid w:val="0"/>
          <w:color w:val="auto"/>
          <w:kern w:val="0"/>
          <w:sz w:val="24"/>
          <w:szCs w:val="24"/>
          <w:highlight w:val="none"/>
          <w:u w:val="single"/>
        </w:rPr>
        <w:t>为保证工程质量进行的材料检验试验工作和费用（仅限建筑材料、构配件一次复试合格的情形）。</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u w:val="single"/>
        </w:rPr>
        <w:t>（3）发包人在采购</w:t>
      </w:r>
      <w:r>
        <w:rPr>
          <w:rFonts w:hint="eastAsia" w:ascii="宋体" w:hAnsi="宋体" w:eastAsia="宋体" w:cs="宋体"/>
          <w:snapToGrid w:val="0"/>
          <w:color w:val="auto"/>
          <w:kern w:val="0"/>
          <w:sz w:val="24"/>
          <w:szCs w:val="24"/>
          <w:highlight w:val="none"/>
          <w:u w:val="single"/>
          <w:lang w:val="en-US" w:eastAsia="zh-CN"/>
        </w:rPr>
        <w:t>文件中</w:t>
      </w:r>
      <w:r>
        <w:rPr>
          <w:rFonts w:hint="eastAsia" w:ascii="宋体" w:hAnsi="宋体" w:eastAsia="宋体" w:cs="宋体"/>
          <w:snapToGrid w:val="0"/>
          <w:color w:val="auto"/>
          <w:kern w:val="0"/>
          <w:sz w:val="24"/>
          <w:szCs w:val="24"/>
          <w:highlight w:val="none"/>
          <w:u w:val="single"/>
        </w:rPr>
        <w:t>推荐品牌和厂家的材料，承包人在实际采购前，必须由发包人和监理认质认生产厂家后方可采购。如承包人使用不低于推荐品牌等级及标准的其他品牌</w:t>
      </w:r>
      <w:r>
        <w:rPr>
          <w:rFonts w:hint="eastAsia" w:ascii="宋体" w:hAnsi="宋体" w:eastAsia="宋体" w:cs="宋体"/>
          <w:snapToGrid w:val="0"/>
          <w:color w:val="auto"/>
          <w:kern w:val="0"/>
          <w:sz w:val="24"/>
          <w:szCs w:val="24"/>
          <w:highlight w:val="none"/>
          <w:u w:val="single"/>
          <w:lang w:val="en-US" w:eastAsia="zh-CN"/>
        </w:rPr>
        <w:t>产品</w:t>
      </w:r>
      <w:r>
        <w:rPr>
          <w:rFonts w:hint="eastAsia" w:ascii="宋体" w:hAnsi="宋体" w:eastAsia="宋体" w:cs="宋体"/>
          <w:snapToGrid w:val="0"/>
          <w:color w:val="auto"/>
          <w:kern w:val="0"/>
          <w:sz w:val="24"/>
          <w:szCs w:val="24"/>
          <w:highlight w:val="none"/>
          <w:u w:val="single"/>
          <w:lang w:eastAsia="zh-CN"/>
        </w:rPr>
        <w:t>，</w:t>
      </w:r>
      <w:r>
        <w:rPr>
          <w:rFonts w:hint="eastAsia" w:ascii="宋体" w:hAnsi="宋体" w:eastAsia="宋体" w:cs="宋体"/>
          <w:snapToGrid w:val="0"/>
          <w:color w:val="auto"/>
          <w:kern w:val="0"/>
          <w:sz w:val="24"/>
          <w:szCs w:val="24"/>
          <w:highlight w:val="none"/>
          <w:u w:val="single"/>
          <w:lang w:val="en-US" w:eastAsia="zh-CN"/>
        </w:rPr>
        <w:t>必</w:t>
      </w:r>
      <w:r>
        <w:rPr>
          <w:rFonts w:hint="eastAsia" w:ascii="宋体" w:hAnsi="宋体" w:eastAsia="宋体" w:cs="宋体"/>
          <w:snapToGrid w:val="0"/>
          <w:color w:val="auto"/>
          <w:kern w:val="0"/>
          <w:sz w:val="24"/>
          <w:szCs w:val="24"/>
          <w:highlight w:val="none"/>
          <w:u w:val="single"/>
        </w:rPr>
        <w:t>须征得发包人书面同意。</w:t>
      </w:r>
      <w:r>
        <w:rPr>
          <w:rFonts w:hint="eastAsia" w:ascii="宋体" w:hAnsi="宋体" w:eastAsia="宋体" w:cs="宋体"/>
          <w:snapToGrid w:val="0"/>
          <w:color w:val="auto"/>
          <w:kern w:val="0"/>
          <w:sz w:val="24"/>
          <w:szCs w:val="24"/>
          <w:highlight w:val="none"/>
          <w:u w:val="single"/>
          <w:lang w:val="en-US" w:eastAsia="zh-CN"/>
        </w:rPr>
        <w:t xml:space="preserve"> 结算时价格不予调整。</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4）对未设暂定价，且未指定品牌的材料，承包人在报价时已考虑。在实际施工中，发包人可以无条件要求承包人更换不合格的产品，购进的材料设备与提供的样品不一致时，由承包人无条件退货，如承包人使用不符合国家标准及各项指标的材料，发包人有权要求承包人返工，由此引起的相关费用由承包人承担。</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5）发包人和监理人有权对承包人提供的材料和设备进行抽检，对不符合设计要求及验收规范的材料和设备，发包人有权终止使用；当现场抽检材料和设备与留样不一致时，视作不合格，发包人有权终止使用，发生的一切损失和费用由承包人承担，由此延误的工期不予顺延。</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（6）发包人和监理工程师对材料的决定或认可并不解除承包人应负的质量、工期的责任，也不免除承包人对材料应负的责任。承包人采购的材料与设计或规范要求不符时，承包人应按监理工程师要求的时间内</w:t>
      </w:r>
      <w:r>
        <w:rPr>
          <w:rFonts w:hint="eastAsia" w:ascii="宋体" w:hAnsi="宋体" w:eastAsia="宋体" w:cs="宋体"/>
          <w:snapToGrid w:val="0"/>
          <w:color w:val="auto"/>
          <w:kern w:val="0"/>
          <w:sz w:val="24"/>
          <w:szCs w:val="24"/>
          <w:highlight w:val="none"/>
          <w:u w:val="single"/>
          <w:lang w:eastAsia="zh-CN"/>
        </w:rPr>
        <w:t>做</w:t>
      </w:r>
      <w:r>
        <w:rPr>
          <w:rFonts w:hint="eastAsia" w:ascii="宋体" w:hAnsi="宋体" w:eastAsia="宋体" w:cs="宋体"/>
          <w:snapToGrid w:val="0"/>
          <w:color w:val="auto"/>
          <w:kern w:val="0"/>
          <w:sz w:val="24"/>
          <w:szCs w:val="24"/>
          <w:highlight w:val="none"/>
          <w:u w:val="single"/>
        </w:rPr>
        <w:t>退场处理。重新采购符合要求的产品，承担由此发生的费用，由此延误的工期不予顺延。</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7）承包人对专业分包单位采购的材料，承包人应该对各种材料、器材、设备按规范进行检查，拒绝使用不符合要求的材料、器材、设备。无论何种原因，承包人或其专业分包单位在工程中使用不合格材料的，经发包人或者行政主管部门查证属实的，发包人有权收取违约金，详见16.2.2承包人违约的责任。</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8）承包人应对所有进场材料按有关规定进行严格把关，如因材料出现的质量和安全事故由承包人负全责，并赔偿相应损失。设计图纸没有规定的或图纸规定与清单不符的，经发包人和监理方确认对图纸或清单进行确认后方可施工。</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（9）材料质量必须严格按照国家规范及江苏省、南通市相应地方规范、</w:t>
      </w:r>
      <w:r>
        <w:rPr>
          <w:rFonts w:hint="eastAsia" w:ascii="宋体" w:hAnsi="宋体" w:eastAsia="宋体" w:cs="宋体"/>
          <w:snapToGrid w:val="0"/>
          <w:color w:val="auto"/>
          <w:kern w:val="0"/>
          <w:sz w:val="24"/>
          <w:szCs w:val="24"/>
          <w:highlight w:val="none"/>
          <w:u w:val="single"/>
          <w:lang w:val="en-US" w:eastAsia="zh-CN"/>
        </w:rPr>
        <w:t>采购</w:t>
      </w:r>
      <w:r>
        <w:rPr>
          <w:rFonts w:hint="eastAsia" w:ascii="宋体" w:hAnsi="宋体" w:eastAsia="宋体" w:cs="宋体"/>
          <w:snapToGrid w:val="0"/>
          <w:color w:val="auto"/>
          <w:kern w:val="0"/>
          <w:sz w:val="24"/>
          <w:szCs w:val="24"/>
          <w:highlight w:val="none"/>
          <w:u w:val="single"/>
        </w:rPr>
        <w:t>文件、材料厂家的技术规范的有关要求执行。</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10）由承包人负责采购的材料、设备，由承包人和相关供应商签订供货合同，并承担全部责任。采购的材料（设备）品牌、品名、型号、规格、颜色、花纹、材质等必须经发包人及监理书面认可确认后方可进场。需送检的材料（设备）必须到</w:t>
      </w:r>
      <w:r>
        <w:rPr>
          <w:rFonts w:hint="eastAsia" w:ascii="宋体" w:hAnsi="宋体" w:eastAsia="宋体" w:cs="宋体"/>
          <w:snapToGrid w:val="0"/>
          <w:color w:val="auto"/>
          <w:kern w:val="0"/>
          <w:sz w:val="24"/>
          <w:szCs w:val="24"/>
          <w:highlight w:val="none"/>
          <w:u w:val="single"/>
          <w:lang w:val="en-US" w:eastAsia="zh-CN"/>
        </w:rPr>
        <w:t>发包人</w:t>
      </w:r>
      <w:r>
        <w:rPr>
          <w:rFonts w:hint="eastAsia" w:ascii="宋体" w:hAnsi="宋体" w:eastAsia="宋体" w:cs="宋体"/>
          <w:snapToGrid w:val="0"/>
          <w:color w:val="auto"/>
          <w:kern w:val="0"/>
          <w:sz w:val="24"/>
          <w:szCs w:val="24"/>
          <w:highlight w:val="none"/>
          <w:u w:val="single"/>
        </w:rPr>
        <w:t>认可的质检部门检验或试验合格后方可使用。检验或试验合格的，检验或试验费用由发包人承担；检验或试验不合格的，检验或试验费用由承包人承担。无论何种原因，承包人在工程中使用不合格材料，除更换合格材料外，质量履约保证金不予退还，另向发包人支付5000元/次的违约金。</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8.4材料与工程设备的保管与使用</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8.4.1发包人供应的材料设备的保管费用的承担：</w:t>
      </w:r>
      <w:r>
        <w:rPr>
          <w:rFonts w:hint="eastAsia" w:ascii="宋体" w:hAnsi="宋体" w:eastAsia="宋体" w:cs="宋体"/>
          <w:snapToGrid w:val="0"/>
          <w:color w:val="auto"/>
          <w:kern w:val="0"/>
          <w:sz w:val="24"/>
          <w:szCs w:val="24"/>
          <w:highlight w:val="none"/>
          <w:u w:val="single"/>
        </w:rPr>
        <w:t xml:space="preserve">含在合同价中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8.6 样品</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8.6.1</w:t>
      </w:r>
      <w:r>
        <w:rPr>
          <w:rFonts w:hint="eastAsia" w:ascii="宋体" w:hAnsi="宋体" w:eastAsia="宋体" w:cs="宋体"/>
          <w:snapToGrid w:val="0"/>
          <w:color w:val="auto"/>
          <w:kern w:val="0"/>
          <w:sz w:val="24"/>
          <w:szCs w:val="24"/>
          <w:highlight w:val="none"/>
        </w:rPr>
        <w:tab/>
      </w:r>
      <w:r>
        <w:rPr>
          <w:rFonts w:hint="eastAsia" w:ascii="宋体" w:hAnsi="宋体" w:eastAsia="宋体" w:cs="宋体"/>
          <w:snapToGrid w:val="0"/>
          <w:color w:val="auto"/>
          <w:kern w:val="0"/>
          <w:sz w:val="24"/>
          <w:szCs w:val="24"/>
          <w:highlight w:val="none"/>
        </w:rPr>
        <w:t>样品的报送与封存</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需要承包人报送样品的材料或工程设备，样品的种类、名称、规格、数量要求：</w:t>
      </w:r>
      <w:r>
        <w:rPr>
          <w:rFonts w:hint="eastAsia" w:ascii="宋体" w:hAnsi="宋体" w:eastAsia="宋体" w:cs="宋体"/>
          <w:snapToGrid w:val="0"/>
          <w:color w:val="auto"/>
          <w:kern w:val="0"/>
          <w:sz w:val="24"/>
          <w:szCs w:val="24"/>
          <w:highlight w:val="none"/>
          <w:u w:val="single"/>
        </w:rPr>
        <w:t>承包人应对所有进场材料和设备按有关规定进行严格把关，如因材料和设备出现的质量和安全事故由承包人负全责，并赔偿相应损失。</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发包人和工程监理有权对承包人提供的材料和设备进行抽检，对不符合设计要求及验收规范的材料和设备，有权终止使用，发生的一切损失和费用由承包人承担。</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承包人供应的材料和设备，必须符合国家标准，且满足图纸要求，需有合格证、质保书、化验检测报告，并在材料和设备数量、规格、质量上由发包人和监理共同确认后方可使用。承包人负责对国家（或地方）规范、强制性条文规定的材料和设备性能进行施工前或施工后的检测。检验试验费是施工企业按规定进行建筑材料、构配件等试样的制作、封样、送达和其它为保证工程质量进行的材料检验试验工作所发生的费用。根据国家标准和施工验收规范要求对材料、构配件和建筑物工程质量检测检验发生的第三方检测费用，由发包人承担，但对承包人提供的具有合格证明的材料或设备进行检测不合格的，该检测费用由承包人支付。</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8.8 施工设备和临时设施</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8.8.1 承包人提供的施工设备和临时设施</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关于修建临时设施费用承担的约定：</w:t>
      </w:r>
      <w:r>
        <w:rPr>
          <w:rFonts w:hint="eastAsia" w:ascii="宋体" w:hAnsi="宋体" w:eastAsia="宋体" w:cs="宋体"/>
          <w:snapToGrid w:val="0"/>
          <w:color w:val="auto"/>
          <w:kern w:val="0"/>
          <w:sz w:val="24"/>
          <w:szCs w:val="24"/>
          <w:highlight w:val="none"/>
          <w:u w:val="single"/>
        </w:rPr>
        <w:t>由承包人自行修建，费用已在合同价中</w:t>
      </w:r>
      <w:r>
        <w:rPr>
          <w:rFonts w:hint="eastAsia" w:ascii="宋体" w:hAnsi="宋体" w:eastAsia="宋体" w:cs="宋体"/>
          <w:snapToGrid w:val="0"/>
          <w:color w:val="auto"/>
          <w:kern w:val="0"/>
          <w:sz w:val="24"/>
          <w:szCs w:val="24"/>
          <w:highlight w:val="none"/>
        </w:rPr>
        <w:t>。</w:t>
      </w:r>
      <w:bookmarkStart w:id="135" w:name="_Toc303539142"/>
      <w:bookmarkStart w:id="136" w:name="_Toc297216195"/>
      <w:bookmarkStart w:id="137" w:name="_Toc312677498"/>
      <w:bookmarkStart w:id="138" w:name="_Toc297123536"/>
      <w:bookmarkStart w:id="139" w:name="_Toc300934985"/>
      <w:bookmarkStart w:id="140" w:name="_Toc318581174"/>
      <w:bookmarkStart w:id="141" w:name="_Toc304295562"/>
      <w:bookmarkStart w:id="142" w:name="_Toc312678024"/>
      <w:bookmarkStart w:id="143" w:name="_Toc296346674"/>
      <w:bookmarkStart w:id="144" w:name="_Toc297048359"/>
      <w:bookmarkStart w:id="145" w:name="_Toc292559883"/>
      <w:bookmarkStart w:id="146" w:name="_Toc267251427"/>
      <w:bookmarkStart w:id="147" w:name="_Toc296891001"/>
      <w:bookmarkStart w:id="148" w:name="_Toc296944512"/>
      <w:bookmarkStart w:id="149" w:name="_Toc297120473"/>
      <w:bookmarkStart w:id="150" w:name="_Toc267251428"/>
      <w:bookmarkStart w:id="151" w:name="_Toc292559378"/>
      <w:bookmarkStart w:id="152" w:name="_Toc296503173"/>
      <w:bookmarkStart w:id="153" w:name="_Toc296891213"/>
      <w:bookmarkStart w:id="154" w:name="_Toc296347172"/>
    </w:p>
    <w:bookmarkEnd w:id="135"/>
    <w:bookmarkEnd w:id="136"/>
    <w:bookmarkEnd w:id="137"/>
    <w:bookmarkEnd w:id="138"/>
    <w:bookmarkEnd w:id="139"/>
    <w:bookmarkEnd w:id="140"/>
    <w:bookmarkEnd w:id="141"/>
    <w:bookmarkEnd w:id="142"/>
    <w:p>
      <w:pPr>
        <w:pageBreakBefore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b/>
          <w:snapToGrid w:val="0"/>
          <w:color w:val="auto"/>
          <w:kern w:val="0"/>
          <w:sz w:val="24"/>
          <w:szCs w:val="24"/>
          <w:highlight w:val="none"/>
        </w:rPr>
      </w:pPr>
      <w:bookmarkStart w:id="155" w:name="_Toc427307556"/>
      <w:r>
        <w:rPr>
          <w:rFonts w:hint="eastAsia" w:ascii="宋体" w:hAnsi="宋体" w:eastAsia="宋体" w:cs="宋体"/>
          <w:b/>
          <w:snapToGrid w:val="0"/>
          <w:color w:val="auto"/>
          <w:kern w:val="0"/>
          <w:sz w:val="24"/>
          <w:szCs w:val="24"/>
          <w:highlight w:val="none"/>
        </w:rPr>
        <w:t>1</w:t>
      </w:r>
      <w:bookmarkEnd w:id="143"/>
      <w:bookmarkEnd w:id="144"/>
      <w:bookmarkEnd w:id="145"/>
      <w:bookmarkEnd w:id="146"/>
      <w:bookmarkEnd w:id="147"/>
      <w:bookmarkEnd w:id="148"/>
      <w:bookmarkEnd w:id="149"/>
      <w:bookmarkEnd w:id="150"/>
      <w:bookmarkEnd w:id="151"/>
      <w:bookmarkEnd w:id="152"/>
      <w:bookmarkEnd w:id="153"/>
      <w:bookmarkEnd w:id="154"/>
      <w:bookmarkStart w:id="156" w:name="_Toc292559398"/>
      <w:bookmarkStart w:id="157" w:name="_Toc297120493"/>
      <w:bookmarkStart w:id="158" w:name="_Toc296944532"/>
      <w:bookmarkStart w:id="159" w:name="_Toc303539146"/>
      <w:bookmarkStart w:id="160" w:name="_Toc304295566"/>
      <w:bookmarkStart w:id="161" w:name="_Toc292559903"/>
      <w:bookmarkStart w:id="162" w:name="_Toc296891021"/>
      <w:bookmarkStart w:id="163" w:name="_Toc297048379"/>
      <w:bookmarkStart w:id="164" w:name="_Toc300934989"/>
      <w:bookmarkStart w:id="165" w:name="_Toc296347192"/>
      <w:bookmarkStart w:id="166" w:name="_Toc296891233"/>
      <w:bookmarkStart w:id="167" w:name="_Toc296503193"/>
      <w:bookmarkStart w:id="168" w:name="_Toc297123540"/>
      <w:bookmarkStart w:id="169" w:name="_Toc296346694"/>
      <w:bookmarkStart w:id="170" w:name="_Toc297216199"/>
      <w:bookmarkStart w:id="171" w:name="_Toc312677499"/>
      <w:bookmarkStart w:id="172" w:name="_Toc312678025"/>
      <w:bookmarkStart w:id="173" w:name="_Toc267251435"/>
      <w:bookmarkStart w:id="174" w:name="_Toc267251437"/>
      <w:bookmarkStart w:id="175" w:name="_Toc267251439"/>
      <w:bookmarkStart w:id="176" w:name="_Toc267251433"/>
      <w:bookmarkStart w:id="177" w:name="_Toc267251440"/>
      <w:bookmarkStart w:id="178" w:name="_Toc267251442"/>
      <w:bookmarkStart w:id="179" w:name="_Toc267251441"/>
      <w:r>
        <w:rPr>
          <w:rFonts w:hint="eastAsia" w:ascii="宋体" w:hAnsi="宋体" w:eastAsia="宋体" w:cs="宋体"/>
          <w:b/>
          <w:snapToGrid w:val="0"/>
          <w:color w:val="auto"/>
          <w:kern w:val="0"/>
          <w:sz w:val="24"/>
          <w:szCs w:val="24"/>
          <w:highlight w:val="none"/>
        </w:rPr>
        <w:t>0. 变更</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bookmarkEnd w:id="171"/>
    <w:bookmarkEnd w:id="172"/>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10.1变更的范围</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关于变更的范围的约定：</w:t>
      </w:r>
      <w:r>
        <w:rPr>
          <w:rFonts w:hint="eastAsia" w:ascii="宋体" w:hAnsi="宋体" w:eastAsia="宋体" w:cs="宋体"/>
          <w:snapToGrid w:val="0"/>
          <w:color w:val="auto"/>
          <w:kern w:val="0"/>
          <w:sz w:val="24"/>
          <w:szCs w:val="24"/>
          <w:highlight w:val="none"/>
          <w:u w:val="single"/>
        </w:rPr>
        <w:t>按通用条款约定。</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10.2变更权</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监理单位、承包人、设计单位根据工程需要提出工程变更，需由发包人组织审核其必要性、技术性、可行性、经济性等。设计单位出具变更通知单或变更图纸应经发包人审核同意签字盖章后，方可按工程变更实施。</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承包人不得随意更改设计，如确因现场施工原因需要变更设计，需请设计院出具图纸或自行设计（有相应设计资质或委托有设计资质的单位）交设计院核定，除此之外因承包人自身原因导致的工程变更，承包人无权要求追加合同价款。如承包人擅自变更，发包人有权视情节严重情况，向承包人收取0.5～1万元的违约金。</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10.4变更估价</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10.4.1 变更估价原则</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（1）变更合同价款按下列方式进行：</w:t>
      </w:r>
      <w:r>
        <w:rPr>
          <w:rFonts w:hint="eastAsia" w:ascii="宋体" w:hAnsi="宋体" w:eastAsia="宋体" w:cs="宋体"/>
          <w:snapToGrid w:val="0"/>
          <w:color w:val="auto"/>
          <w:kern w:val="0"/>
          <w:sz w:val="24"/>
          <w:szCs w:val="24"/>
          <w:highlight w:val="none"/>
          <w:u w:val="single"/>
        </w:rPr>
        <w:t>按本合同条款中第12.1相应条款执行。</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10.7 暂估价：</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bookmarkStart w:id="180" w:name="_Toc312677509"/>
      <w:bookmarkStart w:id="181" w:name="_Toc312678035"/>
      <w:bookmarkStart w:id="182" w:name="_Toc318581177"/>
      <w:r>
        <w:rPr>
          <w:rFonts w:hint="eastAsia" w:ascii="宋体" w:hAnsi="宋体" w:eastAsia="宋体" w:cs="宋体"/>
          <w:snapToGrid w:val="0"/>
          <w:color w:val="auto"/>
          <w:kern w:val="0"/>
          <w:sz w:val="24"/>
          <w:szCs w:val="24"/>
          <w:highlight w:val="none"/>
        </w:rPr>
        <w:t>0.7.1 依法必须招标的暂估价项目</w:t>
      </w:r>
    </w:p>
    <w:bookmarkEnd w:id="180"/>
    <w:bookmarkEnd w:id="181"/>
    <w:bookmarkEnd w:id="182"/>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对于依法必须招标的暂估价项目的确认和批准采取第</w:t>
      </w:r>
      <w:r>
        <w:rPr>
          <w:rFonts w:hint="eastAsia" w:ascii="宋体" w:hAnsi="宋体" w:eastAsia="宋体" w:cs="宋体"/>
          <w:snapToGrid w:val="0"/>
          <w:color w:val="auto"/>
          <w:kern w:val="0"/>
          <w:sz w:val="24"/>
          <w:szCs w:val="24"/>
          <w:highlight w:val="none"/>
          <w:u w:val="single"/>
        </w:rPr>
        <w:t xml:space="preserve"> / </w:t>
      </w:r>
      <w:r>
        <w:rPr>
          <w:rFonts w:hint="eastAsia" w:ascii="宋体" w:hAnsi="宋体" w:eastAsia="宋体" w:cs="宋体"/>
          <w:snapToGrid w:val="0"/>
          <w:color w:val="auto"/>
          <w:kern w:val="0"/>
          <w:sz w:val="24"/>
          <w:szCs w:val="24"/>
          <w:highlight w:val="none"/>
        </w:rPr>
        <w:t>种方式确定。</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10.7.2 不属于依法必须招标的暂估价项目</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对于不属于依法必须招标的暂估价项目的确认和批准采取第</w:t>
      </w:r>
      <w:r>
        <w:rPr>
          <w:rFonts w:hint="eastAsia" w:ascii="宋体" w:hAnsi="宋体" w:eastAsia="宋体" w:cs="宋体"/>
          <w:snapToGrid w:val="0"/>
          <w:color w:val="auto"/>
          <w:kern w:val="0"/>
          <w:sz w:val="24"/>
          <w:szCs w:val="24"/>
          <w:highlight w:val="none"/>
          <w:u w:val="single"/>
        </w:rPr>
        <w:t xml:space="preserve"> 3 </w:t>
      </w:r>
      <w:r>
        <w:rPr>
          <w:rFonts w:hint="eastAsia" w:ascii="宋体" w:hAnsi="宋体" w:eastAsia="宋体" w:cs="宋体"/>
          <w:snapToGrid w:val="0"/>
          <w:color w:val="auto"/>
          <w:kern w:val="0"/>
          <w:sz w:val="24"/>
          <w:szCs w:val="24"/>
          <w:highlight w:val="none"/>
        </w:rPr>
        <w:t>种方式确定。</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第3种方式：承包人直接实施的暂估价项目</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承包人直接实施的暂估价项目的约定：</w:t>
      </w:r>
      <w:r>
        <w:rPr>
          <w:rFonts w:hint="eastAsia" w:ascii="宋体" w:hAnsi="宋体" w:eastAsia="宋体" w:cs="宋体"/>
          <w:snapToGrid w:val="0"/>
          <w:color w:val="auto"/>
          <w:kern w:val="0"/>
          <w:sz w:val="24"/>
          <w:szCs w:val="24"/>
          <w:highlight w:val="none"/>
          <w:u w:val="single"/>
        </w:rPr>
        <w:t>按通用条款。</w:t>
      </w:r>
    </w:p>
    <w:p>
      <w:pPr>
        <w:pageBreakBefore w:val="0"/>
        <w:widowControl/>
        <w:tabs>
          <w:tab w:val="left" w:pos="0"/>
          <w:tab w:val="left" w:pos="993"/>
          <w:tab w:val="left" w:pos="1134"/>
        </w:tabs>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zh-CN"/>
        </w:rPr>
        <w:t>工程</w:t>
      </w:r>
      <w:r>
        <w:rPr>
          <w:rFonts w:hint="eastAsia" w:ascii="宋体" w:hAnsi="宋体" w:eastAsia="宋体" w:cs="宋体"/>
          <w:snapToGrid w:val="0"/>
          <w:color w:val="auto"/>
          <w:kern w:val="0"/>
          <w:sz w:val="24"/>
          <w:szCs w:val="24"/>
          <w:highlight w:val="none"/>
          <w:lang w:val="en-US" w:eastAsia="zh-CN"/>
        </w:rPr>
        <w:t>采购</w:t>
      </w:r>
      <w:r>
        <w:rPr>
          <w:rFonts w:hint="eastAsia" w:ascii="宋体" w:hAnsi="宋体" w:eastAsia="宋体" w:cs="宋体"/>
          <w:snapToGrid w:val="0"/>
          <w:color w:val="auto"/>
          <w:kern w:val="0"/>
          <w:sz w:val="24"/>
          <w:szCs w:val="24"/>
          <w:highlight w:val="none"/>
          <w:lang w:val="zh-CN"/>
        </w:rPr>
        <w:t>时暂估价材料竣工结算办法：</w:t>
      </w:r>
      <w:r>
        <w:rPr>
          <w:rFonts w:hint="eastAsia" w:ascii="宋体" w:hAnsi="宋体" w:eastAsia="宋体" w:cs="宋体"/>
          <w:b/>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10.8 暂列金额：</w:t>
      </w:r>
      <w:r>
        <w:rPr>
          <w:rFonts w:hint="eastAsia" w:ascii="宋体" w:hAnsi="宋体" w:eastAsia="宋体" w:cs="宋体"/>
          <w:snapToGrid w:val="0"/>
          <w:color w:val="auto"/>
          <w:kern w:val="0"/>
          <w:sz w:val="24"/>
          <w:szCs w:val="24"/>
          <w:highlight w:val="none"/>
          <w:u w:val="singl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eastAsia="宋体" w:cs="宋体"/>
          <w:b/>
          <w:snapToGrid w:val="0"/>
          <w:color w:val="auto"/>
          <w:kern w:val="0"/>
          <w:sz w:val="24"/>
          <w:szCs w:val="24"/>
          <w:highlight w:val="none"/>
          <w:u w:val="single"/>
        </w:rPr>
        <w:t>暂列金是发包人自行确定设立的，使用权归发包人，承包人无权使用此笔费用。此费用按实际发生经发包人签证后确定全部使用、部分使用或不使用。暂列金不计入工程款付款的基数。</w:t>
      </w:r>
    </w:p>
    <w:p>
      <w:pPr>
        <w:pageBreakBefore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11. 价格调整</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11.1 市场价格波动引起的调整：</w:t>
      </w:r>
      <w:r>
        <w:rPr>
          <w:rFonts w:hint="eastAsia" w:ascii="宋体" w:hAnsi="宋体" w:eastAsia="宋体" w:cs="宋体"/>
          <w:b/>
          <w:snapToGrid w:val="0"/>
          <w:color w:val="auto"/>
          <w:kern w:val="0"/>
          <w:sz w:val="24"/>
          <w:szCs w:val="24"/>
          <w:highlight w:val="none"/>
          <w:u w:val="single"/>
        </w:rPr>
        <w:t>不调整。</w:t>
      </w:r>
    </w:p>
    <w:bookmarkEnd w:id="173"/>
    <w:bookmarkEnd w:id="174"/>
    <w:bookmarkEnd w:id="175"/>
    <w:bookmarkEnd w:id="176"/>
    <w:bookmarkEnd w:id="177"/>
    <w:bookmarkEnd w:id="178"/>
    <w:bookmarkEnd w:id="179"/>
    <w:p>
      <w:pPr>
        <w:pageBreakBefore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12. 合同价格、计量与支付</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12.1单价合同。</w:t>
      </w:r>
    </w:p>
    <w:p>
      <w:pPr>
        <w:pageBreakBefore w:val="0"/>
        <w:kinsoku/>
        <w:wordWrap/>
        <w:overflowPunct/>
        <w:topLinePunct w:val="0"/>
        <w:autoSpaceDE w:val="0"/>
        <w:autoSpaceDN w:val="0"/>
        <w:bidi w:val="0"/>
        <w:adjustRightInd/>
        <w:snapToGrid/>
        <w:spacing w:line="360" w:lineRule="auto"/>
        <w:ind w:right="0" w:firstLine="480" w:firstLineChars="200"/>
        <w:textAlignment w:val="auto"/>
        <w:rPr>
          <w:rFonts w:hint="eastAsia" w:ascii="宋体" w:hAnsi="宋体" w:eastAsia="宋体" w:cs="宋体"/>
          <w:b/>
          <w:snapToGrid w:val="0"/>
          <w:color w:val="auto"/>
          <w:spacing w:val="-2"/>
          <w:kern w:val="0"/>
          <w:sz w:val="24"/>
          <w:szCs w:val="24"/>
          <w:highlight w:val="none"/>
        </w:rPr>
      </w:pPr>
      <w:r>
        <w:rPr>
          <w:rFonts w:hint="eastAsia" w:ascii="宋体" w:hAnsi="宋体" w:eastAsia="宋体" w:cs="宋体"/>
          <w:snapToGrid w:val="0"/>
          <w:color w:val="auto"/>
          <w:kern w:val="0"/>
          <w:sz w:val="24"/>
          <w:szCs w:val="24"/>
          <w:highlight w:val="none"/>
        </w:rPr>
        <w:t>综合单价包含的风险范围：</w:t>
      </w:r>
      <w:r>
        <w:rPr>
          <w:rFonts w:hint="eastAsia" w:ascii="宋体" w:hAnsi="宋体" w:eastAsia="宋体" w:cs="宋体"/>
          <w:b/>
          <w:snapToGrid w:val="0"/>
          <w:color w:val="auto"/>
          <w:spacing w:val="-2"/>
          <w:kern w:val="0"/>
          <w:sz w:val="24"/>
          <w:szCs w:val="24"/>
          <w:highlight w:val="none"/>
        </w:rPr>
        <w:t>除下述风险范围内容可调整外，其余不可调整。</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（1）工程量偏差；</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（2）与</w:t>
      </w:r>
      <w:r>
        <w:rPr>
          <w:rFonts w:hint="eastAsia" w:ascii="宋体" w:hAnsi="宋体" w:eastAsia="宋体" w:cs="宋体"/>
          <w:snapToGrid w:val="0"/>
          <w:color w:val="auto"/>
          <w:kern w:val="0"/>
          <w:sz w:val="24"/>
          <w:szCs w:val="24"/>
          <w:highlight w:val="none"/>
          <w:lang w:val="en-US" w:eastAsia="zh-CN"/>
        </w:rPr>
        <w:t>采购</w:t>
      </w:r>
      <w:r>
        <w:rPr>
          <w:rFonts w:hint="eastAsia" w:ascii="宋体" w:hAnsi="宋体" w:eastAsia="宋体" w:cs="宋体"/>
          <w:snapToGrid w:val="0"/>
          <w:color w:val="auto"/>
          <w:kern w:val="0"/>
          <w:sz w:val="24"/>
          <w:szCs w:val="24"/>
          <w:highlight w:val="none"/>
        </w:rPr>
        <w:t>清单项目特征描述不符；</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（3）工程量清单缺、漏项； </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（4）工程变更；</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（5）现场签证；</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（6）暂列金额及暂估价；</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（7）发承包人双方约定的其他调整事项。</w:t>
      </w:r>
    </w:p>
    <w:p>
      <w:pPr>
        <w:pageBreakBefore w:val="0"/>
        <w:kinsoku/>
        <w:wordWrap/>
        <w:overflowPunct/>
        <w:topLinePunct w:val="0"/>
        <w:autoSpaceDE w:val="0"/>
        <w:autoSpaceDN w:val="0"/>
        <w:bidi w:val="0"/>
        <w:adjustRightInd/>
        <w:snapToGrid/>
        <w:spacing w:line="360" w:lineRule="auto"/>
        <w:ind w:right="0" w:firstLine="480" w:firstLineChars="200"/>
        <w:textAlignment w:val="auto"/>
        <w:rPr>
          <w:rFonts w:hint="eastAsia" w:ascii="宋体" w:hAnsi="宋体" w:eastAsia="宋体" w:cs="宋体"/>
          <w:b/>
          <w:bCs/>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风险费用的计算方法：</w:t>
      </w:r>
      <w:r>
        <w:rPr>
          <w:rFonts w:hint="eastAsia" w:ascii="宋体" w:hAnsi="宋体" w:eastAsia="宋体" w:cs="宋体"/>
          <w:bCs/>
          <w:snapToGrid w:val="0"/>
          <w:color w:val="auto"/>
          <w:kern w:val="0"/>
          <w:sz w:val="24"/>
          <w:szCs w:val="24"/>
          <w:highlight w:val="none"/>
          <w:u w:val="single"/>
        </w:rPr>
        <w:t>承包人在磋商响应报价时已经充分考虑，竣工结算时风险范围以内不</w:t>
      </w:r>
      <w:r>
        <w:rPr>
          <w:rFonts w:hint="eastAsia" w:ascii="宋体" w:hAnsi="宋体" w:eastAsia="宋体" w:cs="宋体"/>
          <w:bCs/>
          <w:snapToGrid w:val="0"/>
          <w:color w:val="auto"/>
          <w:kern w:val="0"/>
          <w:sz w:val="24"/>
          <w:szCs w:val="24"/>
          <w:highlight w:val="none"/>
          <w:u w:val="single"/>
          <w:lang w:eastAsia="zh-CN"/>
        </w:rPr>
        <w:t>做</w:t>
      </w:r>
      <w:r>
        <w:rPr>
          <w:rFonts w:hint="eastAsia" w:ascii="宋体" w:hAnsi="宋体" w:eastAsia="宋体" w:cs="宋体"/>
          <w:bCs/>
          <w:snapToGrid w:val="0"/>
          <w:color w:val="auto"/>
          <w:kern w:val="0"/>
          <w:sz w:val="24"/>
          <w:szCs w:val="24"/>
          <w:highlight w:val="none"/>
          <w:u w:val="single"/>
        </w:rPr>
        <w:t>任何调整</w:t>
      </w:r>
      <w:r>
        <w:rPr>
          <w:rFonts w:hint="eastAsia" w:ascii="宋体" w:hAnsi="宋体" w:eastAsia="宋体" w:cs="宋体"/>
          <w:b/>
          <w:bCs/>
          <w:snapToGrid w:val="0"/>
          <w:color w:val="auto"/>
          <w:kern w:val="0"/>
          <w:sz w:val="24"/>
          <w:szCs w:val="24"/>
          <w:highlight w:val="none"/>
          <w:u w:val="single"/>
        </w:rPr>
        <w:t>。</w:t>
      </w:r>
    </w:p>
    <w:p>
      <w:pPr>
        <w:pageBreakBefore w:val="0"/>
        <w:kinsoku/>
        <w:wordWrap/>
        <w:overflowPunct/>
        <w:topLinePunct w:val="0"/>
        <w:autoSpaceDE w:val="0"/>
        <w:autoSpaceDN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风险范围以外合同价款调整范围及方法：</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（1）因非承包人原因引起原有工程量清单项目的工程量增减，即发包人提供的工程量清单漏项或缺项，或因设计变更及发包人要求变动的按照以下的计价办法结算：</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A、工程量清单漏项或缺项、变更（或新增项目）引起新的工程量清单项目，其相应综合单价由承包人按本</w:t>
      </w:r>
      <w:r>
        <w:rPr>
          <w:rFonts w:hint="eastAsia" w:ascii="宋体" w:hAnsi="宋体" w:eastAsia="宋体" w:cs="宋体"/>
          <w:snapToGrid w:val="0"/>
          <w:color w:val="auto"/>
          <w:kern w:val="0"/>
          <w:sz w:val="24"/>
          <w:szCs w:val="24"/>
          <w:highlight w:val="none"/>
          <w:lang w:val="en-US" w:eastAsia="zh-CN"/>
        </w:rPr>
        <w:t>采购</w:t>
      </w:r>
      <w:r>
        <w:rPr>
          <w:rFonts w:hint="eastAsia" w:ascii="宋体" w:hAnsi="宋体" w:eastAsia="宋体" w:cs="宋体"/>
          <w:snapToGrid w:val="0"/>
          <w:color w:val="auto"/>
          <w:kern w:val="0"/>
          <w:sz w:val="24"/>
          <w:szCs w:val="24"/>
          <w:highlight w:val="none"/>
        </w:rPr>
        <w:t>文件控制价的计价方法提出，并按磋商响应报价相对控制价的下浮率下浮（承包人报价浮动率=（1-成交价/控制价）×100%，成交价、招标控制价须扣除暂估价、暂列金额及相应的规费税金），经监理方、发包人确认后作为结算依据。</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B、变更引起工程量增减</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a. 当变更引起工程量增减在15%以内（含15%），</w:t>
      </w:r>
      <w:r>
        <w:rPr>
          <w:rFonts w:hint="eastAsia" w:ascii="宋体" w:hAnsi="宋体" w:eastAsia="宋体" w:cs="宋体"/>
          <w:b/>
          <w:snapToGrid w:val="0"/>
          <w:color w:val="auto"/>
          <w:kern w:val="0"/>
          <w:sz w:val="24"/>
          <w:szCs w:val="24"/>
          <w:highlight w:val="none"/>
        </w:rPr>
        <w:t>S= N2* Q1；</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b. 工程量增加在15%以上时， </w:t>
      </w:r>
    </w:p>
    <w:p>
      <w:pPr>
        <w:pageBreakBefore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当Q1&lt;Q2,S= N2* Q1</w:t>
      </w:r>
    </w:p>
    <w:p>
      <w:pPr>
        <w:pageBreakBefore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当Q1&gt;Q2,S= 1.15N1*Q1+（N2-1.15N1）* Q2</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c. 工程量减少在15%以上时， </w:t>
      </w:r>
    </w:p>
    <w:p>
      <w:pPr>
        <w:pageBreakBefore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当Q1&gt; Q2，S=N2*Q1</w:t>
      </w:r>
    </w:p>
    <w:p>
      <w:pPr>
        <w:pageBreakBefore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当Q1&lt; Q2，S=N2*Q1+N2*（Q2-Q1）*30%，若该项投标价为不平衡报价的，则S= N2*Q1</w:t>
      </w:r>
    </w:p>
    <w:p>
      <w:pPr>
        <w:pageBreakBefore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注：审定价S、标底量N1、审定量N2、投标价Q1、按上述A原则组价下浮价Q2</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因分部分项工程量清单漏项或非承包人原因的工程变更，造成施工组织设计或施工方案变更，引起措施项目发生变化时，措施项目费应按下列原则调整：总价措施项目费除现场安全文明施工措施费以核定的为准外，其余总价措施费一律不作调整。</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（3）人工工资不调整。</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（4）暂列金额及暂估价详见合同相关条款。</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shd w:val="clear" w:color="auto" w:fill="FFFFFF"/>
        </w:rPr>
        <w:t>市场价格波动引起的材料价格调整的约定：不调整，</w:t>
      </w:r>
      <w:r>
        <w:rPr>
          <w:rFonts w:hint="eastAsia" w:ascii="宋体" w:hAnsi="宋体" w:eastAsia="宋体" w:cs="宋体"/>
          <w:snapToGrid w:val="0"/>
          <w:color w:val="auto"/>
          <w:kern w:val="0"/>
          <w:sz w:val="24"/>
          <w:szCs w:val="24"/>
          <w:highlight w:val="none"/>
        </w:rPr>
        <w:t>建筑材料价格上涨或下降的，其差价均由承包人承担或受益。</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2、总价合同。</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总价包含的风险范围：</w:t>
      </w:r>
      <w:r>
        <w:rPr>
          <w:rFonts w:hint="eastAsia" w:ascii="宋体" w:hAnsi="宋体" w:eastAsia="宋体" w:cs="宋体"/>
          <w:b/>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风险费用的计算方法：</w:t>
      </w:r>
      <w:r>
        <w:rPr>
          <w:rFonts w:hint="eastAsia" w:ascii="宋体" w:hAnsi="宋体" w:eastAsia="宋体" w:cs="宋体"/>
          <w:b/>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风险范围以外合同价格的调整方法：</w:t>
      </w:r>
      <w:r>
        <w:rPr>
          <w:rFonts w:hint="eastAsia" w:ascii="宋体" w:hAnsi="宋体" w:eastAsia="宋体" w:cs="宋体"/>
          <w:b/>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3、其他价格方式：</w:t>
      </w:r>
      <w:r>
        <w:rPr>
          <w:rFonts w:hint="eastAsia" w:ascii="宋体" w:hAnsi="宋体" w:eastAsia="宋体" w:cs="宋体"/>
          <w:b/>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12.2 预付款</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12.2.1 预付款的支付</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预付款支付比例或金额：</w:t>
      </w:r>
      <w:r>
        <w:rPr>
          <w:rFonts w:hint="eastAsia" w:ascii="宋体" w:hAnsi="宋体" w:eastAsia="宋体" w:cs="宋体"/>
          <w:b/>
          <w:bCs/>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预付款支付期限：</w:t>
      </w:r>
      <w:r>
        <w:rPr>
          <w:rFonts w:hint="eastAsia" w:ascii="宋体" w:hAnsi="宋体" w:eastAsia="宋体" w:cs="宋体"/>
          <w:b/>
          <w:bCs/>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预付款扣回的方式：</w:t>
      </w:r>
      <w:r>
        <w:rPr>
          <w:rFonts w:hint="eastAsia" w:ascii="宋体" w:hAnsi="宋体" w:eastAsia="宋体" w:cs="宋体"/>
          <w:b/>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12.2.2 预付款担保</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承包人提交预付款担保的期限：</w:t>
      </w:r>
      <w:r>
        <w:rPr>
          <w:rFonts w:hint="eastAsia" w:ascii="宋体" w:hAnsi="宋体" w:eastAsia="宋体" w:cs="宋体"/>
          <w:b/>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预付款担保的形式为：</w:t>
      </w:r>
      <w:r>
        <w:rPr>
          <w:rFonts w:hint="eastAsia" w:ascii="宋体" w:hAnsi="宋体" w:eastAsia="宋体" w:cs="宋体"/>
          <w:b/>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12.3 计量</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12.3.1 计量原则</w:t>
      </w:r>
    </w:p>
    <w:p>
      <w:pPr>
        <w:pageBreakBefore w:val="0"/>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b/>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工程量计算规则：</w:t>
      </w:r>
      <w:r>
        <w:rPr>
          <w:rFonts w:hint="eastAsia" w:ascii="宋体" w:hAnsi="宋体" w:eastAsia="宋体" w:cs="宋体"/>
          <w:bCs/>
          <w:snapToGrid w:val="0"/>
          <w:color w:val="auto"/>
          <w:kern w:val="0"/>
          <w:sz w:val="24"/>
          <w:szCs w:val="24"/>
          <w:highlight w:val="none"/>
          <w:u w:val="single"/>
        </w:rPr>
        <w:t>《江苏省建设工程费用定额》2014版、《省住房城乡建设厅关于建筑业实施营改增后江苏省建设工程计价依据调整的通知》（苏建价【2016】154号）、《建设工程工程量清单计价规范》（GB50500-2013）、《水利工程量清单计价规范》（GB50501-2007）、《江苏省水利工程预算定额》（2010版）及其配套的《江苏省水利工程施工机械台时费定额》、《江苏省水利工程概算定额》、《江苏省水利工程设计概（估）算编制规定》（2012年版）、《省住房城乡建设厅关于调整建设工程按质论价等费用计取方法的公告》(2018年第24号)以及相应的补充规定和省市颁布的有关工程造价文件，征税方式采用一般计税法等。</w:t>
      </w:r>
    </w:p>
    <w:p>
      <w:pPr>
        <w:pageBreakBefore w:val="0"/>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12.3.2 计量周期</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关于计量周期的约定：</w:t>
      </w:r>
      <w:r>
        <w:rPr>
          <w:rFonts w:hint="eastAsia" w:ascii="宋体" w:hAnsi="宋体" w:eastAsia="宋体" w:cs="宋体"/>
          <w:b/>
          <w:bCs/>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12.3.3 单价合同的计量  </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关于单价合同计量的约定：</w:t>
      </w:r>
      <w:r>
        <w:rPr>
          <w:rFonts w:hint="eastAsia" w:ascii="宋体" w:hAnsi="宋体" w:eastAsia="宋体" w:cs="宋体"/>
          <w:bCs/>
          <w:snapToGrid w:val="0"/>
          <w:color w:val="auto"/>
          <w:kern w:val="0"/>
          <w:sz w:val="24"/>
          <w:szCs w:val="24"/>
          <w:highlight w:val="none"/>
          <w:u w:val="single"/>
        </w:rPr>
        <w:t>竣工结算的工程量按发承包双方在合同中约定应予计量且实际完成的工程量确定，完成发包人要求的合同以外的零星工作或发生非承包人责任事件的工程量按现场签证确定。</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12.4 工程进度款支付</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12.4.1 付款周期</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rPr>
        <w:t>关于付款周期的约定：</w:t>
      </w:r>
      <w:r>
        <w:rPr>
          <w:rFonts w:hint="eastAsia" w:ascii="宋体" w:hAnsi="宋体" w:eastAsia="宋体" w:cs="宋体"/>
          <w:bCs/>
          <w:snapToGrid w:val="0"/>
          <w:color w:val="auto"/>
          <w:kern w:val="0"/>
          <w:sz w:val="24"/>
          <w:szCs w:val="24"/>
          <w:highlight w:val="none"/>
          <w:u w:val="single"/>
        </w:rPr>
        <w:t>1、本项目履约保证金为合同总价的10%，承包人须在</w:t>
      </w:r>
      <w:r>
        <w:rPr>
          <w:rFonts w:hint="eastAsia" w:ascii="宋体" w:hAnsi="宋体" w:eastAsia="宋体" w:cs="宋体"/>
          <w:bCs/>
          <w:snapToGrid w:val="0"/>
          <w:color w:val="auto"/>
          <w:kern w:val="0"/>
          <w:sz w:val="24"/>
          <w:szCs w:val="24"/>
          <w:highlight w:val="none"/>
          <w:u w:val="single"/>
          <w:lang w:val="en-US" w:eastAsia="zh-CN"/>
        </w:rPr>
        <w:t>采购文件规定的时间</w:t>
      </w:r>
      <w:r>
        <w:rPr>
          <w:rFonts w:hint="eastAsia" w:ascii="宋体" w:hAnsi="宋体" w:eastAsia="宋体" w:cs="宋体"/>
          <w:bCs/>
          <w:snapToGrid w:val="0"/>
          <w:color w:val="auto"/>
          <w:kern w:val="0"/>
          <w:sz w:val="24"/>
          <w:szCs w:val="24"/>
          <w:highlight w:val="none"/>
          <w:u w:val="single"/>
        </w:rPr>
        <w:t>缴纳，验收合格后无息返还。</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u w:val="single"/>
        </w:rPr>
        <w:t>2、承包人缴纳履约保证金且合同签订生效后15日内，发包人支付合同价的30%作为预付款；</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u w:val="single"/>
        </w:rPr>
        <w:t>3、竣工验收合格后且审计结束后付至审计价的97%，质保期三年满且无任何质量问题后支付余款（无息）。</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u w:val="single"/>
          <w:lang w:val="en-US" w:eastAsia="zh-CN"/>
        </w:rPr>
        <w:t>3</w:t>
      </w:r>
      <w:r>
        <w:rPr>
          <w:rFonts w:hint="eastAsia" w:ascii="宋体" w:hAnsi="宋体" w:eastAsia="宋体" w:cs="宋体"/>
          <w:bCs/>
          <w:snapToGrid w:val="0"/>
          <w:color w:val="auto"/>
          <w:kern w:val="0"/>
          <w:sz w:val="24"/>
          <w:szCs w:val="24"/>
          <w:highlight w:val="none"/>
          <w:u w:val="single"/>
        </w:rPr>
        <w:t>、采购项目结算必须按规范编制，并经发包人确认后报有关部门审计。结算审计核减额超过送审数额的5%以外部分的审计费用由</w:t>
      </w:r>
      <w:r>
        <w:rPr>
          <w:rFonts w:hint="eastAsia" w:ascii="宋体" w:hAnsi="宋体" w:eastAsia="宋体" w:cs="宋体"/>
          <w:bCs/>
          <w:snapToGrid w:val="0"/>
          <w:color w:val="auto"/>
          <w:kern w:val="0"/>
          <w:sz w:val="24"/>
          <w:szCs w:val="24"/>
          <w:highlight w:val="none"/>
          <w:u w:val="single"/>
          <w:lang w:val="en-US" w:eastAsia="zh-CN"/>
        </w:rPr>
        <w:t>成交</w:t>
      </w:r>
      <w:r>
        <w:rPr>
          <w:rFonts w:hint="eastAsia" w:ascii="宋体" w:hAnsi="宋体" w:eastAsia="宋体" w:cs="宋体"/>
          <w:bCs/>
          <w:snapToGrid w:val="0"/>
          <w:color w:val="auto"/>
          <w:kern w:val="0"/>
          <w:sz w:val="24"/>
          <w:szCs w:val="24"/>
          <w:highlight w:val="none"/>
          <w:u w:val="single"/>
        </w:rPr>
        <w:t>供应商承担，超额部分按核减额的6%计取。采购项目结算总价最终以南通市审计局审计价为准。</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u w:val="single"/>
          <w:lang w:val="en-US" w:eastAsia="zh-CN"/>
        </w:rPr>
        <w:t>4</w:t>
      </w:r>
      <w:r>
        <w:rPr>
          <w:rFonts w:hint="eastAsia" w:ascii="宋体" w:hAnsi="宋体" w:eastAsia="宋体" w:cs="宋体"/>
          <w:bCs/>
          <w:snapToGrid w:val="0"/>
          <w:color w:val="auto"/>
          <w:kern w:val="0"/>
          <w:sz w:val="24"/>
          <w:szCs w:val="24"/>
          <w:highlight w:val="none"/>
          <w:u w:val="single"/>
        </w:rPr>
        <w:t>、所有款项由发包人按相关财务支付规定办理支付手续，不得故意拖延支付时间。</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rPr>
        <w:t>说明：</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u w:val="single"/>
        </w:rPr>
        <w:t>（1）履约保证金在工程竣工验收合格后退还（无息）。承包人不得因工程造价低等原因造成质量、停工等问题，如有发生，该保证金不退。</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u w:val="single"/>
        </w:rPr>
        <w:t>（2）承包人不得因拖欠材料商、分包商等工程款而影响工程进度和质量，否则承包人除承担违约责任外，还需承担发包人对其罚款，金额为拖欠款的 20%。</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u w:val="single"/>
        </w:rPr>
        <w:t>（3）发包人有权在合同价中直接扣除按合同规定对承包人的各项违约金，并以工程联系单或罚款单的形式发放给承包人。</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u w:val="single"/>
        </w:rPr>
        <w:t>（4）所有工程付款必须经总监理工程师和发包方项目负责人签发付款证书后发包人才予以支付。</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val="en-US" w:eastAsia="zh-CN"/>
        </w:rPr>
        <w:t>5</w:t>
      </w:r>
      <w:r>
        <w:rPr>
          <w:rFonts w:hint="eastAsia" w:ascii="宋体" w:hAnsi="宋体" w:eastAsia="宋体" w:cs="宋体"/>
          <w:bCs/>
          <w:snapToGrid w:val="0"/>
          <w:color w:val="auto"/>
          <w:kern w:val="0"/>
          <w:sz w:val="24"/>
          <w:szCs w:val="24"/>
          <w:highlight w:val="none"/>
          <w:u w:val="single"/>
        </w:rPr>
        <w:t>）本工程以发包方指定的审</w:t>
      </w:r>
      <w:r>
        <w:rPr>
          <w:rFonts w:hint="eastAsia" w:ascii="宋体" w:hAnsi="宋体" w:eastAsia="宋体" w:cs="宋体"/>
          <w:bCs/>
          <w:snapToGrid w:val="0"/>
          <w:color w:val="auto"/>
          <w:kern w:val="0"/>
          <w:sz w:val="24"/>
          <w:szCs w:val="24"/>
          <w:highlight w:val="none"/>
          <w:u w:val="single"/>
          <w:lang w:eastAsia="zh-CN"/>
        </w:rPr>
        <w:t>计</w:t>
      </w:r>
      <w:r>
        <w:rPr>
          <w:rFonts w:hint="eastAsia" w:ascii="宋体" w:hAnsi="宋体" w:eastAsia="宋体" w:cs="宋体"/>
          <w:bCs/>
          <w:snapToGrid w:val="0"/>
          <w:color w:val="auto"/>
          <w:kern w:val="0"/>
          <w:sz w:val="24"/>
          <w:szCs w:val="24"/>
          <w:highlight w:val="none"/>
          <w:u w:val="single"/>
        </w:rPr>
        <w:t>单位的审计结果作为工程款结算和支付依据，如相关政府部门或审计部门在检查或审计过程中发现审</w:t>
      </w:r>
      <w:r>
        <w:rPr>
          <w:rFonts w:hint="eastAsia" w:ascii="宋体" w:hAnsi="宋体" w:eastAsia="宋体" w:cs="宋体"/>
          <w:bCs/>
          <w:snapToGrid w:val="0"/>
          <w:color w:val="auto"/>
          <w:kern w:val="0"/>
          <w:sz w:val="24"/>
          <w:szCs w:val="24"/>
          <w:highlight w:val="none"/>
          <w:u w:val="single"/>
          <w:lang w:eastAsia="zh-CN"/>
        </w:rPr>
        <w:t>计</w:t>
      </w:r>
      <w:r>
        <w:rPr>
          <w:rFonts w:hint="eastAsia" w:ascii="宋体" w:hAnsi="宋体" w:eastAsia="宋体" w:cs="宋体"/>
          <w:bCs/>
          <w:snapToGrid w:val="0"/>
          <w:color w:val="auto"/>
          <w:kern w:val="0"/>
          <w:sz w:val="24"/>
          <w:szCs w:val="24"/>
          <w:highlight w:val="none"/>
          <w:u w:val="single"/>
        </w:rPr>
        <w:t>单位的审计结果有误，则以相关政府部门或审计部门的审计结果作为最终结算价，发包人已支付的工程款（含进度款）超过结算价相应比例的部分，承包人无条件同意发包人在</w:t>
      </w:r>
      <w:r>
        <w:rPr>
          <w:rFonts w:hint="eastAsia" w:ascii="宋体" w:hAnsi="宋体" w:eastAsia="宋体" w:cs="宋体"/>
          <w:bCs/>
          <w:snapToGrid w:val="0"/>
          <w:color w:val="auto"/>
          <w:kern w:val="0"/>
          <w:sz w:val="24"/>
          <w:szCs w:val="24"/>
          <w:highlight w:val="none"/>
          <w:u w:val="single"/>
          <w:lang w:eastAsia="zh-CN"/>
        </w:rPr>
        <w:t>未支</w:t>
      </w:r>
      <w:r>
        <w:rPr>
          <w:rFonts w:hint="eastAsia" w:ascii="宋体" w:hAnsi="宋体" w:eastAsia="宋体" w:cs="宋体"/>
          <w:bCs/>
          <w:snapToGrid w:val="0"/>
          <w:color w:val="auto"/>
          <w:kern w:val="0"/>
          <w:sz w:val="24"/>
          <w:szCs w:val="24"/>
          <w:highlight w:val="none"/>
          <w:u w:val="single"/>
        </w:rPr>
        <w:t>付的工程款中直接扣除超支部分及按银行同期贷款利率的两倍计算的利息，未支付的工程款中不足以完全覆盖前述退款及利息的或承包人已经付清工程款的，承包人应在发包人发出退款通知的10日内向发包人支付退款及利息。</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12.4.2 进度付款申请单的编制</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关于进度付款申请单编制的约定：</w:t>
      </w:r>
      <w:r>
        <w:rPr>
          <w:rFonts w:hint="eastAsia" w:ascii="宋体" w:hAnsi="宋体" w:eastAsia="宋体" w:cs="宋体"/>
          <w:bCs/>
          <w:snapToGrid w:val="0"/>
          <w:color w:val="auto"/>
          <w:kern w:val="0"/>
          <w:sz w:val="24"/>
          <w:szCs w:val="24"/>
          <w:highlight w:val="none"/>
          <w:u w:val="single"/>
        </w:rPr>
        <w:t>调整价款、变更增补项目价款不在进度款中支付。发包人有权直接扣除承包人应支付的违约金。所有工程款的支付必须由承包人递交付款申请，经总监理工程师和发包人现场代表审核后予以支付。发包人代垫代扣的所有费用可以从工程款中直接扣除，每次支付工程款前，承包人必须开具符合税务部门规定的费率的增值税发票。工程竣工结算以发包人指定的造价咨询单位出具的最终审计结果为准。承包人未提供符合要求的费率的增值税发票的，发包人有权拒绝付款。</w:t>
      </w:r>
    </w:p>
    <w:p>
      <w:pPr>
        <w:pageBreakBefore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13. 验收和工程试车</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13.1 分部分项工程验收</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13.1.2监理人不能按时进行验收时，应提前</w:t>
      </w:r>
      <w:r>
        <w:rPr>
          <w:rFonts w:hint="eastAsia" w:ascii="宋体" w:hAnsi="宋体" w:eastAsia="宋体" w:cs="宋体"/>
          <w:bCs/>
          <w:snapToGrid w:val="0"/>
          <w:color w:val="auto"/>
          <w:kern w:val="0"/>
          <w:sz w:val="24"/>
          <w:szCs w:val="24"/>
          <w:highlight w:val="none"/>
          <w:u w:val="single"/>
        </w:rPr>
        <w:t xml:space="preserve"> 12 </w:t>
      </w:r>
      <w:r>
        <w:rPr>
          <w:rFonts w:hint="eastAsia" w:ascii="宋体" w:hAnsi="宋体" w:eastAsia="宋体" w:cs="宋体"/>
          <w:bCs/>
          <w:snapToGrid w:val="0"/>
          <w:color w:val="auto"/>
          <w:kern w:val="0"/>
          <w:sz w:val="24"/>
          <w:szCs w:val="24"/>
          <w:highlight w:val="none"/>
        </w:rPr>
        <w:t>小时提交书面延期要求。</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关于延期最长不得超过：</w:t>
      </w:r>
      <w:r>
        <w:rPr>
          <w:rFonts w:hint="eastAsia" w:ascii="宋体" w:hAnsi="宋体" w:eastAsia="宋体" w:cs="宋体"/>
          <w:bCs/>
          <w:snapToGrid w:val="0"/>
          <w:color w:val="auto"/>
          <w:kern w:val="0"/>
          <w:sz w:val="24"/>
          <w:szCs w:val="24"/>
          <w:highlight w:val="none"/>
          <w:u w:val="single"/>
        </w:rPr>
        <w:t xml:space="preserve"> 24 </w:t>
      </w:r>
      <w:r>
        <w:rPr>
          <w:rFonts w:hint="eastAsia" w:ascii="宋体" w:hAnsi="宋体" w:eastAsia="宋体" w:cs="宋体"/>
          <w:bCs/>
          <w:snapToGrid w:val="0"/>
          <w:color w:val="auto"/>
          <w:kern w:val="0"/>
          <w:sz w:val="24"/>
          <w:szCs w:val="24"/>
          <w:highlight w:val="none"/>
        </w:rPr>
        <w:t>小时。</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13.2 竣工验收</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13.2.2竣工验收程序</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关于竣工验收程序的约定：</w:t>
      </w:r>
      <w:r>
        <w:rPr>
          <w:rFonts w:hint="eastAsia" w:ascii="宋体" w:hAnsi="宋体" w:eastAsia="宋体" w:cs="宋体"/>
          <w:bCs/>
          <w:snapToGrid w:val="0"/>
          <w:color w:val="auto"/>
          <w:kern w:val="0"/>
          <w:sz w:val="24"/>
          <w:szCs w:val="24"/>
          <w:highlight w:val="none"/>
          <w:u w:val="single"/>
        </w:rPr>
        <w:t xml:space="preserve"> 按通用条款执行  </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发包人不按照本项约定组织竣工验收、颁发工程接收证书的违约金的计算方法：</w:t>
      </w:r>
      <w:r>
        <w:rPr>
          <w:rFonts w:hint="eastAsia" w:ascii="宋体" w:hAnsi="宋体" w:eastAsia="宋体" w:cs="宋体"/>
          <w:bCs/>
          <w:snapToGrid w:val="0"/>
          <w:color w:val="auto"/>
          <w:kern w:val="0"/>
          <w:sz w:val="24"/>
          <w:szCs w:val="24"/>
          <w:highlight w:val="none"/>
          <w:u w:val="single"/>
        </w:rPr>
        <w:t xml:space="preserve"> /</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13.2.</w:t>
      </w:r>
      <w:r>
        <w:rPr>
          <w:rFonts w:hint="eastAsia" w:ascii="宋体" w:hAnsi="宋体" w:eastAsia="宋体" w:cs="宋体"/>
          <w:bCs/>
          <w:snapToGrid w:val="0"/>
          <w:color w:val="auto"/>
          <w:kern w:val="0"/>
          <w:sz w:val="24"/>
          <w:szCs w:val="24"/>
          <w:highlight w:val="none"/>
          <w:lang w:val="en-US" w:eastAsia="zh-CN"/>
        </w:rPr>
        <w:t>3</w:t>
      </w:r>
      <w:r>
        <w:rPr>
          <w:rFonts w:hint="eastAsia" w:ascii="宋体" w:hAnsi="宋体" w:eastAsia="宋体" w:cs="宋体"/>
          <w:bCs/>
          <w:snapToGrid w:val="0"/>
          <w:color w:val="auto"/>
          <w:kern w:val="0"/>
          <w:sz w:val="24"/>
          <w:szCs w:val="24"/>
          <w:highlight w:val="none"/>
        </w:rPr>
        <w:t>移交、接收全部与部分工程</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承包人向发包人移交工程的期限：</w:t>
      </w:r>
      <w:r>
        <w:rPr>
          <w:rFonts w:hint="eastAsia" w:ascii="宋体" w:hAnsi="宋体" w:eastAsia="宋体" w:cs="宋体"/>
          <w:bCs/>
          <w:snapToGrid w:val="0"/>
          <w:color w:val="auto"/>
          <w:kern w:val="0"/>
          <w:sz w:val="24"/>
          <w:szCs w:val="24"/>
          <w:highlight w:val="none"/>
          <w:u w:val="single"/>
        </w:rPr>
        <w:t xml:space="preserve">       /           </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rPr>
        <w:t>发包人未按本合同约定接收全部或部分工程的，违约金的计算方法为：</w:t>
      </w:r>
      <w:r>
        <w:rPr>
          <w:rFonts w:hint="eastAsia" w:ascii="宋体" w:hAnsi="宋体" w:eastAsia="宋体" w:cs="宋体"/>
          <w:bCs/>
          <w:snapToGrid w:val="0"/>
          <w:color w:val="auto"/>
          <w:kern w:val="0"/>
          <w:sz w:val="24"/>
          <w:szCs w:val="24"/>
          <w:highlight w:val="none"/>
          <w:u w:val="single"/>
        </w:rPr>
        <w:t xml:space="preserve">/   </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承包人未按时移交工程的，违约金的计算方法为：</w:t>
      </w:r>
      <w:r>
        <w:rPr>
          <w:rFonts w:hint="eastAsia" w:ascii="宋体" w:hAnsi="宋体" w:eastAsia="宋体" w:cs="宋体"/>
          <w:bCs/>
          <w:snapToGrid w:val="0"/>
          <w:color w:val="auto"/>
          <w:kern w:val="0"/>
          <w:sz w:val="24"/>
          <w:szCs w:val="24"/>
          <w:highlight w:val="none"/>
          <w:u w:val="single"/>
        </w:rPr>
        <w:t xml:space="preserve">   /    </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13.6 竣工退场</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13.6.1 竣工退场</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承包人完成竣工退场的期限：</w:t>
      </w:r>
      <w:r>
        <w:rPr>
          <w:rFonts w:hint="eastAsia" w:ascii="宋体" w:hAnsi="宋体" w:eastAsia="宋体" w:cs="宋体"/>
          <w:bCs/>
          <w:snapToGrid w:val="0"/>
          <w:color w:val="auto"/>
          <w:kern w:val="0"/>
          <w:sz w:val="24"/>
          <w:szCs w:val="24"/>
          <w:highlight w:val="none"/>
          <w:u w:val="single"/>
        </w:rPr>
        <w:t>承包人在竣工验收合格后七天内拆除现场所有临时设施，包括所有的机械设备、剩余材料、建筑垃圾全部清运出现场，清理标准应征得发包人认可。否则如发生相关费用由发包人按实际发生费用的2倍及以上在工程结算价款中扣除。</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u w:val="single"/>
        </w:rPr>
        <w:t>竣工日期以验收合格当日的竣工验收报告日期为准，工程竣工验收人员全部撤离现场后仍然有配合监理和审计工作的义务，并能及时处理现场事务。</w:t>
      </w:r>
    </w:p>
    <w:p>
      <w:pPr>
        <w:pageBreakBefore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14. 竣工结算</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14.1 竣工付款申请</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u w:val="single"/>
        </w:rPr>
        <w:t>承包人在工程竣工后按本合同 3.1 条的有关内容递交竣工资料。竣工资料必须满足工程备案要求，送档案馆存档，否则按每迟一日向发包人支付 5000 元/天的违约金，同时发包人可拒绝递交审计或延期审计，由此带来的一切后果由承包人承担。工程竣工验收合格后 28 天内，承包人应向发包人递交完整的符合审计要求的结算资料，若承包人原因不能提交结算资料的，发包人有权拒绝或延期审计，承包人还必须赔偿发包人因此多交的所得税及其他费用，发包人有权拒付剩余工程款。</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14.2 竣工结算审核</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发包人审批竣工付款申请单的期限：</w:t>
      </w:r>
      <w:r>
        <w:rPr>
          <w:rFonts w:hint="eastAsia" w:ascii="宋体" w:hAnsi="宋体" w:eastAsia="宋体" w:cs="宋体"/>
          <w:bCs/>
          <w:snapToGrid w:val="0"/>
          <w:color w:val="auto"/>
          <w:kern w:val="0"/>
          <w:sz w:val="24"/>
          <w:szCs w:val="24"/>
          <w:highlight w:val="none"/>
          <w:u w:val="single"/>
        </w:rPr>
        <w:t xml:space="preserve"> 审计结束后30天内　</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发包人完成竣工付款的期限：</w:t>
      </w:r>
      <w:r>
        <w:rPr>
          <w:rFonts w:hint="eastAsia" w:ascii="宋体" w:hAnsi="宋体" w:eastAsia="宋体" w:cs="宋体"/>
          <w:bCs/>
          <w:snapToGrid w:val="0"/>
          <w:color w:val="auto"/>
          <w:kern w:val="0"/>
          <w:sz w:val="24"/>
          <w:szCs w:val="24"/>
          <w:highlight w:val="none"/>
          <w:u w:val="single"/>
        </w:rPr>
        <w:t>　发包人在签发竣工付款证书后30天内。</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关于竣工付款证书异议部分复核的方式和程序：</w:t>
      </w:r>
      <w:r>
        <w:rPr>
          <w:rFonts w:hint="eastAsia" w:ascii="宋体" w:hAnsi="宋体" w:eastAsia="宋体" w:cs="宋体"/>
          <w:bCs/>
          <w:snapToGrid w:val="0"/>
          <w:color w:val="auto"/>
          <w:kern w:val="0"/>
          <w:sz w:val="24"/>
          <w:szCs w:val="24"/>
          <w:highlight w:val="none"/>
          <w:u w:val="single"/>
        </w:rPr>
        <w:t>　由双方协商　</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14.</w:t>
      </w:r>
      <w:r>
        <w:rPr>
          <w:rFonts w:hint="eastAsia" w:ascii="宋体" w:hAnsi="宋体" w:eastAsia="宋体" w:cs="宋体"/>
          <w:bCs/>
          <w:snapToGrid w:val="0"/>
          <w:color w:val="auto"/>
          <w:kern w:val="0"/>
          <w:sz w:val="24"/>
          <w:szCs w:val="24"/>
          <w:highlight w:val="none"/>
          <w:lang w:val="en-US" w:eastAsia="zh-CN"/>
        </w:rPr>
        <w:t>3</w:t>
      </w:r>
      <w:r>
        <w:rPr>
          <w:rFonts w:hint="eastAsia" w:ascii="宋体" w:hAnsi="宋体" w:eastAsia="宋体" w:cs="宋体"/>
          <w:bCs/>
          <w:snapToGrid w:val="0"/>
          <w:color w:val="auto"/>
          <w:kern w:val="0"/>
          <w:sz w:val="24"/>
          <w:szCs w:val="24"/>
          <w:highlight w:val="none"/>
        </w:rPr>
        <w:t>最终结清</w:t>
      </w:r>
      <w:r>
        <w:rPr>
          <w:rFonts w:hint="eastAsia" w:ascii="宋体" w:hAnsi="宋体" w:eastAsia="宋体" w:cs="宋体"/>
          <w:bCs/>
          <w:snapToGrid w:val="0"/>
          <w:color w:val="auto"/>
          <w:kern w:val="0"/>
          <w:sz w:val="24"/>
          <w:szCs w:val="24"/>
          <w:highlight w:val="none"/>
          <w:u w:val="single"/>
        </w:rPr>
        <w:t xml:space="preserve">         /         </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14.</w:t>
      </w:r>
      <w:r>
        <w:rPr>
          <w:rFonts w:hint="eastAsia" w:ascii="宋体" w:hAnsi="宋体" w:eastAsia="宋体" w:cs="宋体"/>
          <w:bCs/>
          <w:snapToGrid w:val="0"/>
          <w:color w:val="auto"/>
          <w:kern w:val="0"/>
          <w:sz w:val="24"/>
          <w:szCs w:val="24"/>
          <w:highlight w:val="none"/>
          <w:lang w:val="en-US" w:eastAsia="zh-CN"/>
        </w:rPr>
        <w:t>3</w:t>
      </w:r>
      <w:r>
        <w:rPr>
          <w:rFonts w:hint="eastAsia" w:ascii="宋体" w:hAnsi="宋体" w:eastAsia="宋体" w:cs="宋体"/>
          <w:bCs/>
          <w:snapToGrid w:val="0"/>
          <w:color w:val="auto"/>
          <w:kern w:val="0"/>
          <w:sz w:val="24"/>
          <w:szCs w:val="24"/>
          <w:highlight w:val="none"/>
        </w:rPr>
        <w:t>.1 最终结清申请单</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承包人提交最终结清申请单的份数：</w:t>
      </w:r>
      <w:r>
        <w:rPr>
          <w:rFonts w:hint="eastAsia" w:ascii="宋体" w:hAnsi="宋体" w:eastAsia="宋体" w:cs="宋体"/>
          <w:bCs/>
          <w:snapToGrid w:val="0"/>
          <w:color w:val="auto"/>
          <w:kern w:val="0"/>
          <w:sz w:val="24"/>
          <w:szCs w:val="24"/>
          <w:highlight w:val="none"/>
          <w:u w:val="single"/>
        </w:rPr>
        <w:t xml:space="preserve">按发包人最终要求 </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承包人提交最终结算申请单的期限：</w:t>
      </w:r>
      <w:r>
        <w:rPr>
          <w:rFonts w:hint="eastAsia" w:ascii="宋体" w:hAnsi="宋体" w:eastAsia="宋体" w:cs="宋体"/>
          <w:bCs/>
          <w:snapToGrid w:val="0"/>
          <w:color w:val="auto"/>
          <w:kern w:val="0"/>
          <w:sz w:val="24"/>
          <w:szCs w:val="24"/>
          <w:highlight w:val="none"/>
          <w:u w:val="single"/>
        </w:rPr>
        <w:t>按通用条款　</w:t>
      </w:r>
      <w:r>
        <w:rPr>
          <w:rFonts w:hint="eastAsia" w:ascii="宋体" w:hAnsi="宋体" w:eastAsia="宋体" w:cs="宋体"/>
          <w:bCs/>
          <w:snapToGrid w:val="0"/>
          <w:color w:val="auto"/>
          <w:kern w:val="0"/>
          <w:sz w:val="24"/>
          <w:szCs w:val="24"/>
          <w:highlight w:val="none"/>
        </w:rPr>
        <w:t xml:space="preserve">。 </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14.</w:t>
      </w:r>
      <w:r>
        <w:rPr>
          <w:rFonts w:hint="eastAsia" w:ascii="宋体" w:hAnsi="宋体" w:eastAsia="宋体" w:cs="宋体"/>
          <w:bCs/>
          <w:snapToGrid w:val="0"/>
          <w:color w:val="auto"/>
          <w:kern w:val="0"/>
          <w:sz w:val="24"/>
          <w:szCs w:val="24"/>
          <w:highlight w:val="none"/>
          <w:lang w:val="en-US" w:eastAsia="zh-CN"/>
        </w:rPr>
        <w:t>3</w:t>
      </w:r>
      <w:r>
        <w:rPr>
          <w:rFonts w:hint="eastAsia" w:ascii="宋体" w:hAnsi="宋体" w:eastAsia="宋体" w:cs="宋体"/>
          <w:bCs/>
          <w:snapToGrid w:val="0"/>
          <w:color w:val="auto"/>
          <w:kern w:val="0"/>
          <w:sz w:val="24"/>
          <w:szCs w:val="24"/>
          <w:highlight w:val="none"/>
        </w:rPr>
        <w:t>.2 最终结清证书和支付</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（1）发包人完成最终结清申请单的审批并颁发最终结清证书的期限：</w:t>
      </w:r>
      <w:r>
        <w:rPr>
          <w:rFonts w:hint="eastAsia" w:ascii="宋体" w:hAnsi="宋体" w:eastAsia="宋体" w:cs="宋体"/>
          <w:bCs/>
          <w:snapToGrid w:val="0"/>
          <w:color w:val="auto"/>
          <w:kern w:val="0"/>
          <w:sz w:val="24"/>
          <w:szCs w:val="24"/>
          <w:highlight w:val="none"/>
          <w:u w:val="single"/>
        </w:rPr>
        <w:t>收到承包人提交的最终结清申请单后30天内</w:t>
      </w:r>
      <w:r>
        <w:rPr>
          <w:rFonts w:hint="eastAsia" w:ascii="宋体" w:hAnsi="宋体" w:eastAsia="宋体" w:cs="宋体"/>
          <w:bCs/>
          <w:snapToGrid w:val="0"/>
          <w:color w:val="auto"/>
          <w:kern w:val="0"/>
          <w:sz w:val="24"/>
          <w:szCs w:val="24"/>
          <w:highlight w:val="none"/>
        </w:rPr>
        <w:t xml:space="preserve"> 。</w:t>
      </w:r>
    </w:p>
    <w:p>
      <w:pPr>
        <w:pageBreakBefore w:val="0"/>
        <w:widowControl/>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（2）发包人完成支付的期限：</w:t>
      </w:r>
      <w:r>
        <w:rPr>
          <w:rFonts w:hint="eastAsia" w:ascii="宋体" w:hAnsi="宋体" w:eastAsia="宋体" w:cs="宋体"/>
          <w:bCs/>
          <w:snapToGrid w:val="0"/>
          <w:color w:val="auto"/>
          <w:kern w:val="0"/>
          <w:sz w:val="24"/>
          <w:szCs w:val="24"/>
          <w:highlight w:val="none"/>
          <w:u w:val="single"/>
        </w:rPr>
        <w:t xml:space="preserve"> 颁发最终结清证书后 30 天内　</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15. 缺陷责任期与保修</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15.</w:t>
      </w:r>
      <w:r>
        <w:rPr>
          <w:rFonts w:hint="eastAsia" w:ascii="宋体" w:hAnsi="宋体" w:eastAsia="宋体" w:cs="宋体"/>
          <w:bCs/>
          <w:snapToGrid w:val="0"/>
          <w:color w:val="auto"/>
          <w:kern w:val="0"/>
          <w:sz w:val="24"/>
          <w:szCs w:val="24"/>
          <w:highlight w:val="none"/>
          <w:lang w:val="en-US" w:eastAsia="zh-CN"/>
        </w:rPr>
        <w:t>1</w:t>
      </w:r>
      <w:r>
        <w:rPr>
          <w:rFonts w:hint="eastAsia" w:ascii="宋体" w:hAnsi="宋体" w:eastAsia="宋体" w:cs="宋体"/>
          <w:bCs/>
          <w:snapToGrid w:val="0"/>
          <w:color w:val="auto"/>
          <w:kern w:val="0"/>
          <w:sz w:val="24"/>
          <w:szCs w:val="24"/>
          <w:highlight w:val="none"/>
        </w:rPr>
        <w:t>缺陷责任期</w:t>
      </w:r>
    </w:p>
    <w:p>
      <w:pPr>
        <w:pageBreakBefore w:val="0"/>
        <w:widowControl/>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缺陷责任期的具体期限：</w:t>
      </w:r>
      <w:r>
        <w:rPr>
          <w:rFonts w:hint="eastAsia" w:ascii="宋体" w:hAnsi="宋体" w:eastAsia="宋体" w:cs="宋体"/>
          <w:bCs/>
          <w:snapToGrid w:val="0"/>
          <w:color w:val="auto"/>
          <w:kern w:val="0"/>
          <w:sz w:val="24"/>
          <w:szCs w:val="24"/>
          <w:highlight w:val="none"/>
          <w:u w:val="single"/>
        </w:rPr>
        <w:t xml:space="preserve">详见质量保修书  </w:t>
      </w:r>
      <w:r>
        <w:rPr>
          <w:rFonts w:hint="eastAsia" w:ascii="宋体" w:hAnsi="宋体" w:eastAsia="宋体" w:cs="宋体"/>
          <w:bCs/>
          <w:snapToGrid w:val="0"/>
          <w:color w:val="auto"/>
          <w:kern w:val="0"/>
          <w:sz w:val="24"/>
          <w:szCs w:val="24"/>
          <w:highlight w:val="none"/>
        </w:rPr>
        <w:t xml:space="preserve"> 。</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15.</w:t>
      </w:r>
      <w:r>
        <w:rPr>
          <w:rFonts w:hint="eastAsia" w:ascii="宋体" w:hAnsi="宋体" w:eastAsia="宋体" w:cs="宋体"/>
          <w:bCs/>
          <w:snapToGrid w:val="0"/>
          <w:color w:val="auto"/>
          <w:kern w:val="0"/>
          <w:sz w:val="24"/>
          <w:szCs w:val="24"/>
          <w:highlight w:val="none"/>
          <w:lang w:val="en-US" w:eastAsia="zh-CN"/>
        </w:rPr>
        <w:t>2</w:t>
      </w:r>
      <w:r>
        <w:rPr>
          <w:rFonts w:hint="eastAsia" w:ascii="宋体" w:hAnsi="宋体" w:eastAsia="宋体" w:cs="宋体"/>
          <w:bCs/>
          <w:snapToGrid w:val="0"/>
          <w:color w:val="auto"/>
          <w:kern w:val="0"/>
          <w:sz w:val="24"/>
          <w:szCs w:val="24"/>
          <w:highlight w:val="none"/>
        </w:rPr>
        <w:t xml:space="preserve"> 质量保修金</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关于是否扣留质量保修金的约定：</w:t>
      </w:r>
      <w:r>
        <w:rPr>
          <w:rFonts w:hint="eastAsia" w:ascii="宋体" w:hAnsi="宋体" w:eastAsia="宋体" w:cs="宋体"/>
          <w:bCs/>
          <w:snapToGrid w:val="0"/>
          <w:color w:val="auto"/>
          <w:kern w:val="0"/>
          <w:sz w:val="24"/>
          <w:szCs w:val="24"/>
          <w:highlight w:val="none"/>
          <w:u w:val="single"/>
        </w:rPr>
        <w:t>扣留</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15.</w:t>
      </w:r>
      <w:r>
        <w:rPr>
          <w:rFonts w:hint="eastAsia" w:ascii="宋体" w:hAnsi="宋体" w:eastAsia="宋体" w:cs="宋体"/>
          <w:bCs/>
          <w:snapToGrid w:val="0"/>
          <w:color w:val="auto"/>
          <w:kern w:val="0"/>
          <w:sz w:val="24"/>
          <w:szCs w:val="24"/>
          <w:highlight w:val="none"/>
          <w:lang w:val="en-US" w:eastAsia="zh-CN"/>
        </w:rPr>
        <w:t>2</w:t>
      </w:r>
      <w:r>
        <w:rPr>
          <w:rFonts w:hint="eastAsia" w:ascii="宋体" w:hAnsi="宋体" w:eastAsia="宋体" w:cs="宋体"/>
          <w:bCs/>
          <w:snapToGrid w:val="0"/>
          <w:color w:val="auto"/>
          <w:kern w:val="0"/>
          <w:sz w:val="24"/>
          <w:szCs w:val="24"/>
          <w:highlight w:val="none"/>
        </w:rPr>
        <w:t>.1 承包人提供质量保修金的方式</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质量保修金采用以下第</w:t>
      </w:r>
      <w:r>
        <w:rPr>
          <w:rFonts w:hint="eastAsia" w:ascii="宋体" w:hAnsi="宋体" w:eastAsia="宋体" w:cs="宋体"/>
          <w:bCs/>
          <w:snapToGrid w:val="0"/>
          <w:color w:val="auto"/>
          <w:kern w:val="0"/>
          <w:sz w:val="24"/>
          <w:szCs w:val="24"/>
          <w:highlight w:val="none"/>
          <w:u w:val="single"/>
        </w:rPr>
        <w:t xml:space="preserve">  （2） </w:t>
      </w:r>
      <w:r>
        <w:rPr>
          <w:rFonts w:hint="eastAsia" w:ascii="宋体" w:hAnsi="宋体" w:eastAsia="宋体" w:cs="宋体"/>
          <w:bCs/>
          <w:snapToGrid w:val="0"/>
          <w:color w:val="auto"/>
          <w:kern w:val="0"/>
          <w:sz w:val="24"/>
          <w:szCs w:val="24"/>
          <w:highlight w:val="none"/>
        </w:rPr>
        <w:t>种方式：</w:t>
      </w:r>
    </w:p>
    <w:p>
      <w:pPr>
        <w:pageBreakBefore w:val="0"/>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（1）质量保修金保函，保证金额为：</w:t>
      </w:r>
      <w:r>
        <w:rPr>
          <w:rFonts w:hint="eastAsia" w:ascii="宋体" w:hAnsi="宋体" w:eastAsia="宋体" w:cs="宋体"/>
          <w:bCs/>
          <w:snapToGrid w:val="0"/>
          <w:color w:val="auto"/>
          <w:kern w:val="0"/>
          <w:sz w:val="24"/>
          <w:szCs w:val="24"/>
          <w:highlight w:val="none"/>
          <w:u w:val="single"/>
        </w:rPr>
        <w:t xml:space="preserve">   /  </w:t>
      </w:r>
      <w:r>
        <w:rPr>
          <w:rFonts w:hint="eastAsia" w:ascii="宋体" w:hAnsi="宋体" w:eastAsia="宋体" w:cs="宋体"/>
          <w:bCs/>
          <w:snapToGrid w:val="0"/>
          <w:color w:val="auto"/>
          <w:kern w:val="0"/>
          <w:sz w:val="24"/>
          <w:szCs w:val="24"/>
          <w:highlight w:val="none"/>
        </w:rPr>
        <w:t xml:space="preserve">； </w:t>
      </w:r>
    </w:p>
    <w:p>
      <w:pPr>
        <w:pageBreakBefore w:val="0"/>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w:t>
      </w:r>
      <w:r>
        <w:rPr>
          <w:rFonts w:hint="eastAsia" w:ascii="宋体" w:hAnsi="宋体" w:eastAsia="宋体" w:cs="宋体"/>
          <w:bCs/>
          <w:snapToGrid w:val="0"/>
          <w:color w:val="auto"/>
          <w:kern w:val="0"/>
          <w:sz w:val="24"/>
          <w:szCs w:val="24"/>
          <w:highlight w:val="none"/>
          <w:u w:val="single"/>
        </w:rPr>
        <w:t xml:space="preserve">  3  </w:t>
      </w:r>
      <w:r>
        <w:rPr>
          <w:rFonts w:hint="eastAsia" w:ascii="宋体" w:hAnsi="宋体" w:eastAsia="宋体" w:cs="宋体"/>
          <w:bCs/>
          <w:snapToGrid w:val="0"/>
          <w:color w:val="auto"/>
          <w:kern w:val="0"/>
          <w:sz w:val="24"/>
          <w:szCs w:val="24"/>
          <w:highlight w:val="none"/>
        </w:rPr>
        <w:t>%的工程总价（审计后）；</w:t>
      </w:r>
    </w:p>
    <w:p>
      <w:pPr>
        <w:pageBreakBefore w:val="0"/>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（3）其他方式:</w:t>
      </w:r>
      <w:r>
        <w:rPr>
          <w:rFonts w:hint="eastAsia" w:ascii="宋体" w:hAnsi="宋体" w:eastAsia="宋体" w:cs="宋体"/>
          <w:bCs/>
          <w:snapToGrid w:val="0"/>
          <w:color w:val="auto"/>
          <w:kern w:val="0"/>
          <w:sz w:val="24"/>
          <w:szCs w:val="24"/>
          <w:highlight w:val="none"/>
          <w:u w:val="single"/>
        </w:rPr>
        <w:t xml:space="preserve">     /    </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15.</w:t>
      </w:r>
      <w:r>
        <w:rPr>
          <w:rFonts w:hint="eastAsia" w:ascii="宋体" w:hAnsi="宋体" w:eastAsia="宋体" w:cs="宋体"/>
          <w:bCs/>
          <w:snapToGrid w:val="0"/>
          <w:color w:val="auto"/>
          <w:kern w:val="0"/>
          <w:sz w:val="24"/>
          <w:szCs w:val="24"/>
          <w:highlight w:val="none"/>
          <w:lang w:val="en-US" w:eastAsia="zh-CN"/>
        </w:rPr>
        <w:t>2</w:t>
      </w:r>
      <w:r>
        <w:rPr>
          <w:rFonts w:hint="eastAsia" w:ascii="宋体" w:hAnsi="宋体" w:eastAsia="宋体" w:cs="宋体"/>
          <w:bCs/>
          <w:snapToGrid w:val="0"/>
          <w:color w:val="auto"/>
          <w:kern w:val="0"/>
          <w:sz w:val="24"/>
          <w:szCs w:val="24"/>
          <w:highlight w:val="none"/>
        </w:rPr>
        <w:t xml:space="preserve">.2 质量保修金的扣留 </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质量保修金的扣留采取以下第</w:t>
      </w:r>
      <w:r>
        <w:rPr>
          <w:rFonts w:hint="eastAsia" w:ascii="宋体" w:hAnsi="宋体" w:eastAsia="宋体" w:cs="宋体"/>
          <w:bCs/>
          <w:snapToGrid w:val="0"/>
          <w:color w:val="auto"/>
          <w:kern w:val="0"/>
          <w:sz w:val="24"/>
          <w:szCs w:val="24"/>
          <w:highlight w:val="none"/>
          <w:u w:val="single"/>
        </w:rPr>
        <w:t xml:space="preserve">（2） </w:t>
      </w:r>
      <w:r>
        <w:rPr>
          <w:rFonts w:hint="eastAsia" w:ascii="宋体" w:hAnsi="宋体" w:eastAsia="宋体" w:cs="宋体"/>
          <w:bCs/>
          <w:snapToGrid w:val="0"/>
          <w:color w:val="auto"/>
          <w:kern w:val="0"/>
          <w:sz w:val="24"/>
          <w:szCs w:val="24"/>
          <w:highlight w:val="none"/>
        </w:rPr>
        <w:t>种方式：</w:t>
      </w:r>
    </w:p>
    <w:p>
      <w:pPr>
        <w:pageBreakBefore w:val="0"/>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（1）在支付工程进度款时逐次扣留，在此情形下，质量保修金的计算基数不包括预付款的支付、扣回以及价格调整的金额；</w:t>
      </w:r>
    </w:p>
    <w:p>
      <w:pPr>
        <w:pageBreakBefore w:val="0"/>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（2）工程竣工结算时一次性扣留质量保修金；</w:t>
      </w:r>
    </w:p>
    <w:p>
      <w:pPr>
        <w:pageBreakBefore w:val="0"/>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（3）其他扣留方式:</w:t>
      </w:r>
      <w:r>
        <w:rPr>
          <w:rFonts w:hint="eastAsia" w:ascii="宋体" w:hAnsi="宋体" w:eastAsia="宋体" w:cs="宋体"/>
          <w:bCs/>
          <w:snapToGrid w:val="0"/>
          <w:color w:val="auto"/>
          <w:kern w:val="0"/>
          <w:sz w:val="24"/>
          <w:szCs w:val="24"/>
          <w:highlight w:val="none"/>
          <w:u w:val="single"/>
        </w:rPr>
        <w:t xml:space="preserve">     /     </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关于质量保修金的补充约定：</w:t>
      </w:r>
      <w:r>
        <w:rPr>
          <w:rFonts w:hint="eastAsia" w:ascii="宋体" w:hAnsi="宋体" w:eastAsia="宋体" w:cs="宋体"/>
          <w:bCs/>
          <w:snapToGrid w:val="0"/>
          <w:color w:val="auto"/>
          <w:kern w:val="0"/>
          <w:sz w:val="24"/>
          <w:szCs w:val="24"/>
          <w:highlight w:val="none"/>
          <w:u w:val="single"/>
        </w:rPr>
        <w:t xml:space="preserve">待保修期满无质量问题后无息返还 </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15.</w:t>
      </w:r>
      <w:r>
        <w:rPr>
          <w:rFonts w:hint="eastAsia" w:ascii="宋体" w:hAnsi="宋体" w:eastAsia="宋体" w:cs="宋体"/>
          <w:bCs/>
          <w:snapToGrid w:val="0"/>
          <w:color w:val="auto"/>
          <w:kern w:val="0"/>
          <w:sz w:val="24"/>
          <w:szCs w:val="24"/>
          <w:highlight w:val="none"/>
          <w:lang w:val="en-US" w:eastAsia="zh-CN"/>
        </w:rPr>
        <w:t>3</w:t>
      </w:r>
      <w:r>
        <w:rPr>
          <w:rFonts w:hint="eastAsia" w:ascii="宋体" w:hAnsi="宋体" w:eastAsia="宋体" w:cs="宋体"/>
          <w:bCs/>
          <w:snapToGrid w:val="0"/>
          <w:color w:val="auto"/>
          <w:kern w:val="0"/>
          <w:sz w:val="24"/>
          <w:szCs w:val="24"/>
          <w:highlight w:val="none"/>
        </w:rPr>
        <w:t>保修</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15.</w:t>
      </w:r>
      <w:r>
        <w:rPr>
          <w:rFonts w:hint="eastAsia" w:ascii="宋体" w:hAnsi="宋体" w:eastAsia="宋体" w:cs="宋体"/>
          <w:bCs/>
          <w:snapToGrid w:val="0"/>
          <w:color w:val="auto"/>
          <w:kern w:val="0"/>
          <w:sz w:val="24"/>
          <w:szCs w:val="24"/>
          <w:highlight w:val="none"/>
          <w:lang w:val="en-US" w:eastAsia="zh-CN"/>
        </w:rPr>
        <w:t>3</w:t>
      </w:r>
      <w:r>
        <w:rPr>
          <w:rFonts w:hint="eastAsia" w:ascii="宋体" w:hAnsi="宋体" w:eastAsia="宋体" w:cs="宋体"/>
          <w:bCs/>
          <w:snapToGrid w:val="0"/>
          <w:color w:val="auto"/>
          <w:kern w:val="0"/>
          <w:sz w:val="24"/>
          <w:szCs w:val="24"/>
          <w:highlight w:val="none"/>
        </w:rPr>
        <w:t>.1 保修责任</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工程保修期为：</w:t>
      </w:r>
      <w:r>
        <w:rPr>
          <w:rFonts w:hint="eastAsia" w:ascii="宋体" w:hAnsi="宋体" w:eastAsia="宋体" w:cs="宋体"/>
          <w:bCs/>
          <w:snapToGrid w:val="0"/>
          <w:color w:val="auto"/>
          <w:kern w:val="0"/>
          <w:sz w:val="24"/>
          <w:szCs w:val="24"/>
          <w:highlight w:val="none"/>
          <w:u w:val="single"/>
        </w:rPr>
        <w:t xml:space="preserve">见工程质量保修书 </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15.</w:t>
      </w:r>
      <w:r>
        <w:rPr>
          <w:rFonts w:hint="eastAsia" w:ascii="宋体" w:hAnsi="宋体" w:eastAsia="宋体" w:cs="宋体"/>
          <w:bCs/>
          <w:snapToGrid w:val="0"/>
          <w:color w:val="auto"/>
          <w:kern w:val="0"/>
          <w:sz w:val="24"/>
          <w:szCs w:val="24"/>
          <w:highlight w:val="none"/>
          <w:lang w:val="en-US" w:eastAsia="zh-CN"/>
        </w:rPr>
        <w:t>3</w:t>
      </w:r>
      <w:r>
        <w:rPr>
          <w:rFonts w:hint="eastAsia" w:ascii="宋体" w:hAnsi="宋体" w:eastAsia="宋体" w:cs="宋体"/>
          <w:bCs/>
          <w:snapToGrid w:val="0"/>
          <w:color w:val="auto"/>
          <w:kern w:val="0"/>
          <w:sz w:val="24"/>
          <w:szCs w:val="24"/>
          <w:highlight w:val="none"/>
        </w:rPr>
        <w:t>.3 修复通知</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承包人收到保修通知并到达工程现场的合理时间：</w:t>
      </w:r>
      <w:r>
        <w:rPr>
          <w:rFonts w:hint="eastAsia" w:ascii="宋体" w:hAnsi="宋体" w:eastAsia="宋体" w:cs="宋体"/>
          <w:bCs/>
          <w:snapToGrid w:val="0"/>
          <w:color w:val="auto"/>
          <w:kern w:val="0"/>
          <w:sz w:val="24"/>
          <w:szCs w:val="24"/>
          <w:highlight w:val="none"/>
          <w:u w:val="single"/>
        </w:rPr>
        <w:t>收到通知后8小时内</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16. 违约</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16.1 发包人违约</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16.1.1发包人违约的情形</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发包人违约的其他情形：</w:t>
      </w:r>
      <w:r>
        <w:rPr>
          <w:rFonts w:hint="eastAsia" w:ascii="宋体" w:hAnsi="宋体" w:eastAsia="宋体" w:cs="宋体"/>
          <w:bCs/>
          <w:snapToGrid w:val="0"/>
          <w:color w:val="auto"/>
          <w:kern w:val="0"/>
          <w:sz w:val="24"/>
          <w:szCs w:val="24"/>
          <w:highlight w:val="none"/>
          <w:u w:val="single"/>
        </w:rPr>
        <w:t xml:space="preserve">         /          </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16.1.2 发包人违约的责任</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发包人违约责任的承担方式和计算方法：</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rPr>
        <w:t>（1）因发包人原因未能在计划开工日期前7天内下达开工通知的违约责任：</w:t>
      </w:r>
      <w:r>
        <w:rPr>
          <w:rFonts w:hint="eastAsia" w:ascii="宋体" w:hAnsi="宋体" w:eastAsia="宋体" w:cs="宋体"/>
          <w:bCs/>
          <w:snapToGrid w:val="0"/>
          <w:color w:val="auto"/>
          <w:kern w:val="0"/>
          <w:sz w:val="24"/>
          <w:szCs w:val="24"/>
          <w:highlight w:val="none"/>
          <w:u w:val="single"/>
        </w:rPr>
        <w:t xml:space="preserve">    双方另行协商</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（2）因发包人原因未能按合同约定支付合同价款的违约责任：</w:t>
      </w:r>
      <w:r>
        <w:rPr>
          <w:rFonts w:hint="eastAsia" w:ascii="宋体" w:hAnsi="宋体" w:eastAsia="宋体" w:cs="宋体"/>
          <w:bCs/>
          <w:snapToGrid w:val="0"/>
          <w:color w:val="auto"/>
          <w:kern w:val="0"/>
          <w:sz w:val="24"/>
          <w:szCs w:val="24"/>
          <w:highlight w:val="none"/>
          <w:u w:val="single"/>
        </w:rPr>
        <w:t>双方另行协商</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bCs/>
          <w:snapToGrid w:val="0"/>
          <w:color w:val="auto"/>
          <w:kern w:val="0"/>
          <w:sz w:val="24"/>
          <w:szCs w:val="24"/>
          <w:highlight w:val="none"/>
          <w:u w:val="single"/>
        </w:rPr>
        <w:t>双方另行协商</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bCs/>
          <w:snapToGrid w:val="0"/>
          <w:color w:val="auto"/>
          <w:kern w:val="0"/>
          <w:sz w:val="24"/>
          <w:szCs w:val="24"/>
          <w:highlight w:val="none"/>
          <w:u w:val="single"/>
        </w:rPr>
        <w:t xml:space="preserve">双方另行协商 </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（5）因发包人违反合同约定造成暂停施工的违约责任：</w:t>
      </w:r>
      <w:r>
        <w:rPr>
          <w:rFonts w:hint="eastAsia" w:ascii="宋体" w:hAnsi="宋体" w:eastAsia="宋体" w:cs="宋体"/>
          <w:bCs/>
          <w:snapToGrid w:val="0"/>
          <w:color w:val="auto"/>
          <w:kern w:val="0"/>
          <w:sz w:val="24"/>
          <w:szCs w:val="24"/>
          <w:highlight w:val="none"/>
          <w:u w:val="single"/>
        </w:rPr>
        <w:t>双方另行协商</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（6）发包人无正当理由没有在约定期限内发出复工指示，导致承包人无法复工的违约责任：</w:t>
      </w:r>
      <w:r>
        <w:rPr>
          <w:rFonts w:hint="eastAsia" w:ascii="宋体" w:hAnsi="宋体" w:eastAsia="宋体" w:cs="宋体"/>
          <w:bCs/>
          <w:snapToGrid w:val="0"/>
          <w:color w:val="auto"/>
          <w:kern w:val="0"/>
          <w:sz w:val="24"/>
          <w:szCs w:val="24"/>
          <w:highlight w:val="none"/>
          <w:u w:val="single"/>
        </w:rPr>
        <w:t>双方另行协商</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（7）其他：</w:t>
      </w:r>
      <w:r>
        <w:rPr>
          <w:rFonts w:hint="eastAsia" w:ascii="宋体" w:hAnsi="宋体" w:eastAsia="宋体" w:cs="宋体"/>
          <w:bCs/>
          <w:snapToGrid w:val="0"/>
          <w:color w:val="auto"/>
          <w:kern w:val="0"/>
          <w:sz w:val="24"/>
          <w:szCs w:val="24"/>
          <w:highlight w:val="none"/>
          <w:u w:val="single"/>
        </w:rPr>
        <w:t xml:space="preserve">        /         </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16.1.3 因发包人违约解除合同</w:t>
      </w:r>
    </w:p>
    <w:p>
      <w:pPr>
        <w:pageBreakBefore w:val="0"/>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承包人按16.1.1项〔发包人违约的情形〕约定暂停施工满</w:t>
      </w:r>
      <w:r>
        <w:rPr>
          <w:rFonts w:hint="eastAsia" w:ascii="宋体" w:hAnsi="宋体" w:eastAsia="宋体" w:cs="宋体"/>
          <w:bCs/>
          <w:snapToGrid w:val="0"/>
          <w:color w:val="auto"/>
          <w:kern w:val="0"/>
          <w:sz w:val="24"/>
          <w:szCs w:val="24"/>
          <w:highlight w:val="none"/>
          <w:u w:val="single"/>
        </w:rPr>
        <w:t xml:space="preserve">   /      </w:t>
      </w:r>
      <w:r>
        <w:rPr>
          <w:rFonts w:hint="eastAsia" w:ascii="宋体" w:hAnsi="宋体" w:eastAsia="宋体" w:cs="宋体"/>
          <w:bCs/>
          <w:snapToGrid w:val="0"/>
          <w:color w:val="auto"/>
          <w:kern w:val="0"/>
          <w:sz w:val="24"/>
          <w:szCs w:val="24"/>
          <w:highlight w:val="none"/>
        </w:rPr>
        <w:t>天后发包人仍不纠正其违约行为并致使合同目的不能实现的，承包人有权解除合同。</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16.2 承包人违约</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16.2.1 承包人违约的情形</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承包人违约的其他情形：</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u w:val="single"/>
        </w:rPr>
        <w:t>（1）若因承包人原因未按发包人指定的时间开工，则按延期每天2000元向发包人缴纳违约金；若超过七天（含七天），则按延期每天5000元向发包人缴纳违约金；若超过十五天（含十五天），发包人有权解除合同，全部履约保证金不予退还。</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u w:val="single"/>
        </w:rPr>
        <w:t>（2）承包人必须服从发包人和监理工程师的管理监督，若施工过程中或工程竣工验收时发现由于承包人原因出现严重的安全、质量事故，或在发包人规定的整改期限内达不到整改</w:t>
      </w:r>
      <w:r>
        <w:rPr>
          <w:rFonts w:hint="eastAsia" w:ascii="宋体" w:hAnsi="宋体" w:eastAsia="宋体" w:cs="宋体"/>
          <w:bCs/>
          <w:snapToGrid w:val="0"/>
          <w:color w:val="auto"/>
          <w:kern w:val="0"/>
          <w:sz w:val="24"/>
          <w:szCs w:val="24"/>
          <w:highlight w:val="none"/>
          <w:u w:val="single"/>
          <w:lang w:eastAsia="zh-CN"/>
        </w:rPr>
        <w:t>要求</w:t>
      </w:r>
      <w:r>
        <w:rPr>
          <w:rFonts w:hint="eastAsia" w:ascii="宋体" w:hAnsi="宋体" w:eastAsia="宋体" w:cs="宋体"/>
          <w:bCs/>
          <w:snapToGrid w:val="0"/>
          <w:color w:val="auto"/>
          <w:kern w:val="0"/>
          <w:sz w:val="24"/>
          <w:szCs w:val="24"/>
          <w:highlight w:val="none"/>
          <w:u w:val="single"/>
        </w:rPr>
        <w:t>，或明显无法按期完工的或造成施工质量存在严重缺陷责令停工和返工，承包人拒绝返工的；则发包人有权解除合同，并限令退场，全部履约保证金不予退还，对已完工程量，按已验收合格工程量的60%结算工程价款，还应承担赔偿发包人损失的责任。</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u w:val="single"/>
        </w:rPr>
        <w:t>（3）若承包人在施工过程中出现质量问题，除责令整改外，发包人可要求承包人根据质量问题的严重程度按每起1-5万元向发包人缴纳违约金，并且发包人可视情形根据本合同其他约定行使有关解除合同的权利。</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u w:val="single"/>
        </w:rPr>
        <w:t xml:space="preserve">（4）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 </w:t>
      </w:r>
    </w:p>
    <w:p>
      <w:pPr>
        <w:keepNext/>
        <w:keepLines/>
        <w:pageBreakBefore w:val="0"/>
        <w:kinsoku/>
        <w:wordWrap/>
        <w:overflowPunct/>
        <w:topLinePunct w:val="0"/>
        <w:bidi w:val="0"/>
        <w:adjustRightInd/>
        <w:snapToGrid/>
        <w:spacing w:line="360" w:lineRule="auto"/>
        <w:ind w:right="0" w:firstLine="480" w:firstLineChars="200"/>
        <w:textAlignment w:val="auto"/>
        <w:outlineLvl w:val="3"/>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u w:val="single"/>
        </w:rPr>
        <w:t>（5）无论任何理由，承包人未经发包人许可不得擅自停工，否则发包人有权单方面解除合同，并要求承包人限期退场，承包人接到退场通知后必须无条件退场，对已完工程量，按已验收合格工程量的60%结算工程价款，全额履约保证金不予退还。承包人不按期退场的，每拖延一天，应向发包人缴纳违约金人民币5000元。</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16.2.2承包人违约的责任</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承包人违约责任的承担方式和计算方法：</w:t>
      </w:r>
      <w:r>
        <w:rPr>
          <w:rFonts w:hint="eastAsia" w:ascii="宋体" w:hAnsi="宋体" w:eastAsia="宋体" w:cs="宋体"/>
          <w:bCs/>
          <w:snapToGrid w:val="0"/>
          <w:color w:val="auto"/>
          <w:kern w:val="0"/>
          <w:sz w:val="24"/>
          <w:szCs w:val="24"/>
          <w:highlight w:val="none"/>
          <w:u w:val="single"/>
        </w:rPr>
        <w:t>由承包人按本协议约定支付违约金或赔偿发包人全部经济损失并承担相关法律责任</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16.2.3 因承包人违约解除合同</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关于承包人违约解除合同的特别约定：</w:t>
      </w:r>
      <w:r>
        <w:rPr>
          <w:rFonts w:hint="eastAsia" w:ascii="宋体" w:hAnsi="宋体" w:eastAsia="宋体" w:cs="宋体"/>
          <w:bCs/>
          <w:snapToGrid w:val="0"/>
          <w:color w:val="auto"/>
          <w:kern w:val="0"/>
          <w:sz w:val="24"/>
          <w:szCs w:val="24"/>
          <w:highlight w:val="none"/>
          <w:u w:val="single"/>
        </w:rPr>
        <w:t>按通用条款执行</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bCs/>
          <w:snapToGrid w:val="0"/>
          <w:color w:val="auto"/>
          <w:kern w:val="0"/>
          <w:sz w:val="24"/>
          <w:szCs w:val="24"/>
          <w:highlight w:val="none"/>
          <w:u w:val="single"/>
        </w:rPr>
        <w:t>：另行协商</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 xml:space="preserve">17. 不可抗力 </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17.1 不可抗力的确认</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rPr>
        <w:t>除通用合同条款约定的不可抗力事件之外，视为不可抗力的其他情形：</w:t>
      </w:r>
      <w:r>
        <w:rPr>
          <w:rFonts w:hint="eastAsia" w:ascii="宋体" w:hAnsi="宋体" w:eastAsia="宋体" w:cs="宋体"/>
          <w:bCs/>
          <w:snapToGrid w:val="0"/>
          <w:color w:val="auto"/>
          <w:kern w:val="0"/>
          <w:sz w:val="24"/>
          <w:szCs w:val="24"/>
          <w:highlight w:val="none"/>
          <w:u w:val="single"/>
        </w:rPr>
        <w:t xml:space="preserve"> 无 </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17.4 因不可抗力解除合同</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合同解除后，发包人应在商定或确定发包人应支付款项后</w:t>
      </w:r>
      <w:r>
        <w:rPr>
          <w:rFonts w:hint="eastAsia" w:ascii="宋体" w:hAnsi="宋体" w:eastAsia="宋体" w:cs="宋体"/>
          <w:bCs/>
          <w:snapToGrid w:val="0"/>
          <w:color w:val="auto"/>
          <w:kern w:val="0"/>
          <w:sz w:val="24"/>
          <w:szCs w:val="24"/>
          <w:highlight w:val="none"/>
          <w:u w:val="single"/>
        </w:rPr>
        <w:t>按通用条款</w:t>
      </w:r>
      <w:r>
        <w:rPr>
          <w:rFonts w:hint="eastAsia" w:ascii="宋体" w:hAnsi="宋体" w:eastAsia="宋体" w:cs="宋体"/>
          <w:bCs/>
          <w:snapToGrid w:val="0"/>
          <w:color w:val="auto"/>
          <w:kern w:val="0"/>
          <w:sz w:val="24"/>
          <w:szCs w:val="24"/>
          <w:highlight w:val="none"/>
        </w:rPr>
        <w:t>天内完成款项的支付。</w:t>
      </w:r>
    </w:p>
    <w:p>
      <w:pPr>
        <w:pageBreakBefore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18. 保险</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18.1 工程保险</w:t>
      </w:r>
    </w:p>
    <w:p>
      <w:pPr>
        <w:pageBreakBefore w:val="0"/>
        <w:tabs>
          <w:tab w:val="left" w:pos="835"/>
          <w:tab w:val="left" w:pos="5430"/>
        </w:tabs>
        <w:kinsoku/>
        <w:wordWrap/>
        <w:overflowPunct/>
        <w:topLinePunct w:val="0"/>
        <w:autoSpaceDE w:val="0"/>
        <w:autoSpaceDN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关于工程保险的特别约定：</w:t>
      </w:r>
    </w:p>
    <w:p>
      <w:pPr>
        <w:pageBreakBefore w:val="0"/>
        <w:tabs>
          <w:tab w:val="left" w:pos="835"/>
          <w:tab w:val="left" w:pos="5430"/>
        </w:tabs>
        <w:kinsoku/>
        <w:wordWrap/>
        <w:overflowPunct/>
        <w:topLinePunct w:val="0"/>
        <w:autoSpaceDE w:val="0"/>
        <w:autoSpaceDN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u w:val="single"/>
        </w:rPr>
        <w:t>承包人投保内容：从事危险作业职工的意外伤害险、施工场地内自有人员的生命财产险、施工机械设备的财产险、第三人人员的生命财产险、运至施工场地内用于工程的材料和待安装设备的财产险</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18.3 其他保险</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关于其他保险的约定：</w:t>
      </w:r>
      <w:r>
        <w:rPr>
          <w:rFonts w:hint="eastAsia" w:ascii="宋体" w:hAnsi="宋体" w:eastAsia="宋体" w:cs="宋体"/>
          <w:bCs/>
          <w:snapToGrid w:val="0"/>
          <w:color w:val="auto"/>
          <w:kern w:val="0"/>
          <w:sz w:val="24"/>
          <w:szCs w:val="24"/>
          <w:highlight w:val="none"/>
          <w:u w:val="single"/>
        </w:rPr>
        <w:t>承包人必须按规定办理由承包人投保的一切保险（包括但不限于工程施工期间的工程一切险、工程第三方责任险、人身意外险等）。如不办理，一切责任由承包人自行负责</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承包人是否应为其施工设备等办理财产保险：</w:t>
      </w:r>
      <w:r>
        <w:rPr>
          <w:rFonts w:hint="eastAsia" w:ascii="宋体" w:hAnsi="宋体" w:eastAsia="宋体" w:cs="宋体"/>
          <w:bCs/>
          <w:snapToGrid w:val="0"/>
          <w:color w:val="auto"/>
          <w:kern w:val="0"/>
          <w:sz w:val="24"/>
          <w:szCs w:val="24"/>
          <w:highlight w:val="none"/>
          <w:u w:val="single"/>
        </w:rPr>
        <w:t xml:space="preserve">是 </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18.7 通知义务</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 xml:space="preserve">   关于变更保险合同时的通知义务的约定：</w:t>
      </w:r>
      <w:r>
        <w:rPr>
          <w:rFonts w:hint="eastAsia" w:ascii="宋体" w:hAnsi="宋体" w:eastAsia="宋体" w:cs="宋体"/>
          <w:bCs/>
          <w:snapToGrid w:val="0"/>
          <w:color w:val="auto"/>
          <w:kern w:val="0"/>
          <w:sz w:val="24"/>
          <w:szCs w:val="24"/>
          <w:highlight w:val="none"/>
          <w:u w:val="single"/>
        </w:rPr>
        <w:t xml:space="preserve">按通用条款执行 </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20. 争议解决</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20.</w:t>
      </w:r>
      <w:r>
        <w:rPr>
          <w:rFonts w:hint="eastAsia" w:ascii="宋体" w:hAnsi="宋体" w:eastAsia="宋体" w:cs="宋体"/>
          <w:bCs/>
          <w:snapToGrid w:val="0"/>
          <w:color w:val="auto"/>
          <w:kern w:val="0"/>
          <w:sz w:val="24"/>
          <w:szCs w:val="24"/>
          <w:highlight w:val="none"/>
          <w:lang w:val="en-US" w:eastAsia="zh-CN"/>
        </w:rPr>
        <w:t>1</w:t>
      </w:r>
      <w:r>
        <w:rPr>
          <w:rFonts w:hint="eastAsia" w:ascii="宋体" w:hAnsi="宋体" w:eastAsia="宋体" w:cs="宋体"/>
          <w:bCs/>
          <w:snapToGrid w:val="0"/>
          <w:color w:val="auto"/>
          <w:kern w:val="0"/>
          <w:sz w:val="24"/>
          <w:szCs w:val="24"/>
          <w:highlight w:val="none"/>
        </w:rPr>
        <w:t xml:space="preserve"> 争议评审</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合同当事人是否同意将工程争议提交争议评审小组决定：</w:t>
      </w:r>
      <w:r>
        <w:rPr>
          <w:rFonts w:hint="eastAsia" w:ascii="宋体" w:hAnsi="宋体" w:eastAsia="宋体" w:cs="宋体"/>
          <w:bCs/>
          <w:snapToGrid w:val="0"/>
          <w:color w:val="auto"/>
          <w:kern w:val="0"/>
          <w:sz w:val="24"/>
          <w:szCs w:val="24"/>
          <w:highlight w:val="none"/>
          <w:u w:val="single"/>
        </w:rPr>
        <w:t xml:space="preserve">同意 </w:t>
      </w:r>
      <w:r>
        <w:rPr>
          <w:rFonts w:hint="eastAsia" w:ascii="宋体" w:hAnsi="宋体" w:eastAsia="宋体" w:cs="宋体"/>
          <w:bCs/>
          <w:snapToGrid w:val="0"/>
          <w:color w:val="auto"/>
          <w:kern w:val="0"/>
          <w:sz w:val="24"/>
          <w:szCs w:val="24"/>
          <w:highlight w:val="none"/>
        </w:rPr>
        <w:t xml:space="preserve">。  </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20.</w:t>
      </w:r>
      <w:r>
        <w:rPr>
          <w:rFonts w:hint="eastAsia" w:ascii="宋体" w:hAnsi="宋体" w:eastAsia="宋体" w:cs="宋体"/>
          <w:bCs/>
          <w:snapToGrid w:val="0"/>
          <w:color w:val="auto"/>
          <w:kern w:val="0"/>
          <w:sz w:val="24"/>
          <w:szCs w:val="24"/>
          <w:highlight w:val="none"/>
          <w:lang w:val="en-US" w:eastAsia="zh-CN"/>
        </w:rPr>
        <w:t>1</w:t>
      </w:r>
      <w:r>
        <w:rPr>
          <w:rFonts w:hint="eastAsia" w:ascii="宋体" w:hAnsi="宋体" w:eastAsia="宋体" w:cs="宋体"/>
          <w:bCs/>
          <w:snapToGrid w:val="0"/>
          <w:color w:val="auto"/>
          <w:kern w:val="0"/>
          <w:sz w:val="24"/>
          <w:szCs w:val="24"/>
          <w:highlight w:val="none"/>
        </w:rPr>
        <w:t>.1 争议评审小组的确定</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rPr>
        <w:t>争议评审小组成员的确定：</w:t>
      </w:r>
      <w:r>
        <w:rPr>
          <w:rFonts w:hint="eastAsia" w:ascii="宋体" w:hAnsi="宋体" w:eastAsia="宋体" w:cs="宋体"/>
          <w:bCs/>
          <w:snapToGrid w:val="0"/>
          <w:color w:val="auto"/>
          <w:kern w:val="0"/>
          <w:sz w:val="24"/>
          <w:szCs w:val="24"/>
          <w:highlight w:val="none"/>
          <w:u w:val="single"/>
        </w:rPr>
        <w:t>按通用条款执行</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选定争议评审员的期限：</w:t>
      </w:r>
      <w:r>
        <w:rPr>
          <w:rFonts w:hint="eastAsia" w:ascii="宋体" w:hAnsi="宋体" w:eastAsia="宋体" w:cs="宋体"/>
          <w:bCs/>
          <w:snapToGrid w:val="0"/>
          <w:color w:val="auto"/>
          <w:kern w:val="0"/>
          <w:sz w:val="24"/>
          <w:szCs w:val="24"/>
          <w:highlight w:val="none"/>
          <w:u w:val="single"/>
        </w:rPr>
        <w:t>按通用条款执行</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争议评审小组成员的报酬承担方式：</w:t>
      </w:r>
      <w:r>
        <w:rPr>
          <w:rFonts w:hint="eastAsia" w:ascii="宋体" w:hAnsi="宋体" w:eastAsia="宋体" w:cs="宋体"/>
          <w:bCs/>
          <w:snapToGrid w:val="0"/>
          <w:color w:val="auto"/>
          <w:kern w:val="0"/>
          <w:sz w:val="24"/>
          <w:szCs w:val="24"/>
          <w:highlight w:val="none"/>
          <w:u w:val="single"/>
        </w:rPr>
        <w:t xml:space="preserve">  按通用条款执行</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其他事项的约定：</w:t>
      </w:r>
      <w:r>
        <w:rPr>
          <w:rFonts w:hint="eastAsia" w:ascii="宋体" w:hAnsi="宋体" w:eastAsia="宋体" w:cs="宋体"/>
          <w:bCs/>
          <w:snapToGrid w:val="0"/>
          <w:color w:val="auto"/>
          <w:kern w:val="0"/>
          <w:sz w:val="24"/>
          <w:szCs w:val="24"/>
          <w:highlight w:val="none"/>
          <w:u w:val="single"/>
        </w:rPr>
        <w:t xml:space="preserve">  / </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20.</w:t>
      </w:r>
      <w:r>
        <w:rPr>
          <w:rFonts w:hint="eastAsia" w:ascii="宋体" w:hAnsi="宋体" w:eastAsia="宋体" w:cs="宋体"/>
          <w:bCs/>
          <w:snapToGrid w:val="0"/>
          <w:color w:val="auto"/>
          <w:kern w:val="0"/>
          <w:sz w:val="24"/>
          <w:szCs w:val="24"/>
          <w:highlight w:val="none"/>
          <w:lang w:val="en-US" w:eastAsia="zh-CN"/>
        </w:rPr>
        <w:t>1</w:t>
      </w:r>
      <w:r>
        <w:rPr>
          <w:rFonts w:hint="eastAsia" w:ascii="宋体" w:hAnsi="宋体" w:eastAsia="宋体" w:cs="宋体"/>
          <w:bCs/>
          <w:snapToGrid w:val="0"/>
          <w:color w:val="auto"/>
          <w:kern w:val="0"/>
          <w:sz w:val="24"/>
          <w:szCs w:val="24"/>
          <w:highlight w:val="none"/>
        </w:rPr>
        <w:t>.2 争议评审小组的决定</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合同当事人关于本项的约定：</w:t>
      </w:r>
      <w:r>
        <w:rPr>
          <w:rFonts w:hint="eastAsia" w:ascii="宋体" w:hAnsi="宋体" w:eastAsia="宋体" w:cs="宋体"/>
          <w:bCs/>
          <w:snapToGrid w:val="0"/>
          <w:color w:val="auto"/>
          <w:kern w:val="0"/>
          <w:sz w:val="24"/>
          <w:szCs w:val="24"/>
          <w:highlight w:val="none"/>
          <w:u w:val="single"/>
        </w:rPr>
        <w:t xml:space="preserve">按通用条款执行 </w:t>
      </w:r>
      <w:r>
        <w:rPr>
          <w:rFonts w:hint="eastAsia" w:ascii="宋体" w:hAnsi="宋体" w:eastAsia="宋体" w:cs="宋体"/>
          <w:bCs/>
          <w:snapToGrid w:val="0"/>
          <w:color w:val="auto"/>
          <w:kern w:val="0"/>
          <w:sz w:val="24"/>
          <w:szCs w:val="24"/>
          <w:highlight w:val="none"/>
        </w:rPr>
        <w:t>。</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20.</w:t>
      </w:r>
      <w:r>
        <w:rPr>
          <w:rFonts w:hint="eastAsia" w:ascii="宋体" w:hAnsi="宋体" w:eastAsia="宋体" w:cs="宋体"/>
          <w:bCs/>
          <w:snapToGrid w:val="0"/>
          <w:color w:val="auto"/>
          <w:kern w:val="0"/>
          <w:sz w:val="24"/>
          <w:szCs w:val="24"/>
          <w:highlight w:val="none"/>
          <w:lang w:val="en-US" w:eastAsia="zh-CN"/>
        </w:rPr>
        <w:t>2</w:t>
      </w:r>
      <w:r>
        <w:rPr>
          <w:rFonts w:hint="eastAsia" w:ascii="宋体" w:hAnsi="宋体" w:eastAsia="宋体" w:cs="宋体"/>
          <w:bCs/>
          <w:snapToGrid w:val="0"/>
          <w:color w:val="auto"/>
          <w:kern w:val="0"/>
          <w:sz w:val="24"/>
          <w:szCs w:val="24"/>
          <w:highlight w:val="none"/>
        </w:rPr>
        <w:t>仲裁或诉讼</w:t>
      </w:r>
    </w:p>
    <w:p>
      <w:pPr>
        <w:pageBreakBefore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因合同及合同有关事项发生的争议，按下列第</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val="en-US" w:eastAsia="zh-CN"/>
        </w:rPr>
        <w:t>2</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rPr>
        <w:t>种方式解决：</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（1）向</w:t>
      </w:r>
      <w:r>
        <w:rPr>
          <w:rFonts w:hint="eastAsia" w:ascii="宋体" w:hAnsi="宋体" w:eastAsia="宋体" w:cs="宋体"/>
          <w:bCs/>
          <w:snapToGrid w:val="0"/>
          <w:color w:val="auto"/>
          <w:kern w:val="0"/>
          <w:sz w:val="24"/>
          <w:szCs w:val="24"/>
          <w:highlight w:val="none"/>
          <w:u w:val="single"/>
        </w:rPr>
        <w:t xml:space="preserve"> 南通 </w:t>
      </w:r>
      <w:r>
        <w:rPr>
          <w:rFonts w:hint="eastAsia" w:ascii="宋体" w:hAnsi="宋体" w:eastAsia="宋体" w:cs="宋体"/>
          <w:bCs/>
          <w:snapToGrid w:val="0"/>
          <w:color w:val="auto"/>
          <w:kern w:val="0"/>
          <w:sz w:val="24"/>
          <w:szCs w:val="24"/>
          <w:highlight w:val="none"/>
        </w:rPr>
        <w:t>仲裁委员会申请仲裁；</w:t>
      </w:r>
    </w:p>
    <w:p>
      <w:pPr>
        <w:pageBreakBefore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（2）向</w:t>
      </w:r>
      <w:r>
        <w:rPr>
          <w:rFonts w:hint="eastAsia" w:ascii="宋体" w:hAnsi="宋体" w:eastAsia="宋体" w:cs="宋体"/>
          <w:bCs/>
          <w:snapToGrid w:val="0"/>
          <w:color w:val="auto"/>
          <w:kern w:val="0"/>
          <w:sz w:val="24"/>
          <w:szCs w:val="24"/>
          <w:highlight w:val="none"/>
          <w:u w:val="single"/>
        </w:rPr>
        <w:t xml:space="preserve">  工程所在地  </w:t>
      </w:r>
      <w:r>
        <w:rPr>
          <w:rFonts w:hint="eastAsia" w:ascii="宋体" w:hAnsi="宋体" w:eastAsia="宋体" w:cs="宋体"/>
          <w:bCs/>
          <w:snapToGrid w:val="0"/>
          <w:color w:val="auto"/>
          <w:kern w:val="0"/>
          <w:sz w:val="24"/>
          <w:szCs w:val="24"/>
          <w:highlight w:val="none"/>
        </w:rPr>
        <w:t>人民法院起诉。</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21.补充条款</w:t>
      </w:r>
    </w:p>
    <w:p>
      <w:pPr>
        <w:keepNext w:val="0"/>
        <w:keepLines w:val="0"/>
        <w:pageBreakBefore w:val="0"/>
        <w:widowControl w:val="0"/>
        <w:numPr>
          <w:ilvl w:val="0"/>
          <w:numId w:val="10"/>
        </w:numPr>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承包人根据施工现场情况及现行规定，自行根据可行的施工方案确定报价，结算时一律不作调整。</w:t>
      </w:r>
    </w:p>
    <w:p>
      <w:pPr>
        <w:keepNext w:val="0"/>
        <w:keepLines w:val="0"/>
        <w:pageBreakBefore w:val="0"/>
        <w:widowControl w:val="0"/>
        <w:numPr>
          <w:ilvl w:val="0"/>
          <w:numId w:val="10"/>
        </w:numPr>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施工过程中涉及排污、环保、市容、城建城管、消防、治安、人口管理、居委会、派出所等相关部门收取的费用及相关手续，对临近居民、行人的影响等，夜间文明施工、保护周边地下管线和架空线的安全的费用等，承包人均应综合考虑在报价中，由承包人负责协调处理，竣工结算时一律不作调整。</w:t>
      </w:r>
    </w:p>
    <w:p>
      <w:pPr>
        <w:keepNext w:val="0"/>
        <w:keepLines w:val="0"/>
        <w:pageBreakBefore w:val="0"/>
        <w:widowControl w:val="0"/>
        <w:numPr>
          <w:ilvl w:val="0"/>
          <w:numId w:val="10"/>
        </w:numPr>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本工程的施工须严格按国家规范要求，承包人必须严格按照发包人要求的日期进场施工。由于承包人原因引起的工程投资增加由承包人负责，由于供货等承包人原因影响工期进度安排的，所产生的一切后果由承包人承担。施工过程中因违反国家有关规定而发生的罚款等费用由责任人自负。</w:t>
      </w:r>
    </w:p>
    <w:p>
      <w:pPr>
        <w:keepNext w:val="0"/>
        <w:keepLines w:val="0"/>
        <w:pageBreakBefore w:val="0"/>
        <w:widowControl w:val="0"/>
        <w:numPr>
          <w:ilvl w:val="0"/>
          <w:numId w:val="10"/>
        </w:numPr>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如承包人发生上述情况而拒交违约金的，发包人有权从工程款中或履约担保金中双倍扣除。</w:t>
      </w:r>
    </w:p>
    <w:p>
      <w:pPr>
        <w:keepNext w:val="0"/>
        <w:keepLines w:val="0"/>
        <w:pageBreakBefore w:val="0"/>
        <w:widowControl w:val="0"/>
        <w:numPr>
          <w:ilvl w:val="0"/>
          <w:numId w:val="10"/>
        </w:numPr>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施工过程中，因承包人施工原因，而造成煤气、自来水管道、雨污分流管等受到破坏的，除承包人须按规定修复外，发包人可对承包人收取5000元/次的违约金。</w:t>
      </w:r>
    </w:p>
    <w:p>
      <w:pPr>
        <w:keepNext w:val="0"/>
        <w:keepLines w:val="0"/>
        <w:pageBreakBefore w:val="0"/>
        <w:widowControl w:val="0"/>
        <w:numPr>
          <w:ilvl w:val="0"/>
          <w:numId w:val="10"/>
        </w:numPr>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承包人应如实报送工程竣工结算，核减率控制在10%以内。如经审核，审计核减率（核减额/送审金额*100%）＞15%时，承包人向发包人支付审计费的100%等额违约金；10%＜审计核减率（核减额/送审金额*100%）≤15%时，承包人向发包人支付审计费的50%等额违约金；审计核减率（核减额/送审金额*100%）≤10%时，无须支付违约金。核减额=初审核减额+终审核减额。</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如果工程成交后，因承包人自身的原因，未能兑现其磋商响应时承诺条件或工程质量较差，或其工期进度严重脱节，经建设单位同意后有权终止合同，并且已完成的有效工程量只按60%计算结算或者由发包人安排其他施工单位进行施工，所发生费用直接按实际费用的2倍或以上金额从承包人合同价款中扣除，同时发包人视情节严重有权扣除部分或全部工期保证金。</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承包人已充分考虑并为主做好工程实施范围内外的单位、个人和其他可能出现的阻挠施工的情况，并承担所发生的费用，发包人不再承担此类费用（行政性停工除外）。</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承包人承诺在本工程施工过程中，保证做到文明、安全施工。</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承包人应仔细踏勘现场，所涉及的垃圾清运等相关的费用已包含在磋商响应总价中，结算时不再调整。</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因施工场地狭小发生的一切费用由供应商自行考虑，所有费用包含在磋商响应报价中，竣工结算时一律不作调整。</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施工时必须无条件服从发包人及监理方的安排，不得影响主体工程的施工。</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承包人不得拒绝完成发包人在施工地点范围内变更或要求增加的工程内容，如拒绝，发包人有权拒绝其文明施工措施费考评申请。</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 xml:space="preserve">本工程承包人应做好与其他专业工程的配合协调，相互做好成品保护工作。 </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供应商应认真踏勘施工现场，确保满足设计图纸、验收规范等要求，为顺利完成本工程所可能遇到的各种困难（包括与其他各专业交叉施工、交叉部位的收口、收边工作、协调配合成品保护、防盗等）发生的费用，由各供应商在报价中自行考虑，发包人不再另行支付任何涉及工序交叉影响的费用。承包人须无条件接受发包人及监理方的管理和协调。作为一个有经验的供应商，应充分估计这种正常的配合、协调工作对本工程施工的影响，排定合理的施工工期，在以后工程实施过程中不得以该因素影响作为工期延误和增加赶工费用的理由。</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在实际施工中，发包人可以无条件要求施工单位更换不符合要求的产品，购进的材料设备与提供的样品不一致时，由承包人无条件退货，如因使用不符合国家标准及各项指标的材料，由此</w:t>
      </w:r>
      <w:r>
        <w:rPr>
          <w:rFonts w:hint="eastAsia" w:ascii="宋体" w:hAnsi="宋体" w:eastAsia="宋体" w:cs="宋体"/>
          <w:bCs/>
          <w:snapToGrid w:val="0"/>
          <w:color w:val="auto"/>
          <w:kern w:val="0"/>
          <w:sz w:val="24"/>
          <w:szCs w:val="24"/>
          <w:highlight w:val="none"/>
          <w:lang w:eastAsia="zh-CN"/>
        </w:rPr>
        <w:t>引起的</w:t>
      </w:r>
      <w:r>
        <w:rPr>
          <w:rFonts w:hint="eastAsia" w:ascii="宋体" w:hAnsi="宋体" w:eastAsia="宋体" w:cs="宋体"/>
          <w:bCs/>
          <w:snapToGrid w:val="0"/>
          <w:color w:val="auto"/>
          <w:kern w:val="0"/>
          <w:sz w:val="24"/>
          <w:szCs w:val="24"/>
          <w:highlight w:val="none"/>
        </w:rPr>
        <w:t>相关费用由承包人承担，结算时一律不作调整。</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本工程清单应与施工图、</w:t>
      </w:r>
      <w:r>
        <w:rPr>
          <w:rFonts w:hint="eastAsia" w:ascii="宋体" w:hAnsi="宋体" w:eastAsia="宋体" w:cs="宋体"/>
          <w:bCs/>
          <w:snapToGrid w:val="0"/>
          <w:color w:val="auto"/>
          <w:kern w:val="0"/>
          <w:sz w:val="24"/>
          <w:szCs w:val="24"/>
          <w:highlight w:val="none"/>
          <w:lang w:val="en-US" w:eastAsia="zh-CN"/>
        </w:rPr>
        <w:t>采购</w:t>
      </w:r>
      <w:r>
        <w:rPr>
          <w:rFonts w:hint="eastAsia" w:ascii="宋体" w:hAnsi="宋体" w:eastAsia="宋体" w:cs="宋体"/>
          <w:bCs/>
          <w:snapToGrid w:val="0"/>
          <w:color w:val="auto"/>
          <w:kern w:val="0"/>
          <w:sz w:val="24"/>
          <w:szCs w:val="24"/>
          <w:highlight w:val="none"/>
        </w:rPr>
        <w:t>文件、技术要求、技术规范等相结合起来阅读，除设计变更外，发包人在清单项目特征中描述不全或未列明，但承包人为满足设计图纸中该清单项目的要求而必须完成的工作，应计入工程量清单相应子目中，包含在合同价中，工程竣工结算时发包人不为此类项目另外支付费用。</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若承包人在磋商响应报价时擅自改变</w:t>
      </w:r>
      <w:r>
        <w:rPr>
          <w:rFonts w:hint="eastAsia" w:ascii="宋体" w:hAnsi="宋体" w:eastAsia="宋体" w:cs="宋体"/>
          <w:bCs/>
          <w:snapToGrid w:val="0"/>
          <w:color w:val="auto"/>
          <w:kern w:val="0"/>
          <w:sz w:val="24"/>
          <w:szCs w:val="24"/>
          <w:highlight w:val="none"/>
          <w:lang w:val="en-US" w:eastAsia="zh-CN"/>
        </w:rPr>
        <w:t>采购</w:t>
      </w:r>
      <w:r>
        <w:rPr>
          <w:rFonts w:hint="eastAsia" w:ascii="宋体" w:hAnsi="宋体" w:eastAsia="宋体" w:cs="宋体"/>
          <w:bCs/>
          <w:snapToGrid w:val="0"/>
          <w:color w:val="auto"/>
          <w:kern w:val="0"/>
          <w:sz w:val="24"/>
          <w:szCs w:val="24"/>
          <w:highlight w:val="none"/>
        </w:rPr>
        <w:t>文件及清单内容，评审时未被发现，实际施工时均按采购文件及清单内容执行，结算时不予调整。</w:t>
      </w:r>
    </w:p>
    <w:p>
      <w:pPr>
        <w:keepNext w:val="0"/>
        <w:keepLines w:val="0"/>
        <w:pageBreakBefore w:val="0"/>
        <w:widowControl w:val="0"/>
        <w:numPr>
          <w:ilvl w:val="0"/>
          <w:numId w:val="10"/>
        </w:numPr>
        <w:tabs>
          <w:tab w:val="left" w:pos="595"/>
        </w:tabs>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按相关管理部门的质量、安全要求施工，同时做好协调工作。</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在工程实施过程中，承包人必须收集齐全所有隐蔽项目（包含但不限于拆除、基层、面层的铺设及厚度测量等）的影像视频资料，在送审结算资料中必须一并提交。所有签证资料必须附有详细影像彩色照片，所摄照片必须有可参照性。如影像资料未能反映清单、签证等列明的工作内容则结算时该项内容不予认可。</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承包人已根据现有的设计文件并结合施工方案和已明确的现场实际情况自行考虑单价措施，超出发包人给定的单价措施范围的，承包人已对单价措施中的“其他”项进行报价，该费用一次性包死。</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与其他承包商间的协调、配合、通信关系，由承包人自行解决，确保各分项工程满足设计图纸、验收规范等要求，发生的费用由承包人自行承担，并相互做好成品保护工作，并无条件接受发包人的管理，承包人应确保各分项工程满足设计图纸、验收规范等要求，减少工序交叉施工的影响，并做好成品保护工作，发包人不再另行支付任何涉及工序交叉影响的费用。</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无论发包人是否给予了批准或同意，承包人应对现场作业、施工方法及所施工工程的完备性、稳定性和安全性承担全部责任，负责完成对工程的稳定、完整、安全、可靠及有效运行所必需的全部工作。</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 xml:space="preserve"> 承包人与农民工签订劳动合同或用工协议，对其进行基本安全培训，并在南通市农民工实名制管理平台上登记后进场施工。发包人根据双方关于工程款支付约定及时拨付工程款。支付每笔工程款时，将每笔工程款的20%拨付到农民工工资专用账户。因</w:t>
      </w:r>
      <w:r>
        <w:rPr>
          <w:rFonts w:hint="eastAsia" w:ascii="宋体" w:hAnsi="宋体" w:eastAsia="宋体" w:cs="宋体"/>
          <w:bCs/>
          <w:snapToGrid w:val="0"/>
          <w:color w:val="auto"/>
          <w:kern w:val="0"/>
          <w:sz w:val="24"/>
          <w:szCs w:val="24"/>
          <w:highlight w:val="none"/>
          <w:lang w:eastAsia="zh-CN"/>
        </w:rPr>
        <w:t>发包人</w:t>
      </w:r>
      <w:r>
        <w:rPr>
          <w:rFonts w:hint="eastAsia" w:ascii="宋体" w:hAnsi="宋体" w:eastAsia="宋体" w:cs="宋体"/>
          <w:bCs/>
          <w:snapToGrid w:val="0"/>
          <w:color w:val="auto"/>
          <w:kern w:val="0"/>
          <w:sz w:val="24"/>
          <w:szCs w:val="24"/>
          <w:highlight w:val="none"/>
        </w:rPr>
        <w:t>未按照合同约定及时拨付工程款导致农民工工资拖欠的，发包人应当以未结清的工程款为限先行垫付被拖欠的农民工工资。承包人负责每月支付农民工工资，农民工工资拨付周期不得超过1个月。若出现拖欠农民工工资情形，被行政主管部门通报或约谈的，则发包人有权按1万元-3万元/次计取违约金。</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本工程所有以“项”计入造价，一次性包定，竣工结算时不作任何调整。</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施工时需做好原有建筑、结构、道路、设施、设备等现有成品的保护及清洁工作，所涉费用磋商响应报价时充分考虑，结算时不作调整。如施工时损坏或者发生污损，应按不低于原标准修复及清洁，或按目前市场价值（人工）赔付，另外造成损失的按实赔付，相关费用发包人有权在工程款中直接扣除。</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在履行合同过程中，承包人不得转包，一经发现，取消承包资格，上报有关主管部门，全额履约保证金不予退还，并且已完成的工程量不予结算，所造成的责任与损失均由承包人负责。</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 xml:space="preserve">承包人如需变动图纸，需书面提出，并经发包人签字确认之后，方可改动；如发现承包人未经发包人同意私自更改，承包人应无条件及时更换，若因此影响工程进度，工期不予顺延，给发包人造成损失的，承包人应足额赔偿，同时质量履约保证金不予退还。 </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本工程在施工时必须采取一定的防尘措施，所涉及的费用含在磋商响应报价中。若施工过程中被环保等部门通报或处罚，则一切责任和费用由承包人承担。</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本工程施工中所用的水、电费用按实扣除。如私拉乱接或者故意浪费，发现一次按 5000 元计取违约金，发包人有权直接从当期工程款中扣除。</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 xml:space="preserve">发包人、监理单位对材料设备的认可，并不能免除承包人因使用不合格产品所造成的相关责任。 </w:t>
      </w:r>
    </w:p>
    <w:p>
      <w:pPr>
        <w:keepNext w:val="0"/>
        <w:keepLines w:val="0"/>
        <w:pageBreakBefore w:val="0"/>
        <w:widowControl w:val="0"/>
        <w:numPr>
          <w:ilvl w:val="0"/>
          <w:numId w:val="10"/>
        </w:numPr>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承包人</w:t>
      </w:r>
      <w:r>
        <w:rPr>
          <w:rFonts w:hint="eastAsia" w:ascii="宋体" w:hAnsi="宋体" w:eastAsia="宋体" w:cs="宋体"/>
          <w:snapToGrid w:val="0"/>
          <w:color w:val="auto"/>
          <w:kern w:val="0"/>
          <w:sz w:val="24"/>
          <w:szCs w:val="24"/>
          <w:highlight w:val="none"/>
        </w:rPr>
        <w:t>的管理人员临时办公室、工人宿舍及配套生活用房须另行自理，不得设在施工场地区域内。因工程需要临时向其他单位租用场地的，由</w:t>
      </w:r>
      <w:r>
        <w:rPr>
          <w:rFonts w:hint="eastAsia" w:ascii="宋体" w:hAnsi="宋体" w:eastAsia="宋体" w:cs="宋体"/>
          <w:bCs/>
          <w:snapToGrid w:val="0"/>
          <w:color w:val="auto"/>
          <w:kern w:val="0"/>
          <w:sz w:val="24"/>
          <w:szCs w:val="24"/>
          <w:highlight w:val="none"/>
        </w:rPr>
        <w:t>承包人</w:t>
      </w:r>
      <w:r>
        <w:rPr>
          <w:rFonts w:hint="eastAsia" w:ascii="宋体" w:hAnsi="宋体" w:eastAsia="宋体" w:cs="宋体"/>
          <w:snapToGrid w:val="0"/>
          <w:color w:val="auto"/>
          <w:kern w:val="0"/>
          <w:sz w:val="24"/>
          <w:szCs w:val="24"/>
          <w:highlight w:val="none"/>
        </w:rPr>
        <w:t>自行解决，工程结算时</w:t>
      </w:r>
      <w:r>
        <w:rPr>
          <w:rFonts w:hint="eastAsia" w:ascii="宋体" w:hAnsi="宋体" w:eastAsia="宋体" w:cs="宋体"/>
          <w:bCs/>
          <w:snapToGrid w:val="0"/>
          <w:color w:val="auto"/>
          <w:kern w:val="0"/>
          <w:sz w:val="24"/>
          <w:szCs w:val="24"/>
          <w:highlight w:val="none"/>
        </w:rPr>
        <w:t>发包人</w:t>
      </w:r>
      <w:r>
        <w:rPr>
          <w:rFonts w:hint="eastAsia" w:ascii="宋体" w:hAnsi="宋体" w:eastAsia="宋体" w:cs="宋体"/>
          <w:snapToGrid w:val="0"/>
          <w:color w:val="auto"/>
          <w:kern w:val="0"/>
          <w:sz w:val="24"/>
          <w:szCs w:val="24"/>
          <w:highlight w:val="none"/>
        </w:rPr>
        <w:t>不为此类项目另外支付费用。</w:t>
      </w:r>
    </w:p>
    <w:p>
      <w:pPr>
        <w:keepNext w:val="0"/>
        <w:keepLines w:val="0"/>
        <w:pageBreakBefore w:val="0"/>
        <w:widowControl w:val="0"/>
        <w:numPr>
          <w:ilvl w:val="0"/>
          <w:numId w:val="10"/>
        </w:numPr>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w:t>
      </w:r>
      <w:r>
        <w:rPr>
          <w:rFonts w:hint="eastAsia" w:ascii="宋体" w:hAnsi="宋体" w:eastAsia="宋体" w:cs="宋体"/>
          <w:snapToGrid w:val="0"/>
          <w:color w:val="auto"/>
          <w:kern w:val="0"/>
          <w:sz w:val="24"/>
          <w:szCs w:val="24"/>
          <w:highlight w:val="none"/>
          <w:lang w:val="en-US" w:eastAsia="zh-CN"/>
        </w:rPr>
        <w:t>项目</w:t>
      </w:r>
      <w:r>
        <w:rPr>
          <w:rFonts w:hint="eastAsia" w:ascii="宋体" w:hAnsi="宋体" w:eastAsia="宋体" w:cs="宋体"/>
          <w:snapToGrid w:val="0"/>
          <w:color w:val="auto"/>
          <w:kern w:val="0"/>
          <w:sz w:val="24"/>
          <w:szCs w:val="24"/>
          <w:highlight w:val="none"/>
        </w:rPr>
        <w:t>工程量清单应与施工图、磋商文件（含合同条款）、技术要求、技术规范等文件结合起来阅读，除设计变更外，</w:t>
      </w:r>
      <w:r>
        <w:rPr>
          <w:rFonts w:hint="eastAsia" w:ascii="宋体" w:hAnsi="宋体" w:eastAsia="宋体" w:cs="宋体"/>
          <w:bCs/>
          <w:snapToGrid w:val="0"/>
          <w:color w:val="auto"/>
          <w:kern w:val="0"/>
          <w:sz w:val="24"/>
          <w:szCs w:val="24"/>
          <w:highlight w:val="none"/>
        </w:rPr>
        <w:t>发包人</w:t>
      </w:r>
      <w:r>
        <w:rPr>
          <w:rFonts w:hint="eastAsia" w:ascii="宋体" w:hAnsi="宋体" w:eastAsia="宋体" w:cs="宋体"/>
          <w:snapToGrid w:val="0"/>
          <w:color w:val="auto"/>
          <w:kern w:val="0"/>
          <w:sz w:val="24"/>
          <w:szCs w:val="24"/>
          <w:highlight w:val="none"/>
        </w:rPr>
        <w:t>在工程量清单中未列明或项目特征描述不全，但</w:t>
      </w:r>
      <w:r>
        <w:rPr>
          <w:rFonts w:hint="eastAsia" w:ascii="宋体" w:hAnsi="宋体" w:eastAsia="宋体" w:cs="宋体"/>
          <w:bCs/>
          <w:snapToGrid w:val="0"/>
          <w:color w:val="auto"/>
          <w:kern w:val="0"/>
          <w:sz w:val="24"/>
          <w:szCs w:val="24"/>
          <w:highlight w:val="none"/>
        </w:rPr>
        <w:t>承包人</w:t>
      </w:r>
      <w:r>
        <w:rPr>
          <w:rFonts w:hint="eastAsia" w:ascii="宋体" w:hAnsi="宋体" w:eastAsia="宋体" w:cs="宋体"/>
          <w:snapToGrid w:val="0"/>
          <w:color w:val="auto"/>
          <w:kern w:val="0"/>
          <w:sz w:val="24"/>
          <w:szCs w:val="24"/>
          <w:highlight w:val="none"/>
        </w:rPr>
        <w:t>为满足</w:t>
      </w:r>
      <w:r>
        <w:rPr>
          <w:rFonts w:hint="eastAsia" w:ascii="宋体" w:hAnsi="宋体" w:eastAsia="宋体" w:cs="宋体"/>
          <w:bCs/>
          <w:snapToGrid w:val="0"/>
          <w:color w:val="auto"/>
          <w:kern w:val="0"/>
          <w:sz w:val="24"/>
          <w:szCs w:val="24"/>
          <w:highlight w:val="none"/>
        </w:rPr>
        <w:t>发包人</w:t>
      </w:r>
      <w:r>
        <w:rPr>
          <w:rFonts w:hint="eastAsia" w:ascii="宋体" w:hAnsi="宋体" w:eastAsia="宋体" w:cs="宋体"/>
          <w:snapToGrid w:val="0"/>
          <w:color w:val="auto"/>
          <w:kern w:val="0"/>
          <w:sz w:val="24"/>
          <w:szCs w:val="24"/>
          <w:highlight w:val="none"/>
        </w:rPr>
        <w:t>、设计图纸的要求及国家、地方规范和标准等各种文件规定而必须完成的工作，</w:t>
      </w:r>
      <w:r>
        <w:rPr>
          <w:rFonts w:hint="eastAsia" w:ascii="宋体" w:hAnsi="宋体" w:eastAsia="宋体" w:cs="宋体"/>
          <w:bCs/>
          <w:snapToGrid w:val="0"/>
          <w:color w:val="auto"/>
          <w:kern w:val="0"/>
          <w:sz w:val="24"/>
          <w:szCs w:val="24"/>
          <w:highlight w:val="none"/>
        </w:rPr>
        <w:t>承包人</w:t>
      </w:r>
      <w:r>
        <w:rPr>
          <w:rFonts w:hint="eastAsia" w:ascii="宋体" w:hAnsi="宋体" w:eastAsia="宋体" w:cs="宋体"/>
          <w:snapToGrid w:val="0"/>
          <w:color w:val="auto"/>
          <w:kern w:val="0"/>
          <w:sz w:val="24"/>
          <w:szCs w:val="24"/>
          <w:highlight w:val="none"/>
        </w:rPr>
        <w:t>应计入工程量清单相应子目中，施工时不另行签证，结算时不作调整，工程结算时</w:t>
      </w:r>
      <w:r>
        <w:rPr>
          <w:rFonts w:hint="eastAsia" w:ascii="宋体" w:hAnsi="宋体" w:eastAsia="宋体" w:cs="宋体"/>
          <w:bCs/>
          <w:snapToGrid w:val="0"/>
          <w:color w:val="auto"/>
          <w:kern w:val="0"/>
          <w:sz w:val="24"/>
          <w:szCs w:val="24"/>
          <w:highlight w:val="none"/>
        </w:rPr>
        <w:t>发包人</w:t>
      </w:r>
      <w:r>
        <w:rPr>
          <w:rFonts w:hint="eastAsia" w:ascii="宋体" w:hAnsi="宋体" w:eastAsia="宋体" w:cs="宋体"/>
          <w:snapToGrid w:val="0"/>
          <w:color w:val="auto"/>
          <w:kern w:val="0"/>
          <w:sz w:val="24"/>
          <w:szCs w:val="24"/>
          <w:highlight w:val="none"/>
        </w:rPr>
        <w:t xml:space="preserve">不为此类项目另外支付费用。 </w:t>
      </w:r>
    </w:p>
    <w:p>
      <w:pPr>
        <w:keepNext w:val="0"/>
        <w:keepLines w:val="0"/>
        <w:pageBreakBefore w:val="0"/>
        <w:widowControl w:val="0"/>
        <w:numPr>
          <w:ilvl w:val="0"/>
          <w:numId w:val="10"/>
        </w:numPr>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如</w:t>
      </w:r>
      <w:r>
        <w:rPr>
          <w:rFonts w:hint="eastAsia" w:ascii="宋体" w:hAnsi="宋体" w:eastAsia="宋体" w:cs="宋体"/>
          <w:bCs/>
          <w:snapToGrid w:val="0"/>
          <w:color w:val="auto"/>
          <w:kern w:val="0"/>
          <w:sz w:val="24"/>
          <w:szCs w:val="24"/>
          <w:highlight w:val="none"/>
        </w:rPr>
        <w:t>承包人</w:t>
      </w:r>
      <w:r>
        <w:rPr>
          <w:rFonts w:hint="eastAsia" w:ascii="宋体" w:hAnsi="宋体" w:eastAsia="宋体" w:cs="宋体"/>
          <w:snapToGrid w:val="0"/>
          <w:color w:val="auto"/>
          <w:kern w:val="0"/>
          <w:sz w:val="24"/>
          <w:szCs w:val="24"/>
          <w:highlight w:val="none"/>
        </w:rPr>
        <w:t>在进场后发现施工图纸与现场不一致时，在施工前须与</w:t>
      </w:r>
      <w:r>
        <w:rPr>
          <w:rFonts w:hint="eastAsia" w:ascii="宋体" w:hAnsi="宋体" w:eastAsia="宋体" w:cs="宋体"/>
          <w:bCs/>
          <w:snapToGrid w:val="0"/>
          <w:color w:val="auto"/>
          <w:kern w:val="0"/>
          <w:sz w:val="24"/>
          <w:szCs w:val="24"/>
          <w:highlight w:val="none"/>
        </w:rPr>
        <w:t>发包人</w:t>
      </w:r>
      <w:r>
        <w:rPr>
          <w:rFonts w:hint="eastAsia" w:ascii="宋体" w:hAnsi="宋体" w:eastAsia="宋体" w:cs="宋体"/>
          <w:snapToGrid w:val="0"/>
          <w:color w:val="auto"/>
          <w:kern w:val="0"/>
          <w:sz w:val="24"/>
          <w:szCs w:val="24"/>
          <w:highlight w:val="none"/>
        </w:rPr>
        <w:t>及监理方、设计方商定一致后，并按书面会商结果进行施工。</w:t>
      </w:r>
    </w:p>
    <w:p>
      <w:pPr>
        <w:keepNext w:val="0"/>
        <w:keepLines w:val="0"/>
        <w:pageBreakBefore w:val="0"/>
        <w:widowControl w:val="0"/>
        <w:numPr>
          <w:ilvl w:val="0"/>
          <w:numId w:val="10"/>
        </w:numPr>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承包人</w:t>
      </w:r>
      <w:r>
        <w:rPr>
          <w:rFonts w:hint="eastAsia" w:ascii="宋体" w:hAnsi="宋体" w:eastAsia="宋体" w:cs="宋体"/>
          <w:snapToGrid w:val="0"/>
          <w:color w:val="auto"/>
          <w:kern w:val="0"/>
          <w:sz w:val="24"/>
          <w:szCs w:val="24"/>
          <w:highlight w:val="none"/>
        </w:rPr>
        <w:t>在施工时可能会遇墙（地）面不垂直、空鼓、渗漏、顶棚不平整，以及基层有附着物等现象，需进行检查、清理、维修、改造、凿除、修补等工作，各</w:t>
      </w:r>
      <w:r>
        <w:rPr>
          <w:rFonts w:hint="eastAsia" w:ascii="宋体" w:hAnsi="宋体" w:eastAsia="宋体" w:cs="宋体"/>
          <w:bCs/>
          <w:snapToGrid w:val="0"/>
          <w:color w:val="auto"/>
          <w:kern w:val="0"/>
          <w:sz w:val="24"/>
          <w:szCs w:val="24"/>
          <w:highlight w:val="none"/>
        </w:rPr>
        <w:t>承包人</w:t>
      </w:r>
      <w:r>
        <w:rPr>
          <w:rFonts w:hint="eastAsia" w:ascii="宋体" w:hAnsi="宋体" w:eastAsia="宋体" w:cs="宋体"/>
          <w:snapToGrid w:val="0"/>
          <w:color w:val="auto"/>
          <w:kern w:val="0"/>
          <w:sz w:val="24"/>
          <w:szCs w:val="24"/>
          <w:highlight w:val="none"/>
        </w:rPr>
        <w:t xml:space="preserve">在现场踏勘时须充分考虑，结算时不作任何调整。 </w:t>
      </w:r>
    </w:p>
    <w:p>
      <w:pPr>
        <w:keepNext w:val="0"/>
        <w:keepLines w:val="0"/>
        <w:pageBreakBefore w:val="0"/>
        <w:widowControl w:val="0"/>
        <w:numPr>
          <w:ilvl w:val="0"/>
          <w:numId w:val="10"/>
        </w:numPr>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承包人</w:t>
      </w:r>
      <w:r>
        <w:rPr>
          <w:rFonts w:hint="eastAsia" w:ascii="宋体" w:hAnsi="宋体" w:eastAsia="宋体" w:cs="宋体"/>
          <w:snapToGrid w:val="0"/>
          <w:color w:val="auto"/>
          <w:kern w:val="0"/>
          <w:sz w:val="24"/>
          <w:szCs w:val="24"/>
          <w:highlight w:val="none"/>
        </w:rPr>
        <w:t>在施工过程中应注意与相临近的建筑物（构筑物）的关系，采取合理的措施，避免产生不利影响，相关措施费用自行考虑并列入措施清单，</w:t>
      </w:r>
      <w:r>
        <w:rPr>
          <w:rFonts w:hint="eastAsia" w:ascii="宋体" w:hAnsi="宋体" w:eastAsia="宋体" w:cs="宋体"/>
          <w:snapToGrid w:val="0"/>
          <w:color w:val="auto"/>
          <w:kern w:val="0"/>
          <w:sz w:val="24"/>
          <w:szCs w:val="24"/>
          <w:highlight w:val="none"/>
          <w:lang w:val="en-US" w:eastAsia="zh-CN"/>
        </w:rPr>
        <w:t>结算时不予调整</w:t>
      </w:r>
      <w:r>
        <w:rPr>
          <w:rFonts w:hint="eastAsia" w:ascii="宋体" w:hAnsi="宋体" w:eastAsia="宋体" w:cs="宋体"/>
          <w:snapToGrid w:val="0"/>
          <w:color w:val="auto"/>
          <w:kern w:val="0"/>
          <w:sz w:val="24"/>
          <w:szCs w:val="24"/>
          <w:highlight w:val="none"/>
        </w:rPr>
        <w:t>，若因</w:t>
      </w:r>
      <w:r>
        <w:rPr>
          <w:rFonts w:hint="eastAsia" w:ascii="宋体" w:hAnsi="宋体" w:eastAsia="宋体" w:cs="宋体"/>
          <w:bCs/>
          <w:snapToGrid w:val="0"/>
          <w:color w:val="auto"/>
          <w:kern w:val="0"/>
          <w:sz w:val="24"/>
          <w:szCs w:val="24"/>
          <w:highlight w:val="none"/>
        </w:rPr>
        <w:t>承包人</w:t>
      </w:r>
      <w:r>
        <w:rPr>
          <w:rFonts w:hint="eastAsia" w:ascii="宋体" w:hAnsi="宋体" w:eastAsia="宋体" w:cs="宋体"/>
          <w:snapToGrid w:val="0"/>
          <w:color w:val="auto"/>
          <w:kern w:val="0"/>
          <w:sz w:val="24"/>
          <w:szCs w:val="24"/>
          <w:highlight w:val="none"/>
        </w:rPr>
        <w:t>原因造成建筑物（构筑物）出现位移、裂缝等情况，由</w:t>
      </w:r>
      <w:r>
        <w:rPr>
          <w:rFonts w:hint="eastAsia" w:ascii="宋体" w:hAnsi="宋体" w:eastAsia="宋体" w:cs="宋体"/>
          <w:bCs/>
          <w:snapToGrid w:val="0"/>
          <w:color w:val="auto"/>
          <w:kern w:val="0"/>
          <w:sz w:val="24"/>
          <w:szCs w:val="24"/>
          <w:highlight w:val="none"/>
        </w:rPr>
        <w:t>承包人</w:t>
      </w:r>
      <w:r>
        <w:rPr>
          <w:rFonts w:hint="eastAsia" w:ascii="宋体" w:hAnsi="宋体" w:eastAsia="宋体" w:cs="宋体"/>
          <w:snapToGrid w:val="0"/>
          <w:color w:val="auto"/>
          <w:kern w:val="0"/>
          <w:sz w:val="24"/>
          <w:szCs w:val="24"/>
          <w:highlight w:val="none"/>
        </w:rPr>
        <w:t>负责赔偿，相关费用自行估算并列入报价，</w:t>
      </w:r>
      <w:r>
        <w:rPr>
          <w:rFonts w:hint="eastAsia" w:ascii="宋体" w:hAnsi="宋体" w:eastAsia="宋体" w:cs="宋体"/>
          <w:snapToGrid w:val="0"/>
          <w:color w:val="auto"/>
          <w:kern w:val="0"/>
          <w:sz w:val="24"/>
          <w:szCs w:val="24"/>
          <w:highlight w:val="none"/>
          <w:lang w:val="en-US" w:eastAsia="zh-CN"/>
        </w:rPr>
        <w:t>结算时不予调整</w:t>
      </w:r>
      <w:r>
        <w:rPr>
          <w:rFonts w:hint="eastAsia" w:ascii="宋体" w:hAnsi="宋体" w:eastAsia="宋体" w:cs="宋体"/>
          <w:snapToGrid w:val="0"/>
          <w:color w:val="auto"/>
          <w:kern w:val="0"/>
          <w:sz w:val="24"/>
          <w:szCs w:val="24"/>
          <w:highlight w:val="none"/>
        </w:rPr>
        <w:t>。</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工程竣工需做好精细化保洁，保洁范围为所有施工场地，保洁内容包括但不限于玻璃门窗擦拭、内墙、地及顶面清洁及顺色等，符合</w:t>
      </w:r>
      <w:r>
        <w:rPr>
          <w:rFonts w:hint="eastAsia" w:ascii="宋体" w:hAnsi="宋体" w:eastAsia="宋体" w:cs="宋体"/>
          <w:bCs/>
          <w:snapToGrid w:val="0"/>
          <w:color w:val="auto"/>
          <w:kern w:val="0"/>
          <w:sz w:val="24"/>
          <w:szCs w:val="24"/>
          <w:highlight w:val="none"/>
        </w:rPr>
        <w:t>发包人</w:t>
      </w:r>
      <w:r>
        <w:rPr>
          <w:rFonts w:hint="eastAsia" w:ascii="宋体" w:hAnsi="宋体" w:eastAsia="宋体" w:cs="宋体"/>
          <w:snapToGrid w:val="0"/>
          <w:color w:val="auto"/>
          <w:kern w:val="0"/>
          <w:sz w:val="24"/>
          <w:szCs w:val="24"/>
          <w:highlight w:val="none"/>
        </w:rPr>
        <w:t>竣工清洁要求后方可竣工验收，</w:t>
      </w:r>
      <w:r>
        <w:rPr>
          <w:rFonts w:hint="eastAsia" w:ascii="宋体" w:hAnsi="宋体" w:eastAsia="宋体" w:cs="宋体"/>
          <w:bCs/>
          <w:snapToGrid w:val="0"/>
          <w:color w:val="auto"/>
          <w:kern w:val="0"/>
          <w:sz w:val="24"/>
          <w:szCs w:val="24"/>
          <w:highlight w:val="none"/>
        </w:rPr>
        <w:t>承包人</w:t>
      </w:r>
      <w:r>
        <w:rPr>
          <w:rFonts w:hint="eastAsia" w:ascii="宋体" w:hAnsi="宋体" w:eastAsia="宋体" w:cs="宋体"/>
          <w:snapToGrid w:val="0"/>
          <w:color w:val="auto"/>
          <w:kern w:val="0"/>
          <w:sz w:val="24"/>
          <w:szCs w:val="24"/>
          <w:highlight w:val="none"/>
        </w:rPr>
        <w:t>务必在踏勘现场后计算所涉工程量，相关费用在报价中考虑，结算时不作调整。</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 xml:space="preserve">若在合同履行过程中，如有领导视察等活动，承包人必须无条件配合发包人及监理方的管理。 </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本项目包含电梯采购及安装内容，如承包人不具备本项目电梯对应的安装（含修理）相关资质，则承包人可分包给具有对应资质的单位进行安装（修理），分包前须提供相关资质给采购单位并经采购单位书面确认，但是不免除承包人对电梯相关的安装、修理及后续维保责任，相关责任仍由承包人承担。承包人必须保证电梯工程经过质监部门（主管部门）验收合格，因验收产生的各种费用均由承包人承担。</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本项目采购文件（竞争性磋商文件）、相关补充说明、答疑、澄清、响应文件、成交通知书均作为本合同组成部分，与本合同具有同等法律效力。</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bookmarkStart w:id="183" w:name="_Toc296347224"/>
      <w:bookmarkStart w:id="184" w:name="_Toc296891265"/>
      <w:bookmarkStart w:id="185" w:name="_Toc296503225"/>
      <w:bookmarkStart w:id="186" w:name="_Toc296944564"/>
      <w:bookmarkStart w:id="187" w:name="_Toc296891053"/>
      <w:bookmarkStart w:id="188" w:name="_Toc267261692"/>
      <w:bookmarkStart w:id="189" w:name="_Toc296346726"/>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协议书附件：</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附件1：承包人承揽工程项目一览表</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专用合同条款附件：</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附件2：发包人供应材料设备一览表（本合同不适用）</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附件3：工程质量保修书</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附件4：主要建设工程文件目录</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附件5：承包人用于本工程施工的机械设备表</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附件6：承包人主要施工管理人员表</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附件7：分包人主要施工管理人员表</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附件8：暂估价一览表</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附件9：建设工程廉政责任书</w:t>
      </w:r>
      <w:bookmarkEnd w:id="183"/>
      <w:bookmarkEnd w:id="184"/>
      <w:bookmarkEnd w:id="185"/>
      <w:bookmarkEnd w:id="186"/>
      <w:bookmarkEnd w:id="187"/>
      <w:bookmarkEnd w:id="188"/>
      <w:bookmarkEnd w:id="189"/>
      <w:r>
        <w:rPr>
          <w:rFonts w:hint="eastAsia" w:ascii="宋体" w:hAnsi="宋体" w:eastAsia="宋体" w:cs="宋体"/>
          <w:bCs/>
          <w:snapToGrid w:val="0"/>
          <w:color w:val="auto"/>
          <w:kern w:val="0"/>
          <w:sz w:val="24"/>
          <w:szCs w:val="24"/>
          <w:highlight w:val="none"/>
        </w:rPr>
        <w:br w:type="page"/>
      </w:r>
      <w:r>
        <w:rPr>
          <w:rFonts w:hint="eastAsia" w:ascii="宋体" w:hAnsi="宋体" w:eastAsia="宋体" w:cs="宋体"/>
          <w:snapToGrid w:val="0"/>
          <w:color w:val="auto"/>
          <w:kern w:val="0"/>
          <w:sz w:val="24"/>
          <w:szCs w:val="24"/>
          <w:highlight w:val="none"/>
        </w:rPr>
        <w:t>附件1：</w:t>
      </w:r>
    </w:p>
    <w:p>
      <w:pPr>
        <w:spacing w:line="4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承包人承揽工程项目一览表</w:t>
      </w:r>
    </w:p>
    <w:tbl>
      <w:tblPr>
        <w:tblStyle w:val="18"/>
        <w:tblW w:w="9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850"/>
        <w:gridCol w:w="1005"/>
        <w:gridCol w:w="810"/>
        <w:gridCol w:w="723"/>
        <w:gridCol w:w="863"/>
        <w:gridCol w:w="1071"/>
        <w:gridCol w:w="1269"/>
        <w:gridCol w:w="85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vAlign w:val="center"/>
          </w:tcPr>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单位工程名称</w:t>
            </w:r>
          </w:p>
        </w:tc>
        <w:tc>
          <w:tcPr>
            <w:tcW w:w="850" w:type="dxa"/>
            <w:vAlign w:val="center"/>
          </w:tcPr>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建设</w:t>
            </w:r>
          </w:p>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规模</w:t>
            </w:r>
          </w:p>
        </w:tc>
        <w:tc>
          <w:tcPr>
            <w:tcW w:w="1005" w:type="dxa"/>
            <w:vAlign w:val="center"/>
          </w:tcPr>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建筑面积(㎡)</w:t>
            </w:r>
          </w:p>
        </w:tc>
        <w:tc>
          <w:tcPr>
            <w:tcW w:w="810" w:type="dxa"/>
            <w:vAlign w:val="center"/>
          </w:tcPr>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结构形式</w:t>
            </w:r>
          </w:p>
        </w:tc>
        <w:tc>
          <w:tcPr>
            <w:tcW w:w="723" w:type="dxa"/>
            <w:vAlign w:val="center"/>
          </w:tcPr>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层数</w:t>
            </w:r>
          </w:p>
        </w:tc>
        <w:tc>
          <w:tcPr>
            <w:tcW w:w="863" w:type="dxa"/>
            <w:vAlign w:val="center"/>
          </w:tcPr>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生产能力</w:t>
            </w:r>
          </w:p>
        </w:tc>
        <w:tc>
          <w:tcPr>
            <w:tcW w:w="1071" w:type="dxa"/>
            <w:vAlign w:val="center"/>
          </w:tcPr>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设备安装内容</w:t>
            </w:r>
          </w:p>
        </w:tc>
        <w:tc>
          <w:tcPr>
            <w:tcW w:w="1269" w:type="dxa"/>
            <w:vAlign w:val="center"/>
          </w:tcPr>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合同价（元）</w:t>
            </w:r>
          </w:p>
        </w:tc>
        <w:tc>
          <w:tcPr>
            <w:tcW w:w="851" w:type="dxa"/>
            <w:vAlign w:val="center"/>
          </w:tcPr>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开工</w:t>
            </w:r>
          </w:p>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日期</w:t>
            </w:r>
          </w:p>
        </w:tc>
        <w:tc>
          <w:tcPr>
            <w:tcW w:w="851" w:type="dxa"/>
            <w:vAlign w:val="center"/>
          </w:tcPr>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竣工</w:t>
            </w:r>
          </w:p>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snapToGrid w:val="0"/>
                <w:color w:val="auto"/>
                <w:sz w:val="24"/>
                <w:szCs w:val="24"/>
                <w:highlight w:val="none"/>
              </w:rPr>
            </w:pPr>
          </w:p>
        </w:tc>
        <w:tc>
          <w:tcPr>
            <w:tcW w:w="850" w:type="dxa"/>
          </w:tcPr>
          <w:p>
            <w:pPr>
              <w:spacing w:line="460" w:lineRule="exact"/>
              <w:rPr>
                <w:rFonts w:hint="eastAsia" w:ascii="宋体" w:hAnsi="宋体" w:eastAsia="宋体" w:cs="宋体"/>
                <w:snapToGrid w:val="0"/>
                <w:color w:val="auto"/>
                <w:sz w:val="24"/>
                <w:szCs w:val="24"/>
                <w:highlight w:val="none"/>
              </w:rPr>
            </w:pPr>
          </w:p>
        </w:tc>
        <w:tc>
          <w:tcPr>
            <w:tcW w:w="1005" w:type="dxa"/>
          </w:tcPr>
          <w:p>
            <w:pPr>
              <w:spacing w:line="460" w:lineRule="exact"/>
              <w:rPr>
                <w:rFonts w:hint="eastAsia" w:ascii="宋体" w:hAnsi="宋体" w:eastAsia="宋体" w:cs="宋体"/>
                <w:snapToGrid w:val="0"/>
                <w:color w:val="auto"/>
                <w:sz w:val="24"/>
                <w:szCs w:val="24"/>
                <w:highlight w:val="none"/>
              </w:rPr>
            </w:pPr>
          </w:p>
        </w:tc>
        <w:tc>
          <w:tcPr>
            <w:tcW w:w="810" w:type="dxa"/>
          </w:tcPr>
          <w:p>
            <w:pPr>
              <w:spacing w:line="460" w:lineRule="exact"/>
              <w:rPr>
                <w:rFonts w:hint="eastAsia" w:ascii="宋体" w:hAnsi="宋体" w:eastAsia="宋体" w:cs="宋体"/>
                <w:snapToGrid w:val="0"/>
                <w:color w:val="auto"/>
                <w:sz w:val="24"/>
                <w:szCs w:val="24"/>
                <w:highlight w:val="none"/>
              </w:rPr>
            </w:pPr>
          </w:p>
        </w:tc>
        <w:tc>
          <w:tcPr>
            <w:tcW w:w="723" w:type="dxa"/>
          </w:tcPr>
          <w:p>
            <w:pPr>
              <w:spacing w:line="460" w:lineRule="exact"/>
              <w:rPr>
                <w:rFonts w:hint="eastAsia" w:ascii="宋体" w:hAnsi="宋体" w:eastAsia="宋体" w:cs="宋体"/>
                <w:snapToGrid w:val="0"/>
                <w:color w:val="auto"/>
                <w:sz w:val="24"/>
                <w:szCs w:val="24"/>
                <w:highlight w:val="none"/>
              </w:rPr>
            </w:pPr>
          </w:p>
        </w:tc>
        <w:tc>
          <w:tcPr>
            <w:tcW w:w="863" w:type="dxa"/>
          </w:tcPr>
          <w:p>
            <w:pPr>
              <w:spacing w:line="460" w:lineRule="exact"/>
              <w:rPr>
                <w:rFonts w:hint="eastAsia" w:ascii="宋体" w:hAnsi="宋体" w:eastAsia="宋体" w:cs="宋体"/>
                <w:snapToGrid w:val="0"/>
                <w:color w:val="auto"/>
                <w:sz w:val="24"/>
                <w:szCs w:val="24"/>
                <w:highlight w:val="none"/>
              </w:rPr>
            </w:pPr>
          </w:p>
        </w:tc>
        <w:tc>
          <w:tcPr>
            <w:tcW w:w="1071" w:type="dxa"/>
          </w:tcPr>
          <w:p>
            <w:pPr>
              <w:spacing w:line="460" w:lineRule="exact"/>
              <w:rPr>
                <w:rFonts w:hint="eastAsia" w:ascii="宋体" w:hAnsi="宋体" w:eastAsia="宋体" w:cs="宋体"/>
                <w:snapToGrid w:val="0"/>
                <w:color w:val="auto"/>
                <w:sz w:val="24"/>
                <w:szCs w:val="24"/>
                <w:highlight w:val="none"/>
              </w:rPr>
            </w:pPr>
          </w:p>
        </w:tc>
        <w:tc>
          <w:tcPr>
            <w:tcW w:w="1269"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snapToGrid w:val="0"/>
                <w:color w:val="auto"/>
                <w:sz w:val="24"/>
                <w:szCs w:val="24"/>
                <w:highlight w:val="none"/>
              </w:rPr>
            </w:pPr>
          </w:p>
        </w:tc>
        <w:tc>
          <w:tcPr>
            <w:tcW w:w="850" w:type="dxa"/>
          </w:tcPr>
          <w:p>
            <w:pPr>
              <w:spacing w:line="460" w:lineRule="exact"/>
              <w:rPr>
                <w:rFonts w:hint="eastAsia" w:ascii="宋体" w:hAnsi="宋体" w:eastAsia="宋体" w:cs="宋体"/>
                <w:snapToGrid w:val="0"/>
                <w:color w:val="auto"/>
                <w:sz w:val="24"/>
                <w:szCs w:val="24"/>
                <w:highlight w:val="none"/>
              </w:rPr>
            </w:pPr>
          </w:p>
        </w:tc>
        <w:tc>
          <w:tcPr>
            <w:tcW w:w="1005" w:type="dxa"/>
          </w:tcPr>
          <w:p>
            <w:pPr>
              <w:spacing w:line="460" w:lineRule="exact"/>
              <w:rPr>
                <w:rFonts w:hint="eastAsia" w:ascii="宋体" w:hAnsi="宋体" w:eastAsia="宋体" w:cs="宋体"/>
                <w:snapToGrid w:val="0"/>
                <w:color w:val="auto"/>
                <w:sz w:val="24"/>
                <w:szCs w:val="24"/>
                <w:highlight w:val="none"/>
              </w:rPr>
            </w:pPr>
          </w:p>
        </w:tc>
        <w:tc>
          <w:tcPr>
            <w:tcW w:w="810" w:type="dxa"/>
          </w:tcPr>
          <w:p>
            <w:pPr>
              <w:spacing w:line="460" w:lineRule="exact"/>
              <w:rPr>
                <w:rFonts w:hint="eastAsia" w:ascii="宋体" w:hAnsi="宋体" w:eastAsia="宋体" w:cs="宋体"/>
                <w:snapToGrid w:val="0"/>
                <w:color w:val="auto"/>
                <w:sz w:val="24"/>
                <w:szCs w:val="24"/>
                <w:highlight w:val="none"/>
              </w:rPr>
            </w:pPr>
          </w:p>
        </w:tc>
        <w:tc>
          <w:tcPr>
            <w:tcW w:w="723" w:type="dxa"/>
          </w:tcPr>
          <w:p>
            <w:pPr>
              <w:spacing w:line="460" w:lineRule="exact"/>
              <w:rPr>
                <w:rFonts w:hint="eastAsia" w:ascii="宋体" w:hAnsi="宋体" w:eastAsia="宋体" w:cs="宋体"/>
                <w:snapToGrid w:val="0"/>
                <w:color w:val="auto"/>
                <w:sz w:val="24"/>
                <w:szCs w:val="24"/>
                <w:highlight w:val="none"/>
              </w:rPr>
            </w:pPr>
          </w:p>
        </w:tc>
        <w:tc>
          <w:tcPr>
            <w:tcW w:w="863" w:type="dxa"/>
          </w:tcPr>
          <w:p>
            <w:pPr>
              <w:spacing w:line="460" w:lineRule="exact"/>
              <w:rPr>
                <w:rFonts w:hint="eastAsia" w:ascii="宋体" w:hAnsi="宋体" w:eastAsia="宋体" w:cs="宋体"/>
                <w:snapToGrid w:val="0"/>
                <w:color w:val="auto"/>
                <w:sz w:val="24"/>
                <w:szCs w:val="24"/>
                <w:highlight w:val="none"/>
              </w:rPr>
            </w:pPr>
          </w:p>
        </w:tc>
        <w:tc>
          <w:tcPr>
            <w:tcW w:w="1071" w:type="dxa"/>
          </w:tcPr>
          <w:p>
            <w:pPr>
              <w:spacing w:line="460" w:lineRule="exact"/>
              <w:rPr>
                <w:rFonts w:hint="eastAsia" w:ascii="宋体" w:hAnsi="宋体" w:eastAsia="宋体" w:cs="宋体"/>
                <w:snapToGrid w:val="0"/>
                <w:color w:val="auto"/>
                <w:sz w:val="24"/>
                <w:szCs w:val="24"/>
                <w:highlight w:val="none"/>
              </w:rPr>
            </w:pPr>
          </w:p>
        </w:tc>
        <w:tc>
          <w:tcPr>
            <w:tcW w:w="1269"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snapToGrid w:val="0"/>
                <w:color w:val="auto"/>
                <w:sz w:val="24"/>
                <w:szCs w:val="24"/>
                <w:highlight w:val="none"/>
              </w:rPr>
            </w:pPr>
          </w:p>
        </w:tc>
        <w:tc>
          <w:tcPr>
            <w:tcW w:w="850" w:type="dxa"/>
          </w:tcPr>
          <w:p>
            <w:pPr>
              <w:spacing w:line="460" w:lineRule="exact"/>
              <w:rPr>
                <w:rFonts w:hint="eastAsia" w:ascii="宋体" w:hAnsi="宋体" w:eastAsia="宋体" w:cs="宋体"/>
                <w:snapToGrid w:val="0"/>
                <w:color w:val="auto"/>
                <w:sz w:val="24"/>
                <w:szCs w:val="24"/>
                <w:highlight w:val="none"/>
              </w:rPr>
            </w:pPr>
          </w:p>
        </w:tc>
        <w:tc>
          <w:tcPr>
            <w:tcW w:w="1005" w:type="dxa"/>
          </w:tcPr>
          <w:p>
            <w:pPr>
              <w:spacing w:line="460" w:lineRule="exact"/>
              <w:rPr>
                <w:rFonts w:hint="eastAsia" w:ascii="宋体" w:hAnsi="宋体" w:eastAsia="宋体" w:cs="宋体"/>
                <w:snapToGrid w:val="0"/>
                <w:color w:val="auto"/>
                <w:sz w:val="24"/>
                <w:szCs w:val="24"/>
                <w:highlight w:val="none"/>
              </w:rPr>
            </w:pPr>
          </w:p>
        </w:tc>
        <w:tc>
          <w:tcPr>
            <w:tcW w:w="810" w:type="dxa"/>
          </w:tcPr>
          <w:p>
            <w:pPr>
              <w:spacing w:line="460" w:lineRule="exact"/>
              <w:rPr>
                <w:rFonts w:hint="eastAsia" w:ascii="宋体" w:hAnsi="宋体" w:eastAsia="宋体" w:cs="宋体"/>
                <w:snapToGrid w:val="0"/>
                <w:color w:val="auto"/>
                <w:sz w:val="24"/>
                <w:szCs w:val="24"/>
                <w:highlight w:val="none"/>
              </w:rPr>
            </w:pPr>
          </w:p>
        </w:tc>
        <w:tc>
          <w:tcPr>
            <w:tcW w:w="723" w:type="dxa"/>
          </w:tcPr>
          <w:p>
            <w:pPr>
              <w:spacing w:line="460" w:lineRule="exact"/>
              <w:rPr>
                <w:rFonts w:hint="eastAsia" w:ascii="宋体" w:hAnsi="宋体" w:eastAsia="宋体" w:cs="宋体"/>
                <w:snapToGrid w:val="0"/>
                <w:color w:val="auto"/>
                <w:sz w:val="24"/>
                <w:szCs w:val="24"/>
                <w:highlight w:val="none"/>
              </w:rPr>
            </w:pPr>
          </w:p>
        </w:tc>
        <w:tc>
          <w:tcPr>
            <w:tcW w:w="863" w:type="dxa"/>
          </w:tcPr>
          <w:p>
            <w:pPr>
              <w:spacing w:line="460" w:lineRule="exact"/>
              <w:rPr>
                <w:rFonts w:hint="eastAsia" w:ascii="宋体" w:hAnsi="宋体" w:eastAsia="宋体" w:cs="宋体"/>
                <w:snapToGrid w:val="0"/>
                <w:color w:val="auto"/>
                <w:sz w:val="24"/>
                <w:szCs w:val="24"/>
                <w:highlight w:val="none"/>
              </w:rPr>
            </w:pPr>
          </w:p>
        </w:tc>
        <w:tc>
          <w:tcPr>
            <w:tcW w:w="1071" w:type="dxa"/>
          </w:tcPr>
          <w:p>
            <w:pPr>
              <w:spacing w:line="460" w:lineRule="exact"/>
              <w:rPr>
                <w:rFonts w:hint="eastAsia" w:ascii="宋体" w:hAnsi="宋体" w:eastAsia="宋体" w:cs="宋体"/>
                <w:snapToGrid w:val="0"/>
                <w:color w:val="auto"/>
                <w:sz w:val="24"/>
                <w:szCs w:val="24"/>
                <w:highlight w:val="none"/>
              </w:rPr>
            </w:pPr>
          </w:p>
        </w:tc>
        <w:tc>
          <w:tcPr>
            <w:tcW w:w="1269"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snapToGrid w:val="0"/>
                <w:color w:val="auto"/>
                <w:sz w:val="24"/>
                <w:szCs w:val="24"/>
                <w:highlight w:val="none"/>
              </w:rPr>
            </w:pPr>
          </w:p>
        </w:tc>
        <w:tc>
          <w:tcPr>
            <w:tcW w:w="850" w:type="dxa"/>
          </w:tcPr>
          <w:p>
            <w:pPr>
              <w:spacing w:line="460" w:lineRule="exact"/>
              <w:rPr>
                <w:rFonts w:hint="eastAsia" w:ascii="宋体" w:hAnsi="宋体" w:eastAsia="宋体" w:cs="宋体"/>
                <w:snapToGrid w:val="0"/>
                <w:color w:val="auto"/>
                <w:sz w:val="24"/>
                <w:szCs w:val="24"/>
                <w:highlight w:val="none"/>
              </w:rPr>
            </w:pPr>
          </w:p>
        </w:tc>
        <w:tc>
          <w:tcPr>
            <w:tcW w:w="1005" w:type="dxa"/>
          </w:tcPr>
          <w:p>
            <w:pPr>
              <w:spacing w:line="460" w:lineRule="exact"/>
              <w:rPr>
                <w:rFonts w:hint="eastAsia" w:ascii="宋体" w:hAnsi="宋体" w:eastAsia="宋体" w:cs="宋体"/>
                <w:snapToGrid w:val="0"/>
                <w:color w:val="auto"/>
                <w:sz w:val="24"/>
                <w:szCs w:val="24"/>
                <w:highlight w:val="none"/>
              </w:rPr>
            </w:pPr>
          </w:p>
        </w:tc>
        <w:tc>
          <w:tcPr>
            <w:tcW w:w="810" w:type="dxa"/>
          </w:tcPr>
          <w:p>
            <w:pPr>
              <w:spacing w:line="460" w:lineRule="exact"/>
              <w:rPr>
                <w:rFonts w:hint="eastAsia" w:ascii="宋体" w:hAnsi="宋体" w:eastAsia="宋体" w:cs="宋体"/>
                <w:snapToGrid w:val="0"/>
                <w:color w:val="auto"/>
                <w:sz w:val="24"/>
                <w:szCs w:val="24"/>
                <w:highlight w:val="none"/>
              </w:rPr>
            </w:pPr>
          </w:p>
        </w:tc>
        <w:tc>
          <w:tcPr>
            <w:tcW w:w="723" w:type="dxa"/>
          </w:tcPr>
          <w:p>
            <w:pPr>
              <w:spacing w:line="460" w:lineRule="exact"/>
              <w:rPr>
                <w:rFonts w:hint="eastAsia" w:ascii="宋体" w:hAnsi="宋体" w:eastAsia="宋体" w:cs="宋体"/>
                <w:snapToGrid w:val="0"/>
                <w:color w:val="auto"/>
                <w:sz w:val="24"/>
                <w:szCs w:val="24"/>
                <w:highlight w:val="none"/>
              </w:rPr>
            </w:pPr>
          </w:p>
        </w:tc>
        <w:tc>
          <w:tcPr>
            <w:tcW w:w="863" w:type="dxa"/>
          </w:tcPr>
          <w:p>
            <w:pPr>
              <w:spacing w:line="460" w:lineRule="exact"/>
              <w:rPr>
                <w:rFonts w:hint="eastAsia" w:ascii="宋体" w:hAnsi="宋体" w:eastAsia="宋体" w:cs="宋体"/>
                <w:snapToGrid w:val="0"/>
                <w:color w:val="auto"/>
                <w:sz w:val="24"/>
                <w:szCs w:val="24"/>
                <w:highlight w:val="none"/>
              </w:rPr>
            </w:pPr>
          </w:p>
        </w:tc>
        <w:tc>
          <w:tcPr>
            <w:tcW w:w="1071" w:type="dxa"/>
          </w:tcPr>
          <w:p>
            <w:pPr>
              <w:spacing w:line="460" w:lineRule="exact"/>
              <w:rPr>
                <w:rFonts w:hint="eastAsia" w:ascii="宋体" w:hAnsi="宋体" w:eastAsia="宋体" w:cs="宋体"/>
                <w:snapToGrid w:val="0"/>
                <w:color w:val="auto"/>
                <w:sz w:val="24"/>
                <w:szCs w:val="24"/>
                <w:highlight w:val="none"/>
              </w:rPr>
            </w:pPr>
          </w:p>
        </w:tc>
        <w:tc>
          <w:tcPr>
            <w:tcW w:w="1269"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snapToGrid w:val="0"/>
                <w:color w:val="auto"/>
                <w:sz w:val="24"/>
                <w:szCs w:val="24"/>
                <w:highlight w:val="none"/>
              </w:rPr>
            </w:pPr>
          </w:p>
        </w:tc>
        <w:tc>
          <w:tcPr>
            <w:tcW w:w="850" w:type="dxa"/>
          </w:tcPr>
          <w:p>
            <w:pPr>
              <w:spacing w:line="460" w:lineRule="exact"/>
              <w:rPr>
                <w:rFonts w:hint="eastAsia" w:ascii="宋体" w:hAnsi="宋体" w:eastAsia="宋体" w:cs="宋体"/>
                <w:snapToGrid w:val="0"/>
                <w:color w:val="auto"/>
                <w:sz w:val="24"/>
                <w:szCs w:val="24"/>
                <w:highlight w:val="none"/>
              </w:rPr>
            </w:pPr>
          </w:p>
        </w:tc>
        <w:tc>
          <w:tcPr>
            <w:tcW w:w="1005" w:type="dxa"/>
          </w:tcPr>
          <w:p>
            <w:pPr>
              <w:spacing w:line="460" w:lineRule="exact"/>
              <w:rPr>
                <w:rFonts w:hint="eastAsia" w:ascii="宋体" w:hAnsi="宋体" w:eastAsia="宋体" w:cs="宋体"/>
                <w:snapToGrid w:val="0"/>
                <w:color w:val="auto"/>
                <w:sz w:val="24"/>
                <w:szCs w:val="24"/>
                <w:highlight w:val="none"/>
              </w:rPr>
            </w:pPr>
          </w:p>
        </w:tc>
        <w:tc>
          <w:tcPr>
            <w:tcW w:w="810" w:type="dxa"/>
          </w:tcPr>
          <w:p>
            <w:pPr>
              <w:spacing w:line="460" w:lineRule="exact"/>
              <w:rPr>
                <w:rFonts w:hint="eastAsia" w:ascii="宋体" w:hAnsi="宋体" w:eastAsia="宋体" w:cs="宋体"/>
                <w:snapToGrid w:val="0"/>
                <w:color w:val="auto"/>
                <w:sz w:val="24"/>
                <w:szCs w:val="24"/>
                <w:highlight w:val="none"/>
              </w:rPr>
            </w:pPr>
          </w:p>
        </w:tc>
        <w:tc>
          <w:tcPr>
            <w:tcW w:w="723" w:type="dxa"/>
          </w:tcPr>
          <w:p>
            <w:pPr>
              <w:spacing w:line="460" w:lineRule="exact"/>
              <w:rPr>
                <w:rFonts w:hint="eastAsia" w:ascii="宋体" w:hAnsi="宋体" w:eastAsia="宋体" w:cs="宋体"/>
                <w:snapToGrid w:val="0"/>
                <w:color w:val="auto"/>
                <w:sz w:val="24"/>
                <w:szCs w:val="24"/>
                <w:highlight w:val="none"/>
              </w:rPr>
            </w:pPr>
          </w:p>
        </w:tc>
        <w:tc>
          <w:tcPr>
            <w:tcW w:w="863" w:type="dxa"/>
          </w:tcPr>
          <w:p>
            <w:pPr>
              <w:spacing w:line="460" w:lineRule="exact"/>
              <w:rPr>
                <w:rFonts w:hint="eastAsia" w:ascii="宋体" w:hAnsi="宋体" w:eastAsia="宋体" w:cs="宋体"/>
                <w:snapToGrid w:val="0"/>
                <w:color w:val="auto"/>
                <w:sz w:val="24"/>
                <w:szCs w:val="24"/>
                <w:highlight w:val="none"/>
              </w:rPr>
            </w:pPr>
          </w:p>
        </w:tc>
        <w:tc>
          <w:tcPr>
            <w:tcW w:w="1071" w:type="dxa"/>
          </w:tcPr>
          <w:p>
            <w:pPr>
              <w:spacing w:line="460" w:lineRule="exact"/>
              <w:rPr>
                <w:rFonts w:hint="eastAsia" w:ascii="宋体" w:hAnsi="宋体" w:eastAsia="宋体" w:cs="宋体"/>
                <w:snapToGrid w:val="0"/>
                <w:color w:val="auto"/>
                <w:sz w:val="24"/>
                <w:szCs w:val="24"/>
                <w:highlight w:val="none"/>
              </w:rPr>
            </w:pPr>
          </w:p>
        </w:tc>
        <w:tc>
          <w:tcPr>
            <w:tcW w:w="1269"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snapToGrid w:val="0"/>
                <w:color w:val="auto"/>
                <w:sz w:val="24"/>
                <w:szCs w:val="24"/>
                <w:highlight w:val="none"/>
              </w:rPr>
            </w:pPr>
          </w:p>
        </w:tc>
        <w:tc>
          <w:tcPr>
            <w:tcW w:w="850" w:type="dxa"/>
          </w:tcPr>
          <w:p>
            <w:pPr>
              <w:spacing w:line="460" w:lineRule="exact"/>
              <w:rPr>
                <w:rFonts w:hint="eastAsia" w:ascii="宋体" w:hAnsi="宋体" w:eastAsia="宋体" w:cs="宋体"/>
                <w:snapToGrid w:val="0"/>
                <w:color w:val="auto"/>
                <w:sz w:val="24"/>
                <w:szCs w:val="24"/>
                <w:highlight w:val="none"/>
              </w:rPr>
            </w:pPr>
          </w:p>
        </w:tc>
        <w:tc>
          <w:tcPr>
            <w:tcW w:w="1005" w:type="dxa"/>
          </w:tcPr>
          <w:p>
            <w:pPr>
              <w:spacing w:line="460" w:lineRule="exact"/>
              <w:rPr>
                <w:rFonts w:hint="eastAsia" w:ascii="宋体" w:hAnsi="宋体" w:eastAsia="宋体" w:cs="宋体"/>
                <w:snapToGrid w:val="0"/>
                <w:color w:val="auto"/>
                <w:sz w:val="24"/>
                <w:szCs w:val="24"/>
                <w:highlight w:val="none"/>
              </w:rPr>
            </w:pPr>
          </w:p>
        </w:tc>
        <w:tc>
          <w:tcPr>
            <w:tcW w:w="810" w:type="dxa"/>
          </w:tcPr>
          <w:p>
            <w:pPr>
              <w:spacing w:line="460" w:lineRule="exact"/>
              <w:rPr>
                <w:rFonts w:hint="eastAsia" w:ascii="宋体" w:hAnsi="宋体" w:eastAsia="宋体" w:cs="宋体"/>
                <w:snapToGrid w:val="0"/>
                <w:color w:val="auto"/>
                <w:sz w:val="24"/>
                <w:szCs w:val="24"/>
                <w:highlight w:val="none"/>
              </w:rPr>
            </w:pPr>
          </w:p>
        </w:tc>
        <w:tc>
          <w:tcPr>
            <w:tcW w:w="723" w:type="dxa"/>
          </w:tcPr>
          <w:p>
            <w:pPr>
              <w:spacing w:line="460" w:lineRule="exact"/>
              <w:rPr>
                <w:rFonts w:hint="eastAsia" w:ascii="宋体" w:hAnsi="宋体" w:eastAsia="宋体" w:cs="宋体"/>
                <w:snapToGrid w:val="0"/>
                <w:color w:val="auto"/>
                <w:sz w:val="24"/>
                <w:szCs w:val="24"/>
                <w:highlight w:val="none"/>
              </w:rPr>
            </w:pPr>
          </w:p>
        </w:tc>
        <w:tc>
          <w:tcPr>
            <w:tcW w:w="863" w:type="dxa"/>
          </w:tcPr>
          <w:p>
            <w:pPr>
              <w:spacing w:line="460" w:lineRule="exact"/>
              <w:rPr>
                <w:rFonts w:hint="eastAsia" w:ascii="宋体" w:hAnsi="宋体" w:eastAsia="宋体" w:cs="宋体"/>
                <w:snapToGrid w:val="0"/>
                <w:color w:val="auto"/>
                <w:sz w:val="24"/>
                <w:szCs w:val="24"/>
                <w:highlight w:val="none"/>
              </w:rPr>
            </w:pPr>
          </w:p>
        </w:tc>
        <w:tc>
          <w:tcPr>
            <w:tcW w:w="1071" w:type="dxa"/>
          </w:tcPr>
          <w:p>
            <w:pPr>
              <w:spacing w:line="460" w:lineRule="exact"/>
              <w:rPr>
                <w:rFonts w:hint="eastAsia" w:ascii="宋体" w:hAnsi="宋体" w:eastAsia="宋体" w:cs="宋体"/>
                <w:snapToGrid w:val="0"/>
                <w:color w:val="auto"/>
                <w:sz w:val="24"/>
                <w:szCs w:val="24"/>
                <w:highlight w:val="none"/>
              </w:rPr>
            </w:pPr>
          </w:p>
        </w:tc>
        <w:tc>
          <w:tcPr>
            <w:tcW w:w="1269"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snapToGrid w:val="0"/>
                <w:color w:val="auto"/>
                <w:sz w:val="24"/>
                <w:szCs w:val="24"/>
                <w:highlight w:val="none"/>
              </w:rPr>
            </w:pPr>
          </w:p>
        </w:tc>
        <w:tc>
          <w:tcPr>
            <w:tcW w:w="850" w:type="dxa"/>
          </w:tcPr>
          <w:p>
            <w:pPr>
              <w:spacing w:line="460" w:lineRule="exact"/>
              <w:rPr>
                <w:rFonts w:hint="eastAsia" w:ascii="宋体" w:hAnsi="宋体" w:eastAsia="宋体" w:cs="宋体"/>
                <w:snapToGrid w:val="0"/>
                <w:color w:val="auto"/>
                <w:sz w:val="24"/>
                <w:szCs w:val="24"/>
                <w:highlight w:val="none"/>
              </w:rPr>
            </w:pPr>
          </w:p>
        </w:tc>
        <w:tc>
          <w:tcPr>
            <w:tcW w:w="1005" w:type="dxa"/>
          </w:tcPr>
          <w:p>
            <w:pPr>
              <w:spacing w:line="460" w:lineRule="exact"/>
              <w:rPr>
                <w:rFonts w:hint="eastAsia" w:ascii="宋体" w:hAnsi="宋体" w:eastAsia="宋体" w:cs="宋体"/>
                <w:snapToGrid w:val="0"/>
                <w:color w:val="auto"/>
                <w:sz w:val="24"/>
                <w:szCs w:val="24"/>
                <w:highlight w:val="none"/>
              </w:rPr>
            </w:pPr>
          </w:p>
        </w:tc>
        <w:tc>
          <w:tcPr>
            <w:tcW w:w="810" w:type="dxa"/>
          </w:tcPr>
          <w:p>
            <w:pPr>
              <w:spacing w:line="460" w:lineRule="exact"/>
              <w:rPr>
                <w:rFonts w:hint="eastAsia" w:ascii="宋体" w:hAnsi="宋体" w:eastAsia="宋体" w:cs="宋体"/>
                <w:snapToGrid w:val="0"/>
                <w:color w:val="auto"/>
                <w:sz w:val="24"/>
                <w:szCs w:val="24"/>
                <w:highlight w:val="none"/>
              </w:rPr>
            </w:pPr>
          </w:p>
        </w:tc>
        <w:tc>
          <w:tcPr>
            <w:tcW w:w="723" w:type="dxa"/>
          </w:tcPr>
          <w:p>
            <w:pPr>
              <w:spacing w:line="460" w:lineRule="exact"/>
              <w:rPr>
                <w:rFonts w:hint="eastAsia" w:ascii="宋体" w:hAnsi="宋体" w:eastAsia="宋体" w:cs="宋体"/>
                <w:snapToGrid w:val="0"/>
                <w:color w:val="auto"/>
                <w:sz w:val="24"/>
                <w:szCs w:val="24"/>
                <w:highlight w:val="none"/>
              </w:rPr>
            </w:pPr>
          </w:p>
        </w:tc>
        <w:tc>
          <w:tcPr>
            <w:tcW w:w="863" w:type="dxa"/>
          </w:tcPr>
          <w:p>
            <w:pPr>
              <w:spacing w:line="460" w:lineRule="exact"/>
              <w:rPr>
                <w:rFonts w:hint="eastAsia" w:ascii="宋体" w:hAnsi="宋体" w:eastAsia="宋体" w:cs="宋体"/>
                <w:snapToGrid w:val="0"/>
                <w:color w:val="auto"/>
                <w:sz w:val="24"/>
                <w:szCs w:val="24"/>
                <w:highlight w:val="none"/>
              </w:rPr>
            </w:pPr>
          </w:p>
        </w:tc>
        <w:tc>
          <w:tcPr>
            <w:tcW w:w="1071" w:type="dxa"/>
          </w:tcPr>
          <w:p>
            <w:pPr>
              <w:spacing w:line="460" w:lineRule="exact"/>
              <w:rPr>
                <w:rFonts w:hint="eastAsia" w:ascii="宋体" w:hAnsi="宋体" w:eastAsia="宋体" w:cs="宋体"/>
                <w:snapToGrid w:val="0"/>
                <w:color w:val="auto"/>
                <w:sz w:val="24"/>
                <w:szCs w:val="24"/>
                <w:highlight w:val="none"/>
              </w:rPr>
            </w:pPr>
          </w:p>
        </w:tc>
        <w:tc>
          <w:tcPr>
            <w:tcW w:w="1269"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snapToGrid w:val="0"/>
                <w:color w:val="auto"/>
                <w:sz w:val="24"/>
                <w:szCs w:val="24"/>
                <w:highlight w:val="none"/>
              </w:rPr>
            </w:pPr>
          </w:p>
        </w:tc>
        <w:tc>
          <w:tcPr>
            <w:tcW w:w="850" w:type="dxa"/>
          </w:tcPr>
          <w:p>
            <w:pPr>
              <w:spacing w:line="460" w:lineRule="exact"/>
              <w:rPr>
                <w:rFonts w:hint="eastAsia" w:ascii="宋体" w:hAnsi="宋体" w:eastAsia="宋体" w:cs="宋体"/>
                <w:snapToGrid w:val="0"/>
                <w:color w:val="auto"/>
                <w:sz w:val="24"/>
                <w:szCs w:val="24"/>
                <w:highlight w:val="none"/>
              </w:rPr>
            </w:pPr>
          </w:p>
        </w:tc>
        <w:tc>
          <w:tcPr>
            <w:tcW w:w="1005" w:type="dxa"/>
          </w:tcPr>
          <w:p>
            <w:pPr>
              <w:spacing w:line="460" w:lineRule="exact"/>
              <w:rPr>
                <w:rFonts w:hint="eastAsia" w:ascii="宋体" w:hAnsi="宋体" w:eastAsia="宋体" w:cs="宋体"/>
                <w:snapToGrid w:val="0"/>
                <w:color w:val="auto"/>
                <w:sz w:val="24"/>
                <w:szCs w:val="24"/>
                <w:highlight w:val="none"/>
              </w:rPr>
            </w:pPr>
          </w:p>
        </w:tc>
        <w:tc>
          <w:tcPr>
            <w:tcW w:w="810" w:type="dxa"/>
          </w:tcPr>
          <w:p>
            <w:pPr>
              <w:spacing w:line="460" w:lineRule="exact"/>
              <w:rPr>
                <w:rFonts w:hint="eastAsia" w:ascii="宋体" w:hAnsi="宋体" w:eastAsia="宋体" w:cs="宋体"/>
                <w:snapToGrid w:val="0"/>
                <w:color w:val="auto"/>
                <w:sz w:val="24"/>
                <w:szCs w:val="24"/>
                <w:highlight w:val="none"/>
              </w:rPr>
            </w:pPr>
          </w:p>
        </w:tc>
        <w:tc>
          <w:tcPr>
            <w:tcW w:w="723" w:type="dxa"/>
          </w:tcPr>
          <w:p>
            <w:pPr>
              <w:spacing w:line="460" w:lineRule="exact"/>
              <w:rPr>
                <w:rFonts w:hint="eastAsia" w:ascii="宋体" w:hAnsi="宋体" w:eastAsia="宋体" w:cs="宋体"/>
                <w:snapToGrid w:val="0"/>
                <w:color w:val="auto"/>
                <w:sz w:val="24"/>
                <w:szCs w:val="24"/>
                <w:highlight w:val="none"/>
              </w:rPr>
            </w:pPr>
          </w:p>
        </w:tc>
        <w:tc>
          <w:tcPr>
            <w:tcW w:w="863" w:type="dxa"/>
          </w:tcPr>
          <w:p>
            <w:pPr>
              <w:spacing w:line="460" w:lineRule="exact"/>
              <w:rPr>
                <w:rFonts w:hint="eastAsia" w:ascii="宋体" w:hAnsi="宋体" w:eastAsia="宋体" w:cs="宋体"/>
                <w:snapToGrid w:val="0"/>
                <w:color w:val="auto"/>
                <w:sz w:val="24"/>
                <w:szCs w:val="24"/>
                <w:highlight w:val="none"/>
              </w:rPr>
            </w:pPr>
          </w:p>
        </w:tc>
        <w:tc>
          <w:tcPr>
            <w:tcW w:w="1071" w:type="dxa"/>
          </w:tcPr>
          <w:p>
            <w:pPr>
              <w:spacing w:line="460" w:lineRule="exact"/>
              <w:rPr>
                <w:rFonts w:hint="eastAsia" w:ascii="宋体" w:hAnsi="宋体" w:eastAsia="宋体" w:cs="宋体"/>
                <w:snapToGrid w:val="0"/>
                <w:color w:val="auto"/>
                <w:sz w:val="24"/>
                <w:szCs w:val="24"/>
                <w:highlight w:val="none"/>
              </w:rPr>
            </w:pPr>
          </w:p>
        </w:tc>
        <w:tc>
          <w:tcPr>
            <w:tcW w:w="1269"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snapToGrid w:val="0"/>
                <w:color w:val="auto"/>
                <w:sz w:val="24"/>
                <w:szCs w:val="24"/>
                <w:highlight w:val="none"/>
              </w:rPr>
            </w:pPr>
          </w:p>
        </w:tc>
        <w:tc>
          <w:tcPr>
            <w:tcW w:w="850" w:type="dxa"/>
          </w:tcPr>
          <w:p>
            <w:pPr>
              <w:spacing w:line="460" w:lineRule="exact"/>
              <w:rPr>
                <w:rFonts w:hint="eastAsia" w:ascii="宋体" w:hAnsi="宋体" w:eastAsia="宋体" w:cs="宋体"/>
                <w:snapToGrid w:val="0"/>
                <w:color w:val="auto"/>
                <w:sz w:val="24"/>
                <w:szCs w:val="24"/>
                <w:highlight w:val="none"/>
              </w:rPr>
            </w:pPr>
          </w:p>
        </w:tc>
        <w:tc>
          <w:tcPr>
            <w:tcW w:w="1005" w:type="dxa"/>
          </w:tcPr>
          <w:p>
            <w:pPr>
              <w:spacing w:line="460" w:lineRule="exact"/>
              <w:rPr>
                <w:rFonts w:hint="eastAsia" w:ascii="宋体" w:hAnsi="宋体" w:eastAsia="宋体" w:cs="宋体"/>
                <w:snapToGrid w:val="0"/>
                <w:color w:val="auto"/>
                <w:sz w:val="24"/>
                <w:szCs w:val="24"/>
                <w:highlight w:val="none"/>
              </w:rPr>
            </w:pPr>
          </w:p>
        </w:tc>
        <w:tc>
          <w:tcPr>
            <w:tcW w:w="810" w:type="dxa"/>
          </w:tcPr>
          <w:p>
            <w:pPr>
              <w:spacing w:line="460" w:lineRule="exact"/>
              <w:rPr>
                <w:rFonts w:hint="eastAsia" w:ascii="宋体" w:hAnsi="宋体" w:eastAsia="宋体" w:cs="宋体"/>
                <w:snapToGrid w:val="0"/>
                <w:color w:val="auto"/>
                <w:sz w:val="24"/>
                <w:szCs w:val="24"/>
                <w:highlight w:val="none"/>
              </w:rPr>
            </w:pPr>
          </w:p>
        </w:tc>
        <w:tc>
          <w:tcPr>
            <w:tcW w:w="723" w:type="dxa"/>
          </w:tcPr>
          <w:p>
            <w:pPr>
              <w:spacing w:line="460" w:lineRule="exact"/>
              <w:rPr>
                <w:rFonts w:hint="eastAsia" w:ascii="宋体" w:hAnsi="宋体" w:eastAsia="宋体" w:cs="宋体"/>
                <w:snapToGrid w:val="0"/>
                <w:color w:val="auto"/>
                <w:sz w:val="24"/>
                <w:szCs w:val="24"/>
                <w:highlight w:val="none"/>
              </w:rPr>
            </w:pPr>
          </w:p>
        </w:tc>
        <w:tc>
          <w:tcPr>
            <w:tcW w:w="863" w:type="dxa"/>
          </w:tcPr>
          <w:p>
            <w:pPr>
              <w:spacing w:line="460" w:lineRule="exact"/>
              <w:rPr>
                <w:rFonts w:hint="eastAsia" w:ascii="宋体" w:hAnsi="宋体" w:eastAsia="宋体" w:cs="宋体"/>
                <w:snapToGrid w:val="0"/>
                <w:color w:val="auto"/>
                <w:sz w:val="24"/>
                <w:szCs w:val="24"/>
                <w:highlight w:val="none"/>
              </w:rPr>
            </w:pPr>
          </w:p>
        </w:tc>
        <w:tc>
          <w:tcPr>
            <w:tcW w:w="1071" w:type="dxa"/>
          </w:tcPr>
          <w:p>
            <w:pPr>
              <w:spacing w:line="460" w:lineRule="exact"/>
              <w:rPr>
                <w:rFonts w:hint="eastAsia" w:ascii="宋体" w:hAnsi="宋体" w:eastAsia="宋体" w:cs="宋体"/>
                <w:snapToGrid w:val="0"/>
                <w:color w:val="auto"/>
                <w:sz w:val="24"/>
                <w:szCs w:val="24"/>
                <w:highlight w:val="none"/>
              </w:rPr>
            </w:pPr>
          </w:p>
        </w:tc>
        <w:tc>
          <w:tcPr>
            <w:tcW w:w="1269"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snapToGrid w:val="0"/>
                <w:color w:val="auto"/>
                <w:sz w:val="24"/>
                <w:szCs w:val="24"/>
                <w:highlight w:val="none"/>
              </w:rPr>
            </w:pPr>
          </w:p>
        </w:tc>
        <w:tc>
          <w:tcPr>
            <w:tcW w:w="850" w:type="dxa"/>
          </w:tcPr>
          <w:p>
            <w:pPr>
              <w:spacing w:line="460" w:lineRule="exact"/>
              <w:rPr>
                <w:rFonts w:hint="eastAsia" w:ascii="宋体" w:hAnsi="宋体" w:eastAsia="宋体" w:cs="宋体"/>
                <w:snapToGrid w:val="0"/>
                <w:color w:val="auto"/>
                <w:sz w:val="24"/>
                <w:szCs w:val="24"/>
                <w:highlight w:val="none"/>
              </w:rPr>
            </w:pPr>
          </w:p>
        </w:tc>
        <w:tc>
          <w:tcPr>
            <w:tcW w:w="1005" w:type="dxa"/>
          </w:tcPr>
          <w:p>
            <w:pPr>
              <w:spacing w:line="460" w:lineRule="exact"/>
              <w:rPr>
                <w:rFonts w:hint="eastAsia" w:ascii="宋体" w:hAnsi="宋体" w:eastAsia="宋体" w:cs="宋体"/>
                <w:snapToGrid w:val="0"/>
                <w:color w:val="auto"/>
                <w:sz w:val="24"/>
                <w:szCs w:val="24"/>
                <w:highlight w:val="none"/>
              </w:rPr>
            </w:pPr>
          </w:p>
        </w:tc>
        <w:tc>
          <w:tcPr>
            <w:tcW w:w="810" w:type="dxa"/>
          </w:tcPr>
          <w:p>
            <w:pPr>
              <w:spacing w:line="460" w:lineRule="exact"/>
              <w:rPr>
                <w:rFonts w:hint="eastAsia" w:ascii="宋体" w:hAnsi="宋体" w:eastAsia="宋体" w:cs="宋体"/>
                <w:snapToGrid w:val="0"/>
                <w:color w:val="auto"/>
                <w:sz w:val="24"/>
                <w:szCs w:val="24"/>
                <w:highlight w:val="none"/>
              </w:rPr>
            </w:pPr>
          </w:p>
        </w:tc>
        <w:tc>
          <w:tcPr>
            <w:tcW w:w="723" w:type="dxa"/>
          </w:tcPr>
          <w:p>
            <w:pPr>
              <w:spacing w:line="460" w:lineRule="exact"/>
              <w:rPr>
                <w:rFonts w:hint="eastAsia" w:ascii="宋体" w:hAnsi="宋体" w:eastAsia="宋体" w:cs="宋体"/>
                <w:snapToGrid w:val="0"/>
                <w:color w:val="auto"/>
                <w:sz w:val="24"/>
                <w:szCs w:val="24"/>
                <w:highlight w:val="none"/>
              </w:rPr>
            </w:pPr>
          </w:p>
        </w:tc>
        <w:tc>
          <w:tcPr>
            <w:tcW w:w="863" w:type="dxa"/>
          </w:tcPr>
          <w:p>
            <w:pPr>
              <w:spacing w:line="460" w:lineRule="exact"/>
              <w:rPr>
                <w:rFonts w:hint="eastAsia" w:ascii="宋体" w:hAnsi="宋体" w:eastAsia="宋体" w:cs="宋体"/>
                <w:snapToGrid w:val="0"/>
                <w:color w:val="auto"/>
                <w:sz w:val="24"/>
                <w:szCs w:val="24"/>
                <w:highlight w:val="none"/>
              </w:rPr>
            </w:pPr>
          </w:p>
        </w:tc>
        <w:tc>
          <w:tcPr>
            <w:tcW w:w="1071" w:type="dxa"/>
          </w:tcPr>
          <w:p>
            <w:pPr>
              <w:spacing w:line="460" w:lineRule="exact"/>
              <w:rPr>
                <w:rFonts w:hint="eastAsia" w:ascii="宋体" w:hAnsi="宋体" w:eastAsia="宋体" w:cs="宋体"/>
                <w:snapToGrid w:val="0"/>
                <w:color w:val="auto"/>
                <w:sz w:val="24"/>
                <w:szCs w:val="24"/>
                <w:highlight w:val="none"/>
              </w:rPr>
            </w:pPr>
          </w:p>
        </w:tc>
        <w:tc>
          <w:tcPr>
            <w:tcW w:w="1269"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snapToGrid w:val="0"/>
                <w:color w:val="auto"/>
                <w:sz w:val="24"/>
                <w:szCs w:val="24"/>
                <w:highlight w:val="none"/>
              </w:rPr>
            </w:pPr>
          </w:p>
        </w:tc>
        <w:tc>
          <w:tcPr>
            <w:tcW w:w="850" w:type="dxa"/>
          </w:tcPr>
          <w:p>
            <w:pPr>
              <w:spacing w:line="460" w:lineRule="exact"/>
              <w:rPr>
                <w:rFonts w:hint="eastAsia" w:ascii="宋体" w:hAnsi="宋体" w:eastAsia="宋体" w:cs="宋体"/>
                <w:snapToGrid w:val="0"/>
                <w:color w:val="auto"/>
                <w:sz w:val="24"/>
                <w:szCs w:val="24"/>
                <w:highlight w:val="none"/>
              </w:rPr>
            </w:pPr>
          </w:p>
        </w:tc>
        <w:tc>
          <w:tcPr>
            <w:tcW w:w="1005" w:type="dxa"/>
          </w:tcPr>
          <w:p>
            <w:pPr>
              <w:spacing w:line="460" w:lineRule="exact"/>
              <w:rPr>
                <w:rFonts w:hint="eastAsia" w:ascii="宋体" w:hAnsi="宋体" w:eastAsia="宋体" w:cs="宋体"/>
                <w:snapToGrid w:val="0"/>
                <w:color w:val="auto"/>
                <w:sz w:val="24"/>
                <w:szCs w:val="24"/>
                <w:highlight w:val="none"/>
              </w:rPr>
            </w:pPr>
          </w:p>
        </w:tc>
        <w:tc>
          <w:tcPr>
            <w:tcW w:w="810" w:type="dxa"/>
          </w:tcPr>
          <w:p>
            <w:pPr>
              <w:spacing w:line="460" w:lineRule="exact"/>
              <w:rPr>
                <w:rFonts w:hint="eastAsia" w:ascii="宋体" w:hAnsi="宋体" w:eastAsia="宋体" w:cs="宋体"/>
                <w:snapToGrid w:val="0"/>
                <w:color w:val="auto"/>
                <w:sz w:val="24"/>
                <w:szCs w:val="24"/>
                <w:highlight w:val="none"/>
              </w:rPr>
            </w:pPr>
          </w:p>
        </w:tc>
        <w:tc>
          <w:tcPr>
            <w:tcW w:w="723" w:type="dxa"/>
          </w:tcPr>
          <w:p>
            <w:pPr>
              <w:spacing w:line="460" w:lineRule="exact"/>
              <w:rPr>
                <w:rFonts w:hint="eastAsia" w:ascii="宋体" w:hAnsi="宋体" w:eastAsia="宋体" w:cs="宋体"/>
                <w:snapToGrid w:val="0"/>
                <w:color w:val="auto"/>
                <w:sz w:val="24"/>
                <w:szCs w:val="24"/>
                <w:highlight w:val="none"/>
              </w:rPr>
            </w:pPr>
          </w:p>
        </w:tc>
        <w:tc>
          <w:tcPr>
            <w:tcW w:w="863" w:type="dxa"/>
          </w:tcPr>
          <w:p>
            <w:pPr>
              <w:spacing w:line="460" w:lineRule="exact"/>
              <w:rPr>
                <w:rFonts w:hint="eastAsia" w:ascii="宋体" w:hAnsi="宋体" w:eastAsia="宋体" w:cs="宋体"/>
                <w:snapToGrid w:val="0"/>
                <w:color w:val="auto"/>
                <w:sz w:val="24"/>
                <w:szCs w:val="24"/>
                <w:highlight w:val="none"/>
              </w:rPr>
            </w:pPr>
          </w:p>
        </w:tc>
        <w:tc>
          <w:tcPr>
            <w:tcW w:w="1071" w:type="dxa"/>
          </w:tcPr>
          <w:p>
            <w:pPr>
              <w:spacing w:line="460" w:lineRule="exact"/>
              <w:rPr>
                <w:rFonts w:hint="eastAsia" w:ascii="宋体" w:hAnsi="宋体" w:eastAsia="宋体" w:cs="宋体"/>
                <w:snapToGrid w:val="0"/>
                <w:color w:val="auto"/>
                <w:sz w:val="24"/>
                <w:szCs w:val="24"/>
                <w:highlight w:val="none"/>
              </w:rPr>
            </w:pPr>
          </w:p>
        </w:tc>
        <w:tc>
          <w:tcPr>
            <w:tcW w:w="1269"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snapToGrid w:val="0"/>
                <w:color w:val="auto"/>
                <w:sz w:val="24"/>
                <w:szCs w:val="24"/>
                <w:highlight w:val="none"/>
              </w:rPr>
            </w:pPr>
          </w:p>
        </w:tc>
        <w:tc>
          <w:tcPr>
            <w:tcW w:w="850" w:type="dxa"/>
          </w:tcPr>
          <w:p>
            <w:pPr>
              <w:spacing w:line="460" w:lineRule="exact"/>
              <w:rPr>
                <w:rFonts w:hint="eastAsia" w:ascii="宋体" w:hAnsi="宋体" w:eastAsia="宋体" w:cs="宋体"/>
                <w:snapToGrid w:val="0"/>
                <w:color w:val="auto"/>
                <w:sz w:val="24"/>
                <w:szCs w:val="24"/>
                <w:highlight w:val="none"/>
              </w:rPr>
            </w:pPr>
          </w:p>
        </w:tc>
        <w:tc>
          <w:tcPr>
            <w:tcW w:w="1005" w:type="dxa"/>
          </w:tcPr>
          <w:p>
            <w:pPr>
              <w:spacing w:line="460" w:lineRule="exact"/>
              <w:rPr>
                <w:rFonts w:hint="eastAsia" w:ascii="宋体" w:hAnsi="宋体" w:eastAsia="宋体" w:cs="宋体"/>
                <w:snapToGrid w:val="0"/>
                <w:color w:val="auto"/>
                <w:sz w:val="24"/>
                <w:szCs w:val="24"/>
                <w:highlight w:val="none"/>
              </w:rPr>
            </w:pPr>
          </w:p>
        </w:tc>
        <w:tc>
          <w:tcPr>
            <w:tcW w:w="810" w:type="dxa"/>
          </w:tcPr>
          <w:p>
            <w:pPr>
              <w:spacing w:line="460" w:lineRule="exact"/>
              <w:rPr>
                <w:rFonts w:hint="eastAsia" w:ascii="宋体" w:hAnsi="宋体" w:eastAsia="宋体" w:cs="宋体"/>
                <w:snapToGrid w:val="0"/>
                <w:color w:val="auto"/>
                <w:sz w:val="24"/>
                <w:szCs w:val="24"/>
                <w:highlight w:val="none"/>
              </w:rPr>
            </w:pPr>
          </w:p>
        </w:tc>
        <w:tc>
          <w:tcPr>
            <w:tcW w:w="723" w:type="dxa"/>
          </w:tcPr>
          <w:p>
            <w:pPr>
              <w:spacing w:line="460" w:lineRule="exact"/>
              <w:rPr>
                <w:rFonts w:hint="eastAsia" w:ascii="宋体" w:hAnsi="宋体" w:eastAsia="宋体" w:cs="宋体"/>
                <w:snapToGrid w:val="0"/>
                <w:color w:val="auto"/>
                <w:sz w:val="24"/>
                <w:szCs w:val="24"/>
                <w:highlight w:val="none"/>
              </w:rPr>
            </w:pPr>
          </w:p>
        </w:tc>
        <w:tc>
          <w:tcPr>
            <w:tcW w:w="863" w:type="dxa"/>
          </w:tcPr>
          <w:p>
            <w:pPr>
              <w:spacing w:line="460" w:lineRule="exact"/>
              <w:rPr>
                <w:rFonts w:hint="eastAsia" w:ascii="宋体" w:hAnsi="宋体" w:eastAsia="宋体" w:cs="宋体"/>
                <w:snapToGrid w:val="0"/>
                <w:color w:val="auto"/>
                <w:sz w:val="24"/>
                <w:szCs w:val="24"/>
                <w:highlight w:val="none"/>
              </w:rPr>
            </w:pPr>
          </w:p>
        </w:tc>
        <w:tc>
          <w:tcPr>
            <w:tcW w:w="1071" w:type="dxa"/>
          </w:tcPr>
          <w:p>
            <w:pPr>
              <w:spacing w:line="460" w:lineRule="exact"/>
              <w:rPr>
                <w:rFonts w:hint="eastAsia" w:ascii="宋体" w:hAnsi="宋体" w:eastAsia="宋体" w:cs="宋体"/>
                <w:snapToGrid w:val="0"/>
                <w:color w:val="auto"/>
                <w:sz w:val="24"/>
                <w:szCs w:val="24"/>
                <w:highlight w:val="none"/>
              </w:rPr>
            </w:pPr>
          </w:p>
        </w:tc>
        <w:tc>
          <w:tcPr>
            <w:tcW w:w="1269"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snapToGrid w:val="0"/>
                <w:color w:val="auto"/>
                <w:sz w:val="24"/>
                <w:szCs w:val="24"/>
                <w:highlight w:val="none"/>
              </w:rPr>
            </w:pPr>
          </w:p>
        </w:tc>
        <w:tc>
          <w:tcPr>
            <w:tcW w:w="850" w:type="dxa"/>
          </w:tcPr>
          <w:p>
            <w:pPr>
              <w:spacing w:line="460" w:lineRule="exact"/>
              <w:rPr>
                <w:rFonts w:hint="eastAsia" w:ascii="宋体" w:hAnsi="宋体" w:eastAsia="宋体" w:cs="宋体"/>
                <w:snapToGrid w:val="0"/>
                <w:color w:val="auto"/>
                <w:sz w:val="24"/>
                <w:szCs w:val="24"/>
                <w:highlight w:val="none"/>
              </w:rPr>
            </w:pPr>
          </w:p>
        </w:tc>
        <w:tc>
          <w:tcPr>
            <w:tcW w:w="1005" w:type="dxa"/>
          </w:tcPr>
          <w:p>
            <w:pPr>
              <w:spacing w:line="460" w:lineRule="exact"/>
              <w:rPr>
                <w:rFonts w:hint="eastAsia" w:ascii="宋体" w:hAnsi="宋体" w:eastAsia="宋体" w:cs="宋体"/>
                <w:snapToGrid w:val="0"/>
                <w:color w:val="auto"/>
                <w:sz w:val="24"/>
                <w:szCs w:val="24"/>
                <w:highlight w:val="none"/>
              </w:rPr>
            </w:pPr>
          </w:p>
        </w:tc>
        <w:tc>
          <w:tcPr>
            <w:tcW w:w="810" w:type="dxa"/>
          </w:tcPr>
          <w:p>
            <w:pPr>
              <w:spacing w:line="460" w:lineRule="exact"/>
              <w:rPr>
                <w:rFonts w:hint="eastAsia" w:ascii="宋体" w:hAnsi="宋体" w:eastAsia="宋体" w:cs="宋体"/>
                <w:snapToGrid w:val="0"/>
                <w:color w:val="auto"/>
                <w:sz w:val="24"/>
                <w:szCs w:val="24"/>
                <w:highlight w:val="none"/>
              </w:rPr>
            </w:pPr>
          </w:p>
        </w:tc>
        <w:tc>
          <w:tcPr>
            <w:tcW w:w="723" w:type="dxa"/>
          </w:tcPr>
          <w:p>
            <w:pPr>
              <w:spacing w:line="460" w:lineRule="exact"/>
              <w:rPr>
                <w:rFonts w:hint="eastAsia" w:ascii="宋体" w:hAnsi="宋体" w:eastAsia="宋体" w:cs="宋体"/>
                <w:snapToGrid w:val="0"/>
                <w:color w:val="auto"/>
                <w:sz w:val="24"/>
                <w:szCs w:val="24"/>
                <w:highlight w:val="none"/>
              </w:rPr>
            </w:pPr>
          </w:p>
        </w:tc>
        <w:tc>
          <w:tcPr>
            <w:tcW w:w="863" w:type="dxa"/>
          </w:tcPr>
          <w:p>
            <w:pPr>
              <w:spacing w:line="460" w:lineRule="exact"/>
              <w:rPr>
                <w:rFonts w:hint="eastAsia" w:ascii="宋体" w:hAnsi="宋体" w:eastAsia="宋体" w:cs="宋体"/>
                <w:snapToGrid w:val="0"/>
                <w:color w:val="auto"/>
                <w:sz w:val="24"/>
                <w:szCs w:val="24"/>
                <w:highlight w:val="none"/>
              </w:rPr>
            </w:pPr>
          </w:p>
        </w:tc>
        <w:tc>
          <w:tcPr>
            <w:tcW w:w="1071" w:type="dxa"/>
          </w:tcPr>
          <w:p>
            <w:pPr>
              <w:spacing w:line="460" w:lineRule="exact"/>
              <w:rPr>
                <w:rFonts w:hint="eastAsia" w:ascii="宋体" w:hAnsi="宋体" w:eastAsia="宋体" w:cs="宋体"/>
                <w:snapToGrid w:val="0"/>
                <w:color w:val="auto"/>
                <w:sz w:val="24"/>
                <w:szCs w:val="24"/>
                <w:highlight w:val="none"/>
              </w:rPr>
            </w:pPr>
          </w:p>
        </w:tc>
        <w:tc>
          <w:tcPr>
            <w:tcW w:w="1269"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snapToGrid w:val="0"/>
                <w:color w:val="auto"/>
                <w:sz w:val="24"/>
                <w:szCs w:val="24"/>
                <w:highlight w:val="none"/>
              </w:rPr>
            </w:pPr>
          </w:p>
        </w:tc>
        <w:tc>
          <w:tcPr>
            <w:tcW w:w="850" w:type="dxa"/>
          </w:tcPr>
          <w:p>
            <w:pPr>
              <w:spacing w:line="460" w:lineRule="exact"/>
              <w:rPr>
                <w:rFonts w:hint="eastAsia" w:ascii="宋体" w:hAnsi="宋体" w:eastAsia="宋体" w:cs="宋体"/>
                <w:snapToGrid w:val="0"/>
                <w:color w:val="auto"/>
                <w:sz w:val="24"/>
                <w:szCs w:val="24"/>
                <w:highlight w:val="none"/>
              </w:rPr>
            </w:pPr>
          </w:p>
        </w:tc>
        <w:tc>
          <w:tcPr>
            <w:tcW w:w="1005" w:type="dxa"/>
          </w:tcPr>
          <w:p>
            <w:pPr>
              <w:spacing w:line="460" w:lineRule="exact"/>
              <w:rPr>
                <w:rFonts w:hint="eastAsia" w:ascii="宋体" w:hAnsi="宋体" w:eastAsia="宋体" w:cs="宋体"/>
                <w:snapToGrid w:val="0"/>
                <w:color w:val="auto"/>
                <w:sz w:val="24"/>
                <w:szCs w:val="24"/>
                <w:highlight w:val="none"/>
              </w:rPr>
            </w:pPr>
          </w:p>
        </w:tc>
        <w:tc>
          <w:tcPr>
            <w:tcW w:w="810" w:type="dxa"/>
          </w:tcPr>
          <w:p>
            <w:pPr>
              <w:spacing w:line="460" w:lineRule="exact"/>
              <w:rPr>
                <w:rFonts w:hint="eastAsia" w:ascii="宋体" w:hAnsi="宋体" w:eastAsia="宋体" w:cs="宋体"/>
                <w:snapToGrid w:val="0"/>
                <w:color w:val="auto"/>
                <w:sz w:val="24"/>
                <w:szCs w:val="24"/>
                <w:highlight w:val="none"/>
              </w:rPr>
            </w:pPr>
          </w:p>
        </w:tc>
        <w:tc>
          <w:tcPr>
            <w:tcW w:w="723" w:type="dxa"/>
          </w:tcPr>
          <w:p>
            <w:pPr>
              <w:spacing w:line="460" w:lineRule="exact"/>
              <w:rPr>
                <w:rFonts w:hint="eastAsia" w:ascii="宋体" w:hAnsi="宋体" w:eastAsia="宋体" w:cs="宋体"/>
                <w:snapToGrid w:val="0"/>
                <w:color w:val="auto"/>
                <w:sz w:val="24"/>
                <w:szCs w:val="24"/>
                <w:highlight w:val="none"/>
              </w:rPr>
            </w:pPr>
          </w:p>
        </w:tc>
        <w:tc>
          <w:tcPr>
            <w:tcW w:w="863" w:type="dxa"/>
          </w:tcPr>
          <w:p>
            <w:pPr>
              <w:spacing w:line="460" w:lineRule="exact"/>
              <w:rPr>
                <w:rFonts w:hint="eastAsia" w:ascii="宋体" w:hAnsi="宋体" w:eastAsia="宋体" w:cs="宋体"/>
                <w:snapToGrid w:val="0"/>
                <w:color w:val="auto"/>
                <w:sz w:val="24"/>
                <w:szCs w:val="24"/>
                <w:highlight w:val="none"/>
              </w:rPr>
            </w:pPr>
          </w:p>
        </w:tc>
        <w:tc>
          <w:tcPr>
            <w:tcW w:w="1071" w:type="dxa"/>
          </w:tcPr>
          <w:p>
            <w:pPr>
              <w:spacing w:line="460" w:lineRule="exact"/>
              <w:rPr>
                <w:rFonts w:hint="eastAsia" w:ascii="宋体" w:hAnsi="宋体" w:eastAsia="宋体" w:cs="宋体"/>
                <w:snapToGrid w:val="0"/>
                <w:color w:val="auto"/>
                <w:sz w:val="24"/>
                <w:szCs w:val="24"/>
                <w:highlight w:val="none"/>
              </w:rPr>
            </w:pPr>
          </w:p>
        </w:tc>
        <w:tc>
          <w:tcPr>
            <w:tcW w:w="1269"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snapToGrid w:val="0"/>
                <w:color w:val="auto"/>
                <w:sz w:val="24"/>
                <w:szCs w:val="24"/>
                <w:highlight w:val="none"/>
              </w:rPr>
            </w:pPr>
          </w:p>
        </w:tc>
        <w:tc>
          <w:tcPr>
            <w:tcW w:w="850" w:type="dxa"/>
          </w:tcPr>
          <w:p>
            <w:pPr>
              <w:spacing w:line="460" w:lineRule="exact"/>
              <w:rPr>
                <w:rFonts w:hint="eastAsia" w:ascii="宋体" w:hAnsi="宋体" w:eastAsia="宋体" w:cs="宋体"/>
                <w:snapToGrid w:val="0"/>
                <w:color w:val="auto"/>
                <w:sz w:val="24"/>
                <w:szCs w:val="24"/>
                <w:highlight w:val="none"/>
              </w:rPr>
            </w:pPr>
          </w:p>
        </w:tc>
        <w:tc>
          <w:tcPr>
            <w:tcW w:w="1005" w:type="dxa"/>
          </w:tcPr>
          <w:p>
            <w:pPr>
              <w:spacing w:line="460" w:lineRule="exact"/>
              <w:rPr>
                <w:rFonts w:hint="eastAsia" w:ascii="宋体" w:hAnsi="宋体" w:eastAsia="宋体" w:cs="宋体"/>
                <w:snapToGrid w:val="0"/>
                <w:color w:val="auto"/>
                <w:sz w:val="24"/>
                <w:szCs w:val="24"/>
                <w:highlight w:val="none"/>
              </w:rPr>
            </w:pPr>
          </w:p>
        </w:tc>
        <w:tc>
          <w:tcPr>
            <w:tcW w:w="810" w:type="dxa"/>
          </w:tcPr>
          <w:p>
            <w:pPr>
              <w:spacing w:line="460" w:lineRule="exact"/>
              <w:rPr>
                <w:rFonts w:hint="eastAsia" w:ascii="宋体" w:hAnsi="宋体" w:eastAsia="宋体" w:cs="宋体"/>
                <w:snapToGrid w:val="0"/>
                <w:color w:val="auto"/>
                <w:sz w:val="24"/>
                <w:szCs w:val="24"/>
                <w:highlight w:val="none"/>
              </w:rPr>
            </w:pPr>
          </w:p>
        </w:tc>
        <w:tc>
          <w:tcPr>
            <w:tcW w:w="723" w:type="dxa"/>
          </w:tcPr>
          <w:p>
            <w:pPr>
              <w:spacing w:line="460" w:lineRule="exact"/>
              <w:rPr>
                <w:rFonts w:hint="eastAsia" w:ascii="宋体" w:hAnsi="宋体" w:eastAsia="宋体" w:cs="宋体"/>
                <w:snapToGrid w:val="0"/>
                <w:color w:val="auto"/>
                <w:sz w:val="24"/>
                <w:szCs w:val="24"/>
                <w:highlight w:val="none"/>
              </w:rPr>
            </w:pPr>
          </w:p>
        </w:tc>
        <w:tc>
          <w:tcPr>
            <w:tcW w:w="863" w:type="dxa"/>
          </w:tcPr>
          <w:p>
            <w:pPr>
              <w:spacing w:line="460" w:lineRule="exact"/>
              <w:rPr>
                <w:rFonts w:hint="eastAsia" w:ascii="宋体" w:hAnsi="宋体" w:eastAsia="宋体" w:cs="宋体"/>
                <w:snapToGrid w:val="0"/>
                <w:color w:val="auto"/>
                <w:sz w:val="24"/>
                <w:szCs w:val="24"/>
                <w:highlight w:val="none"/>
              </w:rPr>
            </w:pPr>
          </w:p>
        </w:tc>
        <w:tc>
          <w:tcPr>
            <w:tcW w:w="1071" w:type="dxa"/>
          </w:tcPr>
          <w:p>
            <w:pPr>
              <w:spacing w:line="460" w:lineRule="exact"/>
              <w:rPr>
                <w:rFonts w:hint="eastAsia" w:ascii="宋体" w:hAnsi="宋体" w:eastAsia="宋体" w:cs="宋体"/>
                <w:snapToGrid w:val="0"/>
                <w:color w:val="auto"/>
                <w:sz w:val="24"/>
                <w:szCs w:val="24"/>
                <w:highlight w:val="none"/>
              </w:rPr>
            </w:pPr>
          </w:p>
        </w:tc>
        <w:tc>
          <w:tcPr>
            <w:tcW w:w="1269"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snapToGrid w:val="0"/>
                <w:color w:val="auto"/>
                <w:sz w:val="24"/>
                <w:szCs w:val="24"/>
                <w:highlight w:val="none"/>
              </w:rPr>
            </w:pPr>
          </w:p>
        </w:tc>
        <w:tc>
          <w:tcPr>
            <w:tcW w:w="850" w:type="dxa"/>
          </w:tcPr>
          <w:p>
            <w:pPr>
              <w:spacing w:line="460" w:lineRule="exact"/>
              <w:rPr>
                <w:rFonts w:hint="eastAsia" w:ascii="宋体" w:hAnsi="宋体" w:eastAsia="宋体" w:cs="宋体"/>
                <w:snapToGrid w:val="0"/>
                <w:color w:val="auto"/>
                <w:sz w:val="24"/>
                <w:szCs w:val="24"/>
                <w:highlight w:val="none"/>
              </w:rPr>
            </w:pPr>
          </w:p>
        </w:tc>
        <w:tc>
          <w:tcPr>
            <w:tcW w:w="1005" w:type="dxa"/>
          </w:tcPr>
          <w:p>
            <w:pPr>
              <w:spacing w:line="460" w:lineRule="exact"/>
              <w:rPr>
                <w:rFonts w:hint="eastAsia" w:ascii="宋体" w:hAnsi="宋体" w:eastAsia="宋体" w:cs="宋体"/>
                <w:snapToGrid w:val="0"/>
                <w:color w:val="auto"/>
                <w:sz w:val="24"/>
                <w:szCs w:val="24"/>
                <w:highlight w:val="none"/>
              </w:rPr>
            </w:pPr>
          </w:p>
        </w:tc>
        <w:tc>
          <w:tcPr>
            <w:tcW w:w="810" w:type="dxa"/>
          </w:tcPr>
          <w:p>
            <w:pPr>
              <w:spacing w:line="460" w:lineRule="exact"/>
              <w:rPr>
                <w:rFonts w:hint="eastAsia" w:ascii="宋体" w:hAnsi="宋体" w:eastAsia="宋体" w:cs="宋体"/>
                <w:snapToGrid w:val="0"/>
                <w:color w:val="auto"/>
                <w:sz w:val="24"/>
                <w:szCs w:val="24"/>
                <w:highlight w:val="none"/>
              </w:rPr>
            </w:pPr>
          </w:p>
        </w:tc>
        <w:tc>
          <w:tcPr>
            <w:tcW w:w="723" w:type="dxa"/>
          </w:tcPr>
          <w:p>
            <w:pPr>
              <w:spacing w:line="460" w:lineRule="exact"/>
              <w:rPr>
                <w:rFonts w:hint="eastAsia" w:ascii="宋体" w:hAnsi="宋体" w:eastAsia="宋体" w:cs="宋体"/>
                <w:snapToGrid w:val="0"/>
                <w:color w:val="auto"/>
                <w:sz w:val="24"/>
                <w:szCs w:val="24"/>
                <w:highlight w:val="none"/>
              </w:rPr>
            </w:pPr>
          </w:p>
        </w:tc>
        <w:tc>
          <w:tcPr>
            <w:tcW w:w="863" w:type="dxa"/>
          </w:tcPr>
          <w:p>
            <w:pPr>
              <w:spacing w:line="460" w:lineRule="exact"/>
              <w:rPr>
                <w:rFonts w:hint="eastAsia" w:ascii="宋体" w:hAnsi="宋体" w:eastAsia="宋体" w:cs="宋体"/>
                <w:snapToGrid w:val="0"/>
                <w:color w:val="auto"/>
                <w:sz w:val="24"/>
                <w:szCs w:val="24"/>
                <w:highlight w:val="none"/>
              </w:rPr>
            </w:pPr>
          </w:p>
        </w:tc>
        <w:tc>
          <w:tcPr>
            <w:tcW w:w="1071" w:type="dxa"/>
          </w:tcPr>
          <w:p>
            <w:pPr>
              <w:spacing w:line="460" w:lineRule="exact"/>
              <w:rPr>
                <w:rFonts w:hint="eastAsia" w:ascii="宋体" w:hAnsi="宋体" w:eastAsia="宋体" w:cs="宋体"/>
                <w:snapToGrid w:val="0"/>
                <w:color w:val="auto"/>
                <w:sz w:val="24"/>
                <w:szCs w:val="24"/>
                <w:highlight w:val="none"/>
              </w:rPr>
            </w:pPr>
          </w:p>
        </w:tc>
        <w:tc>
          <w:tcPr>
            <w:tcW w:w="1269"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snapToGrid w:val="0"/>
                <w:color w:val="auto"/>
                <w:sz w:val="24"/>
                <w:szCs w:val="24"/>
                <w:highlight w:val="none"/>
              </w:rPr>
            </w:pPr>
          </w:p>
        </w:tc>
        <w:tc>
          <w:tcPr>
            <w:tcW w:w="850" w:type="dxa"/>
          </w:tcPr>
          <w:p>
            <w:pPr>
              <w:spacing w:line="460" w:lineRule="exact"/>
              <w:rPr>
                <w:rFonts w:hint="eastAsia" w:ascii="宋体" w:hAnsi="宋体" w:eastAsia="宋体" w:cs="宋体"/>
                <w:snapToGrid w:val="0"/>
                <w:color w:val="auto"/>
                <w:sz w:val="24"/>
                <w:szCs w:val="24"/>
                <w:highlight w:val="none"/>
              </w:rPr>
            </w:pPr>
          </w:p>
        </w:tc>
        <w:tc>
          <w:tcPr>
            <w:tcW w:w="1005" w:type="dxa"/>
          </w:tcPr>
          <w:p>
            <w:pPr>
              <w:spacing w:line="460" w:lineRule="exact"/>
              <w:rPr>
                <w:rFonts w:hint="eastAsia" w:ascii="宋体" w:hAnsi="宋体" w:eastAsia="宋体" w:cs="宋体"/>
                <w:snapToGrid w:val="0"/>
                <w:color w:val="auto"/>
                <w:sz w:val="24"/>
                <w:szCs w:val="24"/>
                <w:highlight w:val="none"/>
              </w:rPr>
            </w:pPr>
          </w:p>
        </w:tc>
        <w:tc>
          <w:tcPr>
            <w:tcW w:w="810" w:type="dxa"/>
          </w:tcPr>
          <w:p>
            <w:pPr>
              <w:spacing w:line="460" w:lineRule="exact"/>
              <w:rPr>
                <w:rFonts w:hint="eastAsia" w:ascii="宋体" w:hAnsi="宋体" w:eastAsia="宋体" w:cs="宋体"/>
                <w:snapToGrid w:val="0"/>
                <w:color w:val="auto"/>
                <w:sz w:val="24"/>
                <w:szCs w:val="24"/>
                <w:highlight w:val="none"/>
              </w:rPr>
            </w:pPr>
          </w:p>
        </w:tc>
        <w:tc>
          <w:tcPr>
            <w:tcW w:w="723" w:type="dxa"/>
          </w:tcPr>
          <w:p>
            <w:pPr>
              <w:spacing w:line="460" w:lineRule="exact"/>
              <w:rPr>
                <w:rFonts w:hint="eastAsia" w:ascii="宋体" w:hAnsi="宋体" w:eastAsia="宋体" w:cs="宋体"/>
                <w:snapToGrid w:val="0"/>
                <w:color w:val="auto"/>
                <w:sz w:val="24"/>
                <w:szCs w:val="24"/>
                <w:highlight w:val="none"/>
              </w:rPr>
            </w:pPr>
          </w:p>
        </w:tc>
        <w:tc>
          <w:tcPr>
            <w:tcW w:w="863" w:type="dxa"/>
          </w:tcPr>
          <w:p>
            <w:pPr>
              <w:spacing w:line="460" w:lineRule="exact"/>
              <w:rPr>
                <w:rFonts w:hint="eastAsia" w:ascii="宋体" w:hAnsi="宋体" w:eastAsia="宋体" w:cs="宋体"/>
                <w:snapToGrid w:val="0"/>
                <w:color w:val="auto"/>
                <w:sz w:val="24"/>
                <w:szCs w:val="24"/>
                <w:highlight w:val="none"/>
              </w:rPr>
            </w:pPr>
          </w:p>
        </w:tc>
        <w:tc>
          <w:tcPr>
            <w:tcW w:w="1071" w:type="dxa"/>
          </w:tcPr>
          <w:p>
            <w:pPr>
              <w:spacing w:line="460" w:lineRule="exact"/>
              <w:rPr>
                <w:rFonts w:hint="eastAsia" w:ascii="宋体" w:hAnsi="宋体" w:eastAsia="宋体" w:cs="宋体"/>
                <w:snapToGrid w:val="0"/>
                <w:color w:val="auto"/>
                <w:sz w:val="24"/>
                <w:szCs w:val="24"/>
                <w:highlight w:val="none"/>
              </w:rPr>
            </w:pPr>
          </w:p>
        </w:tc>
        <w:tc>
          <w:tcPr>
            <w:tcW w:w="1269"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snapToGrid w:val="0"/>
                <w:color w:val="auto"/>
                <w:sz w:val="24"/>
                <w:szCs w:val="24"/>
                <w:highlight w:val="none"/>
              </w:rPr>
            </w:pPr>
          </w:p>
        </w:tc>
        <w:tc>
          <w:tcPr>
            <w:tcW w:w="850" w:type="dxa"/>
          </w:tcPr>
          <w:p>
            <w:pPr>
              <w:spacing w:line="460" w:lineRule="exact"/>
              <w:rPr>
                <w:rFonts w:hint="eastAsia" w:ascii="宋体" w:hAnsi="宋体" w:eastAsia="宋体" w:cs="宋体"/>
                <w:snapToGrid w:val="0"/>
                <w:color w:val="auto"/>
                <w:sz w:val="24"/>
                <w:szCs w:val="24"/>
                <w:highlight w:val="none"/>
              </w:rPr>
            </w:pPr>
          </w:p>
        </w:tc>
        <w:tc>
          <w:tcPr>
            <w:tcW w:w="1005" w:type="dxa"/>
          </w:tcPr>
          <w:p>
            <w:pPr>
              <w:spacing w:line="460" w:lineRule="exact"/>
              <w:rPr>
                <w:rFonts w:hint="eastAsia" w:ascii="宋体" w:hAnsi="宋体" w:eastAsia="宋体" w:cs="宋体"/>
                <w:snapToGrid w:val="0"/>
                <w:color w:val="auto"/>
                <w:sz w:val="24"/>
                <w:szCs w:val="24"/>
                <w:highlight w:val="none"/>
              </w:rPr>
            </w:pPr>
          </w:p>
        </w:tc>
        <w:tc>
          <w:tcPr>
            <w:tcW w:w="810" w:type="dxa"/>
          </w:tcPr>
          <w:p>
            <w:pPr>
              <w:spacing w:line="460" w:lineRule="exact"/>
              <w:rPr>
                <w:rFonts w:hint="eastAsia" w:ascii="宋体" w:hAnsi="宋体" w:eastAsia="宋体" w:cs="宋体"/>
                <w:snapToGrid w:val="0"/>
                <w:color w:val="auto"/>
                <w:sz w:val="24"/>
                <w:szCs w:val="24"/>
                <w:highlight w:val="none"/>
              </w:rPr>
            </w:pPr>
          </w:p>
        </w:tc>
        <w:tc>
          <w:tcPr>
            <w:tcW w:w="723" w:type="dxa"/>
          </w:tcPr>
          <w:p>
            <w:pPr>
              <w:spacing w:line="460" w:lineRule="exact"/>
              <w:rPr>
                <w:rFonts w:hint="eastAsia" w:ascii="宋体" w:hAnsi="宋体" w:eastAsia="宋体" w:cs="宋体"/>
                <w:snapToGrid w:val="0"/>
                <w:color w:val="auto"/>
                <w:sz w:val="24"/>
                <w:szCs w:val="24"/>
                <w:highlight w:val="none"/>
              </w:rPr>
            </w:pPr>
          </w:p>
        </w:tc>
        <w:tc>
          <w:tcPr>
            <w:tcW w:w="863" w:type="dxa"/>
          </w:tcPr>
          <w:p>
            <w:pPr>
              <w:spacing w:line="460" w:lineRule="exact"/>
              <w:rPr>
                <w:rFonts w:hint="eastAsia" w:ascii="宋体" w:hAnsi="宋体" w:eastAsia="宋体" w:cs="宋体"/>
                <w:snapToGrid w:val="0"/>
                <w:color w:val="auto"/>
                <w:sz w:val="24"/>
                <w:szCs w:val="24"/>
                <w:highlight w:val="none"/>
              </w:rPr>
            </w:pPr>
          </w:p>
        </w:tc>
        <w:tc>
          <w:tcPr>
            <w:tcW w:w="1071" w:type="dxa"/>
          </w:tcPr>
          <w:p>
            <w:pPr>
              <w:spacing w:line="460" w:lineRule="exact"/>
              <w:rPr>
                <w:rFonts w:hint="eastAsia" w:ascii="宋体" w:hAnsi="宋体" w:eastAsia="宋体" w:cs="宋体"/>
                <w:snapToGrid w:val="0"/>
                <w:color w:val="auto"/>
                <w:sz w:val="24"/>
                <w:szCs w:val="24"/>
                <w:highlight w:val="none"/>
              </w:rPr>
            </w:pPr>
          </w:p>
        </w:tc>
        <w:tc>
          <w:tcPr>
            <w:tcW w:w="1269"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snapToGrid w:val="0"/>
                <w:color w:val="auto"/>
                <w:sz w:val="24"/>
                <w:szCs w:val="24"/>
                <w:highlight w:val="none"/>
              </w:rPr>
            </w:pPr>
          </w:p>
        </w:tc>
        <w:tc>
          <w:tcPr>
            <w:tcW w:w="850" w:type="dxa"/>
          </w:tcPr>
          <w:p>
            <w:pPr>
              <w:spacing w:line="460" w:lineRule="exact"/>
              <w:rPr>
                <w:rFonts w:hint="eastAsia" w:ascii="宋体" w:hAnsi="宋体" w:eastAsia="宋体" w:cs="宋体"/>
                <w:snapToGrid w:val="0"/>
                <w:color w:val="auto"/>
                <w:sz w:val="24"/>
                <w:szCs w:val="24"/>
                <w:highlight w:val="none"/>
              </w:rPr>
            </w:pPr>
          </w:p>
        </w:tc>
        <w:tc>
          <w:tcPr>
            <w:tcW w:w="1005" w:type="dxa"/>
          </w:tcPr>
          <w:p>
            <w:pPr>
              <w:spacing w:line="460" w:lineRule="exact"/>
              <w:rPr>
                <w:rFonts w:hint="eastAsia" w:ascii="宋体" w:hAnsi="宋体" w:eastAsia="宋体" w:cs="宋体"/>
                <w:snapToGrid w:val="0"/>
                <w:color w:val="auto"/>
                <w:sz w:val="24"/>
                <w:szCs w:val="24"/>
                <w:highlight w:val="none"/>
              </w:rPr>
            </w:pPr>
          </w:p>
        </w:tc>
        <w:tc>
          <w:tcPr>
            <w:tcW w:w="810" w:type="dxa"/>
          </w:tcPr>
          <w:p>
            <w:pPr>
              <w:spacing w:line="460" w:lineRule="exact"/>
              <w:rPr>
                <w:rFonts w:hint="eastAsia" w:ascii="宋体" w:hAnsi="宋体" w:eastAsia="宋体" w:cs="宋体"/>
                <w:snapToGrid w:val="0"/>
                <w:color w:val="auto"/>
                <w:sz w:val="24"/>
                <w:szCs w:val="24"/>
                <w:highlight w:val="none"/>
              </w:rPr>
            </w:pPr>
          </w:p>
        </w:tc>
        <w:tc>
          <w:tcPr>
            <w:tcW w:w="723" w:type="dxa"/>
          </w:tcPr>
          <w:p>
            <w:pPr>
              <w:spacing w:line="460" w:lineRule="exact"/>
              <w:rPr>
                <w:rFonts w:hint="eastAsia" w:ascii="宋体" w:hAnsi="宋体" w:eastAsia="宋体" w:cs="宋体"/>
                <w:snapToGrid w:val="0"/>
                <w:color w:val="auto"/>
                <w:sz w:val="24"/>
                <w:szCs w:val="24"/>
                <w:highlight w:val="none"/>
              </w:rPr>
            </w:pPr>
          </w:p>
        </w:tc>
        <w:tc>
          <w:tcPr>
            <w:tcW w:w="863" w:type="dxa"/>
          </w:tcPr>
          <w:p>
            <w:pPr>
              <w:spacing w:line="460" w:lineRule="exact"/>
              <w:rPr>
                <w:rFonts w:hint="eastAsia" w:ascii="宋体" w:hAnsi="宋体" w:eastAsia="宋体" w:cs="宋体"/>
                <w:snapToGrid w:val="0"/>
                <w:color w:val="auto"/>
                <w:sz w:val="24"/>
                <w:szCs w:val="24"/>
                <w:highlight w:val="none"/>
              </w:rPr>
            </w:pPr>
          </w:p>
        </w:tc>
        <w:tc>
          <w:tcPr>
            <w:tcW w:w="1071" w:type="dxa"/>
          </w:tcPr>
          <w:p>
            <w:pPr>
              <w:spacing w:line="460" w:lineRule="exact"/>
              <w:rPr>
                <w:rFonts w:hint="eastAsia" w:ascii="宋体" w:hAnsi="宋体" w:eastAsia="宋体" w:cs="宋体"/>
                <w:snapToGrid w:val="0"/>
                <w:color w:val="auto"/>
                <w:sz w:val="24"/>
                <w:szCs w:val="24"/>
                <w:highlight w:val="none"/>
              </w:rPr>
            </w:pPr>
          </w:p>
        </w:tc>
        <w:tc>
          <w:tcPr>
            <w:tcW w:w="1269"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eastAsia="宋体" w:cs="宋体"/>
                <w:snapToGrid w:val="0"/>
                <w:color w:val="auto"/>
                <w:sz w:val="24"/>
                <w:szCs w:val="24"/>
                <w:highlight w:val="none"/>
              </w:rPr>
            </w:pPr>
          </w:p>
        </w:tc>
        <w:tc>
          <w:tcPr>
            <w:tcW w:w="850" w:type="dxa"/>
          </w:tcPr>
          <w:p>
            <w:pPr>
              <w:spacing w:line="460" w:lineRule="exact"/>
              <w:rPr>
                <w:rFonts w:hint="eastAsia" w:ascii="宋体" w:hAnsi="宋体" w:eastAsia="宋体" w:cs="宋体"/>
                <w:snapToGrid w:val="0"/>
                <w:color w:val="auto"/>
                <w:sz w:val="24"/>
                <w:szCs w:val="24"/>
                <w:highlight w:val="none"/>
              </w:rPr>
            </w:pPr>
          </w:p>
        </w:tc>
        <w:tc>
          <w:tcPr>
            <w:tcW w:w="1005" w:type="dxa"/>
          </w:tcPr>
          <w:p>
            <w:pPr>
              <w:spacing w:line="460" w:lineRule="exact"/>
              <w:rPr>
                <w:rFonts w:hint="eastAsia" w:ascii="宋体" w:hAnsi="宋体" w:eastAsia="宋体" w:cs="宋体"/>
                <w:snapToGrid w:val="0"/>
                <w:color w:val="auto"/>
                <w:sz w:val="24"/>
                <w:szCs w:val="24"/>
                <w:highlight w:val="none"/>
              </w:rPr>
            </w:pPr>
          </w:p>
        </w:tc>
        <w:tc>
          <w:tcPr>
            <w:tcW w:w="810" w:type="dxa"/>
          </w:tcPr>
          <w:p>
            <w:pPr>
              <w:spacing w:line="460" w:lineRule="exact"/>
              <w:rPr>
                <w:rFonts w:hint="eastAsia" w:ascii="宋体" w:hAnsi="宋体" w:eastAsia="宋体" w:cs="宋体"/>
                <w:snapToGrid w:val="0"/>
                <w:color w:val="auto"/>
                <w:sz w:val="24"/>
                <w:szCs w:val="24"/>
                <w:highlight w:val="none"/>
              </w:rPr>
            </w:pPr>
          </w:p>
        </w:tc>
        <w:tc>
          <w:tcPr>
            <w:tcW w:w="723" w:type="dxa"/>
          </w:tcPr>
          <w:p>
            <w:pPr>
              <w:spacing w:line="460" w:lineRule="exact"/>
              <w:rPr>
                <w:rFonts w:hint="eastAsia" w:ascii="宋体" w:hAnsi="宋体" w:eastAsia="宋体" w:cs="宋体"/>
                <w:snapToGrid w:val="0"/>
                <w:color w:val="auto"/>
                <w:sz w:val="24"/>
                <w:szCs w:val="24"/>
                <w:highlight w:val="none"/>
              </w:rPr>
            </w:pPr>
          </w:p>
        </w:tc>
        <w:tc>
          <w:tcPr>
            <w:tcW w:w="863" w:type="dxa"/>
          </w:tcPr>
          <w:p>
            <w:pPr>
              <w:spacing w:line="460" w:lineRule="exact"/>
              <w:rPr>
                <w:rFonts w:hint="eastAsia" w:ascii="宋体" w:hAnsi="宋体" w:eastAsia="宋体" w:cs="宋体"/>
                <w:snapToGrid w:val="0"/>
                <w:color w:val="auto"/>
                <w:sz w:val="24"/>
                <w:szCs w:val="24"/>
                <w:highlight w:val="none"/>
              </w:rPr>
            </w:pPr>
          </w:p>
        </w:tc>
        <w:tc>
          <w:tcPr>
            <w:tcW w:w="1071" w:type="dxa"/>
          </w:tcPr>
          <w:p>
            <w:pPr>
              <w:spacing w:line="460" w:lineRule="exact"/>
              <w:rPr>
                <w:rFonts w:hint="eastAsia" w:ascii="宋体" w:hAnsi="宋体" w:eastAsia="宋体" w:cs="宋体"/>
                <w:snapToGrid w:val="0"/>
                <w:color w:val="auto"/>
                <w:sz w:val="24"/>
                <w:szCs w:val="24"/>
                <w:highlight w:val="none"/>
              </w:rPr>
            </w:pPr>
          </w:p>
        </w:tc>
        <w:tc>
          <w:tcPr>
            <w:tcW w:w="1269"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c>
          <w:tcPr>
            <w:tcW w:w="851" w:type="dxa"/>
          </w:tcPr>
          <w:p>
            <w:pPr>
              <w:spacing w:line="460" w:lineRule="exact"/>
              <w:rPr>
                <w:rFonts w:hint="eastAsia" w:ascii="宋体" w:hAnsi="宋体" w:eastAsia="宋体" w:cs="宋体"/>
                <w:snapToGrid w:val="0"/>
                <w:color w:val="auto"/>
                <w:sz w:val="24"/>
                <w:szCs w:val="24"/>
                <w:highlight w:val="none"/>
              </w:rPr>
            </w:pPr>
          </w:p>
        </w:tc>
      </w:tr>
    </w:tbl>
    <w:p>
      <w:pPr>
        <w:spacing w:line="46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br w:type="page"/>
      </w:r>
      <w:r>
        <w:rPr>
          <w:rFonts w:hint="eastAsia" w:ascii="宋体" w:hAnsi="宋体" w:eastAsia="宋体" w:cs="宋体"/>
          <w:snapToGrid w:val="0"/>
          <w:color w:val="auto"/>
          <w:kern w:val="0"/>
          <w:sz w:val="24"/>
          <w:szCs w:val="24"/>
          <w:highlight w:val="none"/>
        </w:rPr>
        <w:t>附件2：</w:t>
      </w:r>
    </w:p>
    <w:p>
      <w:pPr>
        <w:spacing w:line="4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发包人供应材料设备一览表</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179"/>
        <w:gridCol w:w="983"/>
        <w:gridCol w:w="682"/>
        <w:gridCol w:w="852"/>
        <w:gridCol w:w="1037"/>
        <w:gridCol w:w="996"/>
        <w:gridCol w:w="852"/>
        <w:gridCol w:w="852"/>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vAlign w:val="center"/>
          </w:tcPr>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序号</w:t>
            </w:r>
          </w:p>
        </w:tc>
        <w:tc>
          <w:tcPr>
            <w:tcW w:w="1179" w:type="dxa"/>
            <w:vAlign w:val="center"/>
          </w:tcPr>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材料、设备品种</w:t>
            </w:r>
          </w:p>
        </w:tc>
        <w:tc>
          <w:tcPr>
            <w:tcW w:w="983" w:type="dxa"/>
            <w:vAlign w:val="center"/>
          </w:tcPr>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规格型号</w:t>
            </w:r>
          </w:p>
        </w:tc>
        <w:tc>
          <w:tcPr>
            <w:tcW w:w="682" w:type="dxa"/>
            <w:vAlign w:val="center"/>
          </w:tcPr>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单位</w:t>
            </w:r>
          </w:p>
        </w:tc>
        <w:tc>
          <w:tcPr>
            <w:tcW w:w="852" w:type="dxa"/>
            <w:vAlign w:val="center"/>
          </w:tcPr>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数量</w:t>
            </w:r>
          </w:p>
        </w:tc>
        <w:tc>
          <w:tcPr>
            <w:tcW w:w="1037" w:type="dxa"/>
            <w:vAlign w:val="center"/>
          </w:tcPr>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单价</w:t>
            </w:r>
          </w:p>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（元）</w:t>
            </w:r>
          </w:p>
        </w:tc>
        <w:tc>
          <w:tcPr>
            <w:tcW w:w="996" w:type="dxa"/>
            <w:vAlign w:val="center"/>
          </w:tcPr>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质量等级</w:t>
            </w:r>
          </w:p>
        </w:tc>
        <w:tc>
          <w:tcPr>
            <w:tcW w:w="852" w:type="dxa"/>
            <w:vAlign w:val="center"/>
          </w:tcPr>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供应</w:t>
            </w:r>
          </w:p>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时间</w:t>
            </w:r>
          </w:p>
        </w:tc>
        <w:tc>
          <w:tcPr>
            <w:tcW w:w="852" w:type="dxa"/>
            <w:vAlign w:val="center"/>
          </w:tcPr>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送达地点</w:t>
            </w:r>
          </w:p>
        </w:tc>
        <w:tc>
          <w:tcPr>
            <w:tcW w:w="852" w:type="dxa"/>
            <w:vAlign w:val="center"/>
          </w:tcPr>
          <w:p>
            <w:pPr>
              <w:spacing w:line="46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snapToGrid w:val="0"/>
                <w:color w:val="auto"/>
                <w:sz w:val="24"/>
                <w:szCs w:val="24"/>
                <w:highlight w:val="none"/>
              </w:rPr>
            </w:pPr>
          </w:p>
        </w:tc>
        <w:tc>
          <w:tcPr>
            <w:tcW w:w="1179" w:type="dxa"/>
          </w:tcPr>
          <w:p>
            <w:pPr>
              <w:spacing w:line="460" w:lineRule="exact"/>
              <w:rPr>
                <w:rFonts w:hint="eastAsia" w:ascii="宋体" w:hAnsi="宋体" w:eastAsia="宋体" w:cs="宋体"/>
                <w:snapToGrid w:val="0"/>
                <w:color w:val="auto"/>
                <w:sz w:val="24"/>
                <w:szCs w:val="24"/>
                <w:highlight w:val="none"/>
              </w:rPr>
            </w:pPr>
          </w:p>
        </w:tc>
        <w:tc>
          <w:tcPr>
            <w:tcW w:w="983" w:type="dxa"/>
          </w:tcPr>
          <w:p>
            <w:pPr>
              <w:spacing w:line="460" w:lineRule="exact"/>
              <w:rPr>
                <w:rFonts w:hint="eastAsia" w:ascii="宋体" w:hAnsi="宋体" w:eastAsia="宋体" w:cs="宋体"/>
                <w:snapToGrid w:val="0"/>
                <w:color w:val="auto"/>
                <w:sz w:val="24"/>
                <w:szCs w:val="24"/>
                <w:highlight w:val="none"/>
              </w:rPr>
            </w:pPr>
          </w:p>
        </w:tc>
        <w:tc>
          <w:tcPr>
            <w:tcW w:w="68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1037" w:type="dxa"/>
          </w:tcPr>
          <w:p>
            <w:pPr>
              <w:spacing w:line="460" w:lineRule="exact"/>
              <w:rPr>
                <w:rFonts w:hint="eastAsia" w:ascii="宋体" w:hAnsi="宋体" w:eastAsia="宋体" w:cs="宋体"/>
                <w:snapToGrid w:val="0"/>
                <w:color w:val="auto"/>
                <w:sz w:val="24"/>
                <w:szCs w:val="24"/>
                <w:highlight w:val="none"/>
              </w:rPr>
            </w:pPr>
          </w:p>
        </w:tc>
        <w:tc>
          <w:tcPr>
            <w:tcW w:w="996"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snapToGrid w:val="0"/>
                <w:color w:val="auto"/>
                <w:sz w:val="24"/>
                <w:szCs w:val="24"/>
                <w:highlight w:val="none"/>
              </w:rPr>
            </w:pPr>
          </w:p>
        </w:tc>
        <w:tc>
          <w:tcPr>
            <w:tcW w:w="1179" w:type="dxa"/>
          </w:tcPr>
          <w:p>
            <w:pPr>
              <w:spacing w:line="460" w:lineRule="exact"/>
              <w:rPr>
                <w:rFonts w:hint="eastAsia" w:ascii="宋体" w:hAnsi="宋体" w:eastAsia="宋体" w:cs="宋体"/>
                <w:snapToGrid w:val="0"/>
                <w:color w:val="auto"/>
                <w:sz w:val="24"/>
                <w:szCs w:val="24"/>
                <w:highlight w:val="none"/>
              </w:rPr>
            </w:pPr>
          </w:p>
        </w:tc>
        <w:tc>
          <w:tcPr>
            <w:tcW w:w="983" w:type="dxa"/>
          </w:tcPr>
          <w:p>
            <w:pPr>
              <w:spacing w:line="460" w:lineRule="exact"/>
              <w:rPr>
                <w:rFonts w:hint="eastAsia" w:ascii="宋体" w:hAnsi="宋体" w:eastAsia="宋体" w:cs="宋体"/>
                <w:snapToGrid w:val="0"/>
                <w:color w:val="auto"/>
                <w:sz w:val="24"/>
                <w:szCs w:val="24"/>
                <w:highlight w:val="none"/>
              </w:rPr>
            </w:pPr>
          </w:p>
        </w:tc>
        <w:tc>
          <w:tcPr>
            <w:tcW w:w="68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1037" w:type="dxa"/>
          </w:tcPr>
          <w:p>
            <w:pPr>
              <w:spacing w:line="460" w:lineRule="exact"/>
              <w:rPr>
                <w:rFonts w:hint="eastAsia" w:ascii="宋体" w:hAnsi="宋体" w:eastAsia="宋体" w:cs="宋体"/>
                <w:snapToGrid w:val="0"/>
                <w:color w:val="auto"/>
                <w:sz w:val="24"/>
                <w:szCs w:val="24"/>
                <w:highlight w:val="none"/>
              </w:rPr>
            </w:pPr>
          </w:p>
        </w:tc>
        <w:tc>
          <w:tcPr>
            <w:tcW w:w="996"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snapToGrid w:val="0"/>
                <w:color w:val="auto"/>
                <w:sz w:val="24"/>
                <w:szCs w:val="24"/>
                <w:highlight w:val="none"/>
              </w:rPr>
            </w:pPr>
          </w:p>
        </w:tc>
        <w:tc>
          <w:tcPr>
            <w:tcW w:w="1179" w:type="dxa"/>
          </w:tcPr>
          <w:p>
            <w:pPr>
              <w:spacing w:line="460" w:lineRule="exact"/>
              <w:rPr>
                <w:rFonts w:hint="eastAsia" w:ascii="宋体" w:hAnsi="宋体" w:eastAsia="宋体" w:cs="宋体"/>
                <w:snapToGrid w:val="0"/>
                <w:color w:val="auto"/>
                <w:sz w:val="24"/>
                <w:szCs w:val="24"/>
                <w:highlight w:val="none"/>
              </w:rPr>
            </w:pPr>
          </w:p>
        </w:tc>
        <w:tc>
          <w:tcPr>
            <w:tcW w:w="983" w:type="dxa"/>
          </w:tcPr>
          <w:p>
            <w:pPr>
              <w:spacing w:line="460" w:lineRule="exact"/>
              <w:rPr>
                <w:rFonts w:hint="eastAsia" w:ascii="宋体" w:hAnsi="宋体" w:eastAsia="宋体" w:cs="宋体"/>
                <w:snapToGrid w:val="0"/>
                <w:color w:val="auto"/>
                <w:sz w:val="24"/>
                <w:szCs w:val="24"/>
                <w:highlight w:val="none"/>
              </w:rPr>
            </w:pPr>
          </w:p>
        </w:tc>
        <w:tc>
          <w:tcPr>
            <w:tcW w:w="68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1037" w:type="dxa"/>
          </w:tcPr>
          <w:p>
            <w:pPr>
              <w:spacing w:line="460" w:lineRule="exact"/>
              <w:rPr>
                <w:rFonts w:hint="eastAsia" w:ascii="宋体" w:hAnsi="宋体" w:eastAsia="宋体" w:cs="宋体"/>
                <w:snapToGrid w:val="0"/>
                <w:color w:val="auto"/>
                <w:sz w:val="24"/>
                <w:szCs w:val="24"/>
                <w:highlight w:val="none"/>
              </w:rPr>
            </w:pPr>
          </w:p>
        </w:tc>
        <w:tc>
          <w:tcPr>
            <w:tcW w:w="996"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snapToGrid w:val="0"/>
                <w:color w:val="auto"/>
                <w:sz w:val="24"/>
                <w:szCs w:val="24"/>
                <w:highlight w:val="none"/>
              </w:rPr>
            </w:pPr>
          </w:p>
        </w:tc>
        <w:tc>
          <w:tcPr>
            <w:tcW w:w="1179" w:type="dxa"/>
          </w:tcPr>
          <w:p>
            <w:pPr>
              <w:spacing w:line="460" w:lineRule="exact"/>
              <w:rPr>
                <w:rFonts w:hint="eastAsia" w:ascii="宋体" w:hAnsi="宋体" w:eastAsia="宋体" w:cs="宋体"/>
                <w:snapToGrid w:val="0"/>
                <w:color w:val="auto"/>
                <w:sz w:val="24"/>
                <w:szCs w:val="24"/>
                <w:highlight w:val="none"/>
              </w:rPr>
            </w:pPr>
          </w:p>
        </w:tc>
        <w:tc>
          <w:tcPr>
            <w:tcW w:w="983" w:type="dxa"/>
          </w:tcPr>
          <w:p>
            <w:pPr>
              <w:spacing w:line="460" w:lineRule="exact"/>
              <w:rPr>
                <w:rFonts w:hint="eastAsia" w:ascii="宋体" w:hAnsi="宋体" w:eastAsia="宋体" w:cs="宋体"/>
                <w:snapToGrid w:val="0"/>
                <w:color w:val="auto"/>
                <w:sz w:val="24"/>
                <w:szCs w:val="24"/>
                <w:highlight w:val="none"/>
              </w:rPr>
            </w:pPr>
          </w:p>
        </w:tc>
        <w:tc>
          <w:tcPr>
            <w:tcW w:w="68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1037" w:type="dxa"/>
          </w:tcPr>
          <w:p>
            <w:pPr>
              <w:spacing w:line="460" w:lineRule="exact"/>
              <w:rPr>
                <w:rFonts w:hint="eastAsia" w:ascii="宋体" w:hAnsi="宋体" w:eastAsia="宋体" w:cs="宋体"/>
                <w:snapToGrid w:val="0"/>
                <w:color w:val="auto"/>
                <w:sz w:val="24"/>
                <w:szCs w:val="24"/>
                <w:highlight w:val="none"/>
              </w:rPr>
            </w:pPr>
          </w:p>
        </w:tc>
        <w:tc>
          <w:tcPr>
            <w:tcW w:w="996"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snapToGrid w:val="0"/>
                <w:color w:val="auto"/>
                <w:sz w:val="24"/>
                <w:szCs w:val="24"/>
                <w:highlight w:val="none"/>
              </w:rPr>
            </w:pPr>
          </w:p>
        </w:tc>
        <w:tc>
          <w:tcPr>
            <w:tcW w:w="1179" w:type="dxa"/>
          </w:tcPr>
          <w:p>
            <w:pPr>
              <w:spacing w:line="460" w:lineRule="exact"/>
              <w:rPr>
                <w:rFonts w:hint="eastAsia" w:ascii="宋体" w:hAnsi="宋体" w:eastAsia="宋体" w:cs="宋体"/>
                <w:snapToGrid w:val="0"/>
                <w:color w:val="auto"/>
                <w:sz w:val="24"/>
                <w:szCs w:val="24"/>
                <w:highlight w:val="none"/>
              </w:rPr>
            </w:pPr>
          </w:p>
        </w:tc>
        <w:tc>
          <w:tcPr>
            <w:tcW w:w="983" w:type="dxa"/>
          </w:tcPr>
          <w:p>
            <w:pPr>
              <w:spacing w:line="460" w:lineRule="exact"/>
              <w:rPr>
                <w:rFonts w:hint="eastAsia" w:ascii="宋体" w:hAnsi="宋体" w:eastAsia="宋体" w:cs="宋体"/>
                <w:snapToGrid w:val="0"/>
                <w:color w:val="auto"/>
                <w:sz w:val="24"/>
                <w:szCs w:val="24"/>
                <w:highlight w:val="none"/>
              </w:rPr>
            </w:pPr>
          </w:p>
        </w:tc>
        <w:tc>
          <w:tcPr>
            <w:tcW w:w="68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1037" w:type="dxa"/>
          </w:tcPr>
          <w:p>
            <w:pPr>
              <w:spacing w:line="460" w:lineRule="exact"/>
              <w:rPr>
                <w:rFonts w:hint="eastAsia" w:ascii="宋体" w:hAnsi="宋体" w:eastAsia="宋体" w:cs="宋体"/>
                <w:snapToGrid w:val="0"/>
                <w:color w:val="auto"/>
                <w:sz w:val="24"/>
                <w:szCs w:val="24"/>
                <w:highlight w:val="none"/>
              </w:rPr>
            </w:pPr>
          </w:p>
        </w:tc>
        <w:tc>
          <w:tcPr>
            <w:tcW w:w="996"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snapToGrid w:val="0"/>
                <w:color w:val="auto"/>
                <w:sz w:val="24"/>
                <w:szCs w:val="24"/>
                <w:highlight w:val="none"/>
              </w:rPr>
            </w:pPr>
          </w:p>
        </w:tc>
        <w:tc>
          <w:tcPr>
            <w:tcW w:w="1179" w:type="dxa"/>
          </w:tcPr>
          <w:p>
            <w:pPr>
              <w:spacing w:line="460" w:lineRule="exact"/>
              <w:rPr>
                <w:rFonts w:hint="eastAsia" w:ascii="宋体" w:hAnsi="宋体" w:eastAsia="宋体" w:cs="宋体"/>
                <w:snapToGrid w:val="0"/>
                <w:color w:val="auto"/>
                <w:sz w:val="24"/>
                <w:szCs w:val="24"/>
                <w:highlight w:val="none"/>
              </w:rPr>
            </w:pPr>
          </w:p>
        </w:tc>
        <w:tc>
          <w:tcPr>
            <w:tcW w:w="983" w:type="dxa"/>
          </w:tcPr>
          <w:p>
            <w:pPr>
              <w:spacing w:line="460" w:lineRule="exact"/>
              <w:rPr>
                <w:rFonts w:hint="eastAsia" w:ascii="宋体" w:hAnsi="宋体" w:eastAsia="宋体" w:cs="宋体"/>
                <w:snapToGrid w:val="0"/>
                <w:color w:val="auto"/>
                <w:sz w:val="24"/>
                <w:szCs w:val="24"/>
                <w:highlight w:val="none"/>
              </w:rPr>
            </w:pPr>
          </w:p>
        </w:tc>
        <w:tc>
          <w:tcPr>
            <w:tcW w:w="68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1037" w:type="dxa"/>
          </w:tcPr>
          <w:p>
            <w:pPr>
              <w:spacing w:line="460" w:lineRule="exact"/>
              <w:rPr>
                <w:rFonts w:hint="eastAsia" w:ascii="宋体" w:hAnsi="宋体" w:eastAsia="宋体" w:cs="宋体"/>
                <w:snapToGrid w:val="0"/>
                <w:color w:val="auto"/>
                <w:sz w:val="24"/>
                <w:szCs w:val="24"/>
                <w:highlight w:val="none"/>
              </w:rPr>
            </w:pPr>
          </w:p>
        </w:tc>
        <w:tc>
          <w:tcPr>
            <w:tcW w:w="996"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snapToGrid w:val="0"/>
                <w:color w:val="auto"/>
                <w:sz w:val="24"/>
                <w:szCs w:val="24"/>
                <w:highlight w:val="none"/>
              </w:rPr>
            </w:pPr>
          </w:p>
        </w:tc>
        <w:tc>
          <w:tcPr>
            <w:tcW w:w="1179" w:type="dxa"/>
          </w:tcPr>
          <w:p>
            <w:pPr>
              <w:spacing w:line="460" w:lineRule="exact"/>
              <w:rPr>
                <w:rFonts w:hint="eastAsia" w:ascii="宋体" w:hAnsi="宋体" w:eastAsia="宋体" w:cs="宋体"/>
                <w:snapToGrid w:val="0"/>
                <w:color w:val="auto"/>
                <w:sz w:val="24"/>
                <w:szCs w:val="24"/>
                <w:highlight w:val="none"/>
              </w:rPr>
            </w:pPr>
          </w:p>
        </w:tc>
        <w:tc>
          <w:tcPr>
            <w:tcW w:w="983" w:type="dxa"/>
          </w:tcPr>
          <w:p>
            <w:pPr>
              <w:spacing w:line="460" w:lineRule="exact"/>
              <w:rPr>
                <w:rFonts w:hint="eastAsia" w:ascii="宋体" w:hAnsi="宋体" w:eastAsia="宋体" w:cs="宋体"/>
                <w:snapToGrid w:val="0"/>
                <w:color w:val="auto"/>
                <w:sz w:val="24"/>
                <w:szCs w:val="24"/>
                <w:highlight w:val="none"/>
              </w:rPr>
            </w:pPr>
          </w:p>
        </w:tc>
        <w:tc>
          <w:tcPr>
            <w:tcW w:w="68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1037" w:type="dxa"/>
          </w:tcPr>
          <w:p>
            <w:pPr>
              <w:spacing w:line="460" w:lineRule="exact"/>
              <w:rPr>
                <w:rFonts w:hint="eastAsia" w:ascii="宋体" w:hAnsi="宋体" w:eastAsia="宋体" w:cs="宋体"/>
                <w:snapToGrid w:val="0"/>
                <w:color w:val="auto"/>
                <w:sz w:val="24"/>
                <w:szCs w:val="24"/>
                <w:highlight w:val="none"/>
              </w:rPr>
            </w:pPr>
          </w:p>
        </w:tc>
        <w:tc>
          <w:tcPr>
            <w:tcW w:w="996"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snapToGrid w:val="0"/>
                <w:color w:val="auto"/>
                <w:sz w:val="24"/>
                <w:szCs w:val="24"/>
                <w:highlight w:val="none"/>
              </w:rPr>
            </w:pPr>
          </w:p>
        </w:tc>
        <w:tc>
          <w:tcPr>
            <w:tcW w:w="1179" w:type="dxa"/>
          </w:tcPr>
          <w:p>
            <w:pPr>
              <w:spacing w:line="460" w:lineRule="exact"/>
              <w:rPr>
                <w:rFonts w:hint="eastAsia" w:ascii="宋体" w:hAnsi="宋体" w:eastAsia="宋体" w:cs="宋体"/>
                <w:snapToGrid w:val="0"/>
                <w:color w:val="auto"/>
                <w:sz w:val="24"/>
                <w:szCs w:val="24"/>
                <w:highlight w:val="none"/>
              </w:rPr>
            </w:pPr>
          </w:p>
        </w:tc>
        <w:tc>
          <w:tcPr>
            <w:tcW w:w="983" w:type="dxa"/>
          </w:tcPr>
          <w:p>
            <w:pPr>
              <w:spacing w:line="460" w:lineRule="exact"/>
              <w:rPr>
                <w:rFonts w:hint="eastAsia" w:ascii="宋体" w:hAnsi="宋体" w:eastAsia="宋体" w:cs="宋体"/>
                <w:snapToGrid w:val="0"/>
                <w:color w:val="auto"/>
                <w:sz w:val="24"/>
                <w:szCs w:val="24"/>
                <w:highlight w:val="none"/>
              </w:rPr>
            </w:pPr>
          </w:p>
        </w:tc>
        <w:tc>
          <w:tcPr>
            <w:tcW w:w="68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1037" w:type="dxa"/>
          </w:tcPr>
          <w:p>
            <w:pPr>
              <w:spacing w:line="460" w:lineRule="exact"/>
              <w:rPr>
                <w:rFonts w:hint="eastAsia" w:ascii="宋体" w:hAnsi="宋体" w:eastAsia="宋体" w:cs="宋体"/>
                <w:snapToGrid w:val="0"/>
                <w:color w:val="auto"/>
                <w:sz w:val="24"/>
                <w:szCs w:val="24"/>
                <w:highlight w:val="none"/>
              </w:rPr>
            </w:pPr>
          </w:p>
        </w:tc>
        <w:tc>
          <w:tcPr>
            <w:tcW w:w="996"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snapToGrid w:val="0"/>
                <w:color w:val="auto"/>
                <w:sz w:val="24"/>
                <w:szCs w:val="24"/>
                <w:highlight w:val="none"/>
              </w:rPr>
            </w:pPr>
          </w:p>
        </w:tc>
        <w:tc>
          <w:tcPr>
            <w:tcW w:w="1179" w:type="dxa"/>
          </w:tcPr>
          <w:p>
            <w:pPr>
              <w:spacing w:line="460" w:lineRule="exact"/>
              <w:rPr>
                <w:rFonts w:hint="eastAsia" w:ascii="宋体" w:hAnsi="宋体" w:eastAsia="宋体" w:cs="宋体"/>
                <w:snapToGrid w:val="0"/>
                <w:color w:val="auto"/>
                <w:sz w:val="24"/>
                <w:szCs w:val="24"/>
                <w:highlight w:val="none"/>
              </w:rPr>
            </w:pPr>
          </w:p>
        </w:tc>
        <w:tc>
          <w:tcPr>
            <w:tcW w:w="983" w:type="dxa"/>
          </w:tcPr>
          <w:p>
            <w:pPr>
              <w:spacing w:line="460" w:lineRule="exact"/>
              <w:rPr>
                <w:rFonts w:hint="eastAsia" w:ascii="宋体" w:hAnsi="宋体" w:eastAsia="宋体" w:cs="宋体"/>
                <w:snapToGrid w:val="0"/>
                <w:color w:val="auto"/>
                <w:sz w:val="24"/>
                <w:szCs w:val="24"/>
                <w:highlight w:val="none"/>
              </w:rPr>
            </w:pPr>
          </w:p>
        </w:tc>
        <w:tc>
          <w:tcPr>
            <w:tcW w:w="68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1037" w:type="dxa"/>
          </w:tcPr>
          <w:p>
            <w:pPr>
              <w:spacing w:line="460" w:lineRule="exact"/>
              <w:rPr>
                <w:rFonts w:hint="eastAsia" w:ascii="宋体" w:hAnsi="宋体" w:eastAsia="宋体" w:cs="宋体"/>
                <w:snapToGrid w:val="0"/>
                <w:color w:val="auto"/>
                <w:sz w:val="24"/>
                <w:szCs w:val="24"/>
                <w:highlight w:val="none"/>
              </w:rPr>
            </w:pPr>
          </w:p>
        </w:tc>
        <w:tc>
          <w:tcPr>
            <w:tcW w:w="996"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snapToGrid w:val="0"/>
                <w:color w:val="auto"/>
                <w:sz w:val="24"/>
                <w:szCs w:val="24"/>
                <w:highlight w:val="none"/>
              </w:rPr>
            </w:pPr>
          </w:p>
        </w:tc>
        <w:tc>
          <w:tcPr>
            <w:tcW w:w="1179" w:type="dxa"/>
          </w:tcPr>
          <w:p>
            <w:pPr>
              <w:spacing w:line="460" w:lineRule="exact"/>
              <w:rPr>
                <w:rFonts w:hint="eastAsia" w:ascii="宋体" w:hAnsi="宋体" w:eastAsia="宋体" w:cs="宋体"/>
                <w:snapToGrid w:val="0"/>
                <w:color w:val="auto"/>
                <w:sz w:val="24"/>
                <w:szCs w:val="24"/>
                <w:highlight w:val="none"/>
              </w:rPr>
            </w:pPr>
          </w:p>
        </w:tc>
        <w:tc>
          <w:tcPr>
            <w:tcW w:w="983" w:type="dxa"/>
          </w:tcPr>
          <w:p>
            <w:pPr>
              <w:spacing w:line="460" w:lineRule="exact"/>
              <w:rPr>
                <w:rFonts w:hint="eastAsia" w:ascii="宋体" w:hAnsi="宋体" w:eastAsia="宋体" w:cs="宋体"/>
                <w:snapToGrid w:val="0"/>
                <w:color w:val="auto"/>
                <w:sz w:val="24"/>
                <w:szCs w:val="24"/>
                <w:highlight w:val="none"/>
              </w:rPr>
            </w:pPr>
          </w:p>
        </w:tc>
        <w:tc>
          <w:tcPr>
            <w:tcW w:w="68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1037" w:type="dxa"/>
          </w:tcPr>
          <w:p>
            <w:pPr>
              <w:spacing w:line="460" w:lineRule="exact"/>
              <w:rPr>
                <w:rFonts w:hint="eastAsia" w:ascii="宋体" w:hAnsi="宋体" w:eastAsia="宋体" w:cs="宋体"/>
                <w:snapToGrid w:val="0"/>
                <w:color w:val="auto"/>
                <w:sz w:val="24"/>
                <w:szCs w:val="24"/>
                <w:highlight w:val="none"/>
              </w:rPr>
            </w:pPr>
          </w:p>
        </w:tc>
        <w:tc>
          <w:tcPr>
            <w:tcW w:w="996"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snapToGrid w:val="0"/>
                <w:color w:val="auto"/>
                <w:sz w:val="24"/>
                <w:szCs w:val="24"/>
                <w:highlight w:val="none"/>
              </w:rPr>
            </w:pPr>
          </w:p>
        </w:tc>
        <w:tc>
          <w:tcPr>
            <w:tcW w:w="1179" w:type="dxa"/>
          </w:tcPr>
          <w:p>
            <w:pPr>
              <w:spacing w:line="460" w:lineRule="exact"/>
              <w:rPr>
                <w:rFonts w:hint="eastAsia" w:ascii="宋体" w:hAnsi="宋体" w:eastAsia="宋体" w:cs="宋体"/>
                <w:snapToGrid w:val="0"/>
                <w:color w:val="auto"/>
                <w:sz w:val="24"/>
                <w:szCs w:val="24"/>
                <w:highlight w:val="none"/>
              </w:rPr>
            </w:pPr>
          </w:p>
        </w:tc>
        <w:tc>
          <w:tcPr>
            <w:tcW w:w="983" w:type="dxa"/>
          </w:tcPr>
          <w:p>
            <w:pPr>
              <w:spacing w:line="460" w:lineRule="exact"/>
              <w:rPr>
                <w:rFonts w:hint="eastAsia" w:ascii="宋体" w:hAnsi="宋体" w:eastAsia="宋体" w:cs="宋体"/>
                <w:snapToGrid w:val="0"/>
                <w:color w:val="auto"/>
                <w:sz w:val="24"/>
                <w:szCs w:val="24"/>
                <w:highlight w:val="none"/>
              </w:rPr>
            </w:pPr>
          </w:p>
        </w:tc>
        <w:tc>
          <w:tcPr>
            <w:tcW w:w="68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1037" w:type="dxa"/>
          </w:tcPr>
          <w:p>
            <w:pPr>
              <w:spacing w:line="460" w:lineRule="exact"/>
              <w:rPr>
                <w:rFonts w:hint="eastAsia" w:ascii="宋体" w:hAnsi="宋体" w:eastAsia="宋体" w:cs="宋体"/>
                <w:snapToGrid w:val="0"/>
                <w:color w:val="auto"/>
                <w:sz w:val="24"/>
                <w:szCs w:val="24"/>
                <w:highlight w:val="none"/>
              </w:rPr>
            </w:pPr>
          </w:p>
        </w:tc>
        <w:tc>
          <w:tcPr>
            <w:tcW w:w="996"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snapToGrid w:val="0"/>
                <w:color w:val="auto"/>
                <w:sz w:val="24"/>
                <w:szCs w:val="24"/>
                <w:highlight w:val="none"/>
              </w:rPr>
            </w:pPr>
          </w:p>
        </w:tc>
        <w:tc>
          <w:tcPr>
            <w:tcW w:w="1179" w:type="dxa"/>
          </w:tcPr>
          <w:p>
            <w:pPr>
              <w:spacing w:line="460" w:lineRule="exact"/>
              <w:rPr>
                <w:rFonts w:hint="eastAsia" w:ascii="宋体" w:hAnsi="宋体" w:eastAsia="宋体" w:cs="宋体"/>
                <w:snapToGrid w:val="0"/>
                <w:color w:val="auto"/>
                <w:sz w:val="24"/>
                <w:szCs w:val="24"/>
                <w:highlight w:val="none"/>
              </w:rPr>
            </w:pPr>
          </w:p>
        </w:tc>
        <w:tc>
          <w:tcPr>
            <w:tcW w:w="983" w:type="dxa"/>
          </w:tcPr>
          <w:p>
            <w:pPr>
              <w:spacing w:line="460" w:lineRule="exact"/>
              <w:rPr>
                <w:rFonts w:hint="eastAsia" w:ascii="宋体" w:hAnsi="宋体" w:eastAsia="宋体" w:cs="宋体"/>
                <w:snapToGrid w:val="0"/>
                <w:color w:val="auto"/>
                <w:sz w:val="24"/>
                <w:szCs w:val="24"/>
                <w:highlight w:val="none"/>
              </w:rPr>
            </w:pPr>
          </w:p>
        </w:tc>
        <w:tc>
          <w:tcPr>
            <w:tcW w:w="68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1037" w:type="dxa"/>
          </w:tcPr>
          <w:p>
            <w:pPr>
              <w:spacing w:line="460" w:lineRule="exact"/>
              <w:rPr>
                <w:rFonts w:hint="eastAsia" w:ascii="宋体" w:hAnsi="宋体" w:eastAsia="宋体" w:cs="宋体"/>
                <w:snapToGrid w:val="0"/>
                <w:color w:val="auto"/>
                <w:sz w:val="24"/>
                <w:szCs w:val="24"/>
                <w:highlight w:val="none"/>
              </w:rPr>
            </w:pPr>
          </w:p>
        </w:tc>
        <w:tc>
          <w:tcPr>
            <w:tcW w:w="996"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snapToGrid w:val="0"/>
                <w:color w:val="auto"/>
                <w:sz w:val="24"/>
                <w:szCs w:val="24"/>
                <w:highlight w:val="none"/>
              </w:rPr>
            </w:pPr>
          </w:p>
        </w:tc>
        <w:tc>
          <w:tcPr>
            <w:tcW w:w="1179" w:type="dxa"/>
          </w:tcPr>
          <w:p>
            <w:pPr>
              <w:spacing w:line="460" w:lineRule="exact"/>
              <w:rPr>
                <w:rFonts w:hint="eastAsia" w:ascii="宋体" w:hAnsi="宋体" w:eastAsia="宋体" w:cs="宋体"/>
                <w:snapToGrid w:val="0"/>
                <w:color w:val="auto"/>
                <w:sz w:val="24"/>
                <w:szCs w:val="24"/>
                <w:highlight w:val="none"/>
              </w:rPr>
            </w:pPr>
          </w:p>
        </w:tc>
        <w:tc>
          <w:tcPr>
            <w:tcW w:w="983" w:type="dxa"/>
          </w:tcPr>
          <w:p>
            <w:pPr>
              <w:spacing w:line="460" w:lineRule="exact"/>
              <w:rPr>
                <w:rFonts w:hint="eastAsia" w:ascii="宋体" w:hAnsi="宋体" w:eastAsia="宋体" w:cs="宋体"/>
                <w:snapToGrid w:val="0"/>
                <w:color w:val="auto"/>
                <w:sz w:val="24"/>
                <w:szCs w:val="24"/>
                <w:highlight w:val="none"/>
              </w:rPr>
            </w:pPr>
          </w:p>
        </w:tc>
        <w:tc>
          <w:tcPr>
            <w:tcW w:w="68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1037" w:type="dxa"/>
          </w:tcPr>
          <w:p>
            <w:pPr>
              <w:spacing w:line="460" w:lineRule="exact"/>
              <w:rPr>
                <w:rFonts w:hint="eastAsia" w:ascii="宋体" w:hAnsi="宋体" w:eastAsia="宋体" w:cs="宋体"/>
                <w:snapToGrid w:val="0"/>
                <w:color w:val="auto"/>
                <w:sz w:val="24"/>
                <w:szCs w:val="24"/>
                <w:highlight w:val="none"/>
              </w:rPr>
            </w:pPr>
          </w:p>
        </w:tc>
        <w:tc>
          <w:tcPr>
            <w:tcW w:w="996"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snapToGrid w:val="0"/>
                <w:color w:val="auto"/>
                <w:sz w:val="24"/>
                <w:szCs w:val="24"/>
                <w:highlight w:val="none"/>
              </w:rPr>
            </w:pPr>
          </w:p>
        </w:tc>
        <w:tc>
          <w:tcPr>
            <w:tcW w:w="1179" w:type="dxa"/>
          </w:tcPr>
          <w:p>
            <w:pPr>
              <w:spacing w:line="460" w:lineRule="exact"/>
              <w:rPr>
                <w:rFonts w:hint="eastAsia" w:ascii="宋体" w:hAnsi="宋体" w:eastAsia="宋体" w:cs="宋体"/>
                <w:snapToGrid w:val="0"/>
                <w:color w:val="auto"/>
                <w:sz w:val="24"/>
                <w:szCs w:val="24"/>
                <w:highlight w:val="none"/>
              </w:rPr>
            </w:pPr>
          </w:p>
        </w:tc>
        <w:tc>
          <w:tcPr>
            <w:tcW w:w="983" w:type="dxa"/>
          </w:tcPr>
          <w:p>
            <w:pPr>
              <w:spacing w:line="460" w:lineRule="exact"/>
              <w:rPr>
                <w:rFonts w:hint="eastAsia" w:ascii="宋体" w:hAnsi="宋体" w:eastAsia="宋体" w:cs="宋体"/>
                <w:snapToGrid w:val="0"/>
                <w:color w:val="auto"/>
                <w:sz w:val="24"/>
                <w:szCs w:val="24"/>
                <w:highlight w:val="none"/>
              </w:rPr>
            </w:pPr>
          </w:p>
        </w:tc>
        <w:tc>
          <w:tcPr>
            <w:tcW w:w="68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1037" w:type="dxa"/>
          </w:tcPr>
          <w:p>
            <w:pPr>
              <w:spacing w:line="460" w:lineRule="exact"/>
              <w:rPr>
                <w:rFonts w:hint="eastAsia" w:ascii="宋体" w:hAnsi="宋体" w:eastAsia="宋体" w:cs="宋体"/>
                <w:snapToGrid w:val="0"/>
                <w:color w:val="auto"/>
                <w:sz w:val="24"/>
                <w:szCs w:val="24"/>
                <w:highlight w:val="none"/>
              </w:rPr>
            </w:pPr>
          </w:p>
        </w:tc>
        <w:tc>
          <w:tcPr>
            <w:tcW w:w="996"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snapToGrid w:val="0"/>
                <w:color w:val="auto"/>
                <w:sz w:val="24"/>
                <w:szCs w:val="24"/>
                <w:highlight w:val="none"/>
              </w:rPr>
            </w:pPr>
          </w:p>
        </w:tc>
        <w:tc>
          <w:tcPr>
            <w:tcW w:w="1179" w:type="dxa"/>
          </w:tcPr>
          <w:p>
            <w:pPr>
              <w:spacing w:line="460" w:lineRule="exact"/>
              <w:rPr>
                <w:rFonts w:hint="eastAsia" w:ascii="宋体" w:hAnsi="宋体" w:eastAsia="宋体" w:cs="宋体"/>
                <w:snapToGrid w:val="0"/>
                <w:color w:val="auto"/>
                <w:sz w:val="24"/>
                <w:szCs w:val="24"/>
                <w:highlight w:val="none"/>
              </w:rPr>
            </w:pPr>
          </w:p>
        </w:tc>
        <w:tc>
          <w:tcPr>
            <w:tcW w:w="983" w:type="dxa"/>
          </w:tcPr>
          <w:p>
            <w:pPr>
              <w:spacing w:line="460" w:lineRule="exact"/>
              <w:rPr>
                <w:rFonts w:hint="eastAsia" w:ascii="宋体" w:hAnsi="宋体" w:eastAsia="宋体" w:cs="宋体"/>
                <w:snapToGrid w:val="0"/>
                <w:color w:val="auto"/>
                <w:sz w:val="24"/>
                <w:szCs w:val="24"/>
                <w:highlight w:val="none"/>
              </w:rPr>
            </w:pPr>
          </w:p>
        </w:tc>
        <w:tc>
          <w:tcPr>
            <w:tcW w:w="68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1037" w:type="dxa"/>
          </w:tcPr>
          <w:p>
            <w:pPr>
              <w:spacing w:line="460" w:lineRule="exact"/>
              <w:rPr>
                <w:rFonts w:hint="eastAsia" w:ascii="宋体" w:hAnsi="宋体" w:eastAsia="宋体" w:cs="宋体"/>
                <w:snapToGrid w:val="0"/>
                <w:color w:val="auto"/>
                <w:sz w:val="24"/>
                <w:szCs w:val="24"/>
                <w:highlight w:val="none"/>
              </w:rPr>
            </w:pPr>
          </w:p>
        </w:tc>
        <w:tc>
          <w:tcPr>
            <w:tcW w:w="996"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snapToGrid w:val="0"/>
                <w:color w:val="auto"/>
                <w:sz w:val="24"/>
                <w:szCs w:val="24"/>
                <w:highlight w:val="none"/>
              </w:rPr>
            </w:pPr>
          </w:p>
        </w:tc>
        <w:tc>
          <w:tcPr>
            <w:tcW w:w="1179" w:type="dxa"/>
          </w:tcPr>
          <w:p>
            <w:pPr>
              <w:spacing w:line="460" w:lineRule="exact"/>
              <w:rPr>
                <w:rFonts w:hint="eastAsia" w:ascii="宋体" w:hAnsi="宋体" w:eastAsia="宋体" w:cs="宋体"/>
                <w:snapToGrid w:val="0"/>
                <w:color w:val="auto"/>
                <w:sz w:val="24"/>
                <w:szCs w:val="24"/>
                <w:highlight w:val="none"/>
              </w:rPr>
            </w:pPr>
          </w:p>
        </w:tc>
        <w:tc>
          <w:tcPr>
            <w:tcW w:w="983" w:type="dxa"/>
          </w:tcPr>
          <w:p>
            <w:pPr>
              <w:spacing w:line="460" w:lineRule="exact"/>
              <w:rPr>
                <w:rFonts w:hint="eastAsia" w:ascii="宋体" w:hAnsi="宋体" w:eastAsia="宋体" w:cs="宋体"/>
                <w:snapToGrid w:val="0"/>
                <w:color w:val="auto"/>
                <w:sz w:val="24"/>
                <w:szCs w:val="24"/>
                <w:highlight w:val="none"/>
              </w:rPr>
            </w:pPr>
          </w:p>
        </w:tc>
        <w:tc>
          <w:tcPr>
            <w:tcW w:w="68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1037" w:type="dxa"/>
          </w:tcPr>
          <w:p>
            <w:pPr>
              <w:spacing w:line="460" w:lineRule="exact"/>
              <w:rPr>
                <w:rFonts w:hint="eastAsia" w:ascii="宋体" w:hAnsi="宋体" w:eastAsia="宋体" w:cs="宋体"/>
                <w:snapToGrid w:val="0"/>
                <w:color w:val="auto"/>
                <w:sz w:val="24"/>
                <w:szCs w:val="24"/>
                <w:highlight w:val="none"/>
              </w:rPr>
            </w:pPr>
          </w:p>
        </w:tc>
        <w:tc>
          <w:tcPr>
            <w:tcW w:w="996"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snapToGrid w:val="0"/>
                <w:color w:val="auto"/>
                <w:sz w:val="24"/>
                <w:szCs w:val="24"/>
                <w:highlight w:val="none"/>
              </w:rPr>
            </w:pPr>
          </w:p>
        </w:tc>
        <w:tc>
          <w:tcPr>
            <w:tcW w:w="1179" w:type="dxa"/>
          </w:tcPr>
          <w:p>
            <w:pPr>
              <w:spacing w:line="460" w:lineRule="exact"/>
              <w:rPr>
                <w:rFonts w:hint="eastAsia" w:ascii="宋体" w:hAnsi="宋体" w:eastAsia="宋体" w:cs="宋体"/>
                <w:snapToGrid w:val="0"/>
                <w:color w:val="auto"/>
                <w:sz w:val="24"/>
                <w:szCs w:val="24"/>
                <w:highlight w:val="none"/>
              </w:rPr>
            </w:pPr>
          </w:p>
        </w:tc>
        <w:tc>
          <w:tcPr>
            <w:tcW w:w="983" w:type="dxa"/>
          </w:tcPr>
          <w:p>
            <w:pPr>
              <w:spacing w:line="460" w:lineRule="exact"/>
              <w:rPr>
                <w:rFonts w:hint="eastAsia" w:ascii="宋体" w:hAnsi="宋体" w:eastAsia="宋体" w:cs="宋体"/>
                <w:snapToGrid w:val="0"/>
                <w:color w:val="auto"/>
                <w:sz w:val="24"/>
                <w:szCs w:val="24"/>
                <w:highlight w:val="none"/>
              </w:rPr>
            </w:pPr>
          </w:p>
        </w:tc>
        <w:tc>
          <w:tcPr>
            <w:tcW w:w="68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1037" w:type="dxa"/>
          </w:tcPr>
          <w:p>
            <w:pPr>
              <w:spacing w:line="460" w:lineRule="exact"/>
              <w:rPr>
                <w:rFonts w:hint="eastAsia" w:ascii="宋体" w:hAnsi="宋体" w:eastAsia="宋体" w:cs="宋体"/>
                <w:snapToGrid w:val="0"/>
                <w:color w:val="auto"/>
                <w:sz w:val="24"/>
                <w:szCs w:val="24"/>
                <w:highlight w:val="none"/>
              </w:rPr>
            </w:pPr>
          </w:p>
        </w:tc>
        <w:tc>
          <w:tcPr>
            <w:tcW w:w="996"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snapToGrid w:val="0"/>
                <w:color w:val="auto"/>
                <w:sz w:val="24"/>
                <w:szCs w:val="24"/>
                <w:highlight w:val="none"/>
              </w:rPr>
            </w:pPr>
          </w:p>
        </w:tc>
        <w:tc>
          <w:tcPr>
            <w:tcW w:w="1179" w:type="dxa"/>
          </w:tcPr>
          <w:p>
            <w:pPr>
              <w:spacing w:line="460" w:lineRule="exact"/>
              <w:rPr>
                <w:rFonts w:hint="eastAsia" w:ascii="宋体" w:hAnsi="宋体" w:eastAsia="宋体" w:cs="宋体"/>
                <w:snapToGrid w:val="0"/>
                <w:color w:val="auto"/>
                <w:sz w:val="24"/>
                <w:szCs w:val="24"/>
                <w:highlight w:val="none"/>
              </w:rPr>
            </w:pPr>
          </w:p>
        </w:tc>
        <w:tc>
          <w:tcPr>
            <w:tcW w:w="983" w:type="dxa"/>
          </w:tcPr>
          <w:p>
            <w:pPr>
              <w:spacing w:line="460" w:lineRule="exact"/>
              <w:rPr>
                <w:rFonts w:hint="eastAsia" w:ascii="宋体" w:hAnsi="宋体" w:eastAsia="宋体" w:cs="宋体"/>
                <w:snapToGrid w:val="0"/>
                <w:color w:val="auto"/>
                <w:sz w:val="24"/>
                <w:szCs w:val="24"/>
                <w:highlight w:val="none"/>
              </w:rPr>
            </w:pPr>
          </w:p>
        </w:tc>
        <w:tc>
          <w:tcPr>
            <w:tcW w:w="68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1037" w:type="dxa"/>
          </w:tcPr>
          <w:p>
            <w:pPr>
              <w:spacing w:line="460" w:lineRule="exact"/>
              <w:rPr>
                <w:rFonts w:hint="eastAsia" w:ascii="宋体" w:hAnsi="宋体" w:eastAsia="宋体" w:cs="宋体"/>
                <w:snapToGrid w:val="0"/>
                <w:color w:val="auto"/>
                <w:sz w:val="24"/>
                <w:szCs w:val="24"/>
                <w:highlight w:val="none"/>
              </w:rPr>
            </w:pPr>
          </w:p>
        </w:tc>
        <w:tc>
          <w:tcPr>
            <w:tcW w:w="996"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snapToGrid w:val="0"/>
                <w:color w:val="auto"/>
                <w:sz w:val="24"/>
                <w:szCs w:val="24"/>
                <w:highlight w:val="none"/>
              </w:rPr>
            </w:pPr>
          </w:p>
        </w:tc>
        <w:tc>
          <w:tcPr>
            <w:tcW w:w="1179" w:type="dxa"/>
          </w:tcPr>
          <w:p>
            <w:pPr>
              <w:spacing w:line="460" w:lineRule="exact"/>
              <w:rPr>
                <w:rFonts w:hint="eastAsia" w:ascii="宋体" w:hAnsi="宋体" w:eastAsia="宋体" w:cs="宋体"/>
                <w:snapToGrid w:val="0"/>
                <w:color w:val="auto"/>
                <w:sz w:val="24"/>
                <w:szCs w:val="24"/>
                <w:highlight w:val="none"/>
              </w:rPr>
            </w:pPr>
          </w:p>
        </w:tc>
        <w:tc>
          <w:tcPr>
            <w:tcW w:w="983" w:type="dxa"/>
          </w:tcPr>
          <w:p>
            <w:pPr>
              <w:spacing w:line="460" w:lineRule="exact"/>
              <w:rPr>
                <w:rFonts w:hint="eastAsia" w:ascii="宋体" w:hAnsi="宋体" w:eastAsia="宋体" w:cs="宋体"/>
                <w:snapToGrid w:val="0"/>
                <w:color w:val="auto"/>
                <w:sz w:val="24"/>
                <w:szCs w:val="24"/>
                <w:highlight w:val="none"/>
              </w:rPr>
            </w:pPr>
          </w:p>
        </w:tc>
        <w:tc>
          <w:tcPr>
            <w:tcW w:w="68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1037" w:type="dxa"/>
          </w:tcPr>
          <w:p>
            <w:pPr>
              <w:spacing w:line="460" w:lineRule="exact"/>
              <w:rPr>
                <w:rFonts w:hint="eastAsia" w:ascii="宋体" w:hAnsi="宋体" w:eastAsia="宋体" w:cs="宋体"/>
                <w:snapToGrid w:val="0"/>
                <w:color w:val="auto"/>
                <w:sz w:val="24"/>
                <w:szCs w:val="24"/>
                <w:highlight w:val="none"/>
              </w:rPr>
            </w:pPr>
          </w:p>
        </w:tc>
        <w:tc>
          <w:tcPr>
            <w:tcW w:w="996"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snapToGrid w:val="0"/>
                <w:color w:val="auto"/>
                <w:sz w:val="24"/>
                <w:szCs w:val="24"/>
                <w:highlight w:val="none"/>
              </w:rPr>
            </w:pPr>
          </w:p>
        </w:tc>
        <w:tc>
          <w:tcPr>
            <w:tcW w:w="1179" w:type="dxa"/>
          </w:tcPr>
          <w:p>
            <w:pPr>
              <w:spacing w:line="460" w:lineRule="exact"/>
              <w:rPr>
                <w:rFonts w:hint="eastAsia" w:ascii="宋体" w:hAnsi="宋体" w:eastAsia="宋体" w:cs="宋体"/>
                <w:snapToGrid w:val="0"/>
                <w:color w:val="auto"/>
                <w:sz w:val="24"/>
                <w:szCs w:val="24"/>
                <w:highlight w:val="none"/>
              </w:rPr>
            </w:pPr>
          </w:p>
        </w:tc>
        <w:tc>
          <w:tcPr>
            <w:tcW w:w="983" w:type="dxa"/>
          </w:tcPr>
          <w:p>
            <w:pPr>
              <w:spacing w:line="460" w:lineRule="exact"/>
              <w:rPr>
                <w:rFonts w:hint="eastAsia" w:ascii="宋体" w:hAnsi="宋体" w:eastAsia="宋体" w:cs="宋体"/>
                <w:snapToGrid w:val="0"/>
                <w:color w:val="auto"/>
                <w:sz w:val="24"/>
                <w:szCs w:val="24"/>
                <w:highlight w:val="none"/>
              </w:rPr>
            </w:pPr>
          </w:p>
        </w:tc>
        <w:tc>
          <w:tcPr>
            <w:tcW w:w="68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1037" w:type="dxa"/>
          </w:tcPr>
          <w:p>
            <w:pPr>
              <w:spacing w:line="460" w:lineRule="exact"/>
              <w:rPr>
                <w:rFonts w:hint="eastAsia" w:ascii="宋体" w:hAnsi="宋体" w:eastAsia="宋体" w:cs="宋体"/>
                <w:snapToGrid w:val="0"/>
                <w:color w:val="auto"/>
                <w:sz w:val="24"/>
                <w:szCs w:val="24"/>
                <w:highlight w:val="none"/>
              </w:rPr>
            </w:pPr>
          </w:p>
        </w:tc>
        <w:tc>
          <w:tcPr>
            <w:tcW w:w="996"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eastAsia="宋体" w:cs="宋体"/>
                <w:snapToGrid w:val="0"/>
                <w:color w:val="auto"/>
                <w:sz w:val="24"/>
                <w:szCs w:val="24"/>
                <w:highlight w:val="none"/>
              </w:rPr>
            </w:pPr>
          </w:p>
        </w:tc>
        <w:tc>
          <w:tcPr>
            <w:tcW w:w="1179" w:type="dxa"/>
          </w:tcPr>
          <w:p>
            <w:pPr>
              <w:spacing w:line="460" w:lineRule="exact"/>
              <w:rPr>
                <w:rFonts w:hint="eastAsia" w:ascii="宋体" w:hAnsi="宋体" w:eastAsia="宋体" w:cs="宋体"/>
                <w:snapToGrid w:val="0"/>
                <w:color w:val="auto"/>
                <w:sz w:val="24"/>
                <w:szCs w:val="24"/>
                <w:highlight w:val="none"/>
              </w:rPr>
            </w:pPr>
          </w:p>
        </w:tc>
        <w:tc>
          <w:tcPr>
            <w:tcW w:w="983" w:type="dxa"/>
          </w:tcPr>
          <w:p>
            <w:pPr>
              <w:spacing w:line="460" w:lineRule="exact"/>
              <w:rPr>
                <w:rFonts w:hint="eastAsia" w:ascii="宋体" w:hAnsi="宋体" w:eastAsia="宋体" w:cs="宋体"/>
                <w:snapToGrid w:val="0"/>
                <w:color w:val="auto"/>
                <w:sz w:val="24"/>
                <w:szCs w:val="24"/>
                <w:highlight w:val="none"/>
              </w:rPr>
            </w:pPr>
          </w:p>
        </w:tc>
        <w:tc>
          <w:tcPr>
            <w:tcW w:w="68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1037" w:type="dxa"/>
          </w:tcPr>
          <w:p>
            <w:pPr>
              <w:spacing w:line="460" w:lineRule="exact"/>
              <w:rPr>
                <w:rFonts w:hint="eastAsia" w:ascii="宋体" w:hAnsi="宋体" w:eastAsia="宋体" w:cs="宋体"/>
                <w:snapToGrid w:val="0"/>
                <w:color w:val="auto"/>
                <w:sz w:val="24"/>
                <w:szCs w:val="24"/>
                <w:highlight w:val="none"/>
              </w:rPr>
            </w:pPr>
          </w:p>
        </w:tc>
        <w:tc>
          <w:tcPr>
            <w:tcW w:w="996"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c>
          <w:tcPr>
            <w:tcW w:w="852" w:type="dxa"/>
          </w:tcPr>
          <w:p>
            <w:pPr>
              <w:spacing w:line="460" w:lineRule="exact"/>
              <w:rPr>
                <w:rFonts w:hint="eastAsia" w:ascii="宋体" w:hAnsi="宋体" w:eastAsia="宋体" w:cs="宋体"/>
                <w:snapToGrid w:val="0"/>
                <w:color w:val="auto"/>
                <w:sz w:val="24"/>
                <w:szCs w:val="24"/>
                <w:highlight w:val="none"/>
              </w:rPr>
            </w:pPr>
          </w:p>
        </w:tc>
      </w:tr>
    </w:tbl>
    <w:p>
      <w:pPr>
        <w:spacing w:line="46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br w:type="page"/>
      </w:r>
      <w:r>
        <w:rPr>
          <w:rFonts w:hint="eastAsia" w:ascii="宋体" w:hAnsi="宋体" w:eastAsia="宋体" w:cs="宋体"/>
          <w:snapToGrid w:val="0"/>
          <w:color w:val="auto"/>
          <w:kern w:val="0"/>
          <w:sz w:val="24"/>
          <w:szCs w:val="24"/>
          <w:highlight w:val="none"/>
        </w:rPr>
        <w:t>附件3：</w:t>
      </w:r>
    </w:p>
    <w:p>
      <w:pPr>
        <w:spacing w:line="460" w:lineRule="exact"/>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t>工程质量保修书</w:t>
      </w:r>
    </w:p>
    <w:p>
      <w:pPr>
        <w:spacing w:line="460" w:lineRule="exact"/>
        <w:rPr>
          <w:rFonts w:hint="eastAsia" w:ascii="宋体" w:hAnsi="宋体" w:eastAsia="宋体" w:cs="宋体"/>
          <w:snapToGrid w:val="0"/>
          <w:color w:val="auto"/>
          <w:kern w:val="0"/>
          <w:sz w:val="24"/>
          <w:szCs w:val="24"/>
          <w:highlight w:val="none"/>
        </w:rPr>
      </w:pP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u w:val="single"/>
          <w:lang w:eastAsia="zh-CN"/>
        </w:rPr>
      </w:pPr>
      <w:r>
        <w:rPr>
          <w:rFonts w:hint="eastAsia" w:ascii="宋体" w:hAnsi="宋体" w:eastAsia="宋体" w:cs="宋体"/>
          <w:snapToGrid w:val="0"/>
          <w:color w:val="auto"/>
          <w:kern w:val="0"/>
          <w:sz w:val="24"/>
          <w:szCs w:val="24"/>
          <w:highlight w:val="none"/>
        </w:rPr>
        <w:t>发包人：</w:t>
      </w:r>
      <w:r>
        <w:rPr>
          <w:rFonts w:hint="eastAsia" w:ascii="宋体" w:hAnsi="宋体" w:eastAsia="宋体" w:cs="宋体"/>
          <w:b/>
          <w:snapToGrid w:val="0"/>
          <w:color w:val="auto"/>
          <w:kern w:val="0"/>
          <w:sz w:val="24"/>
          <w:szCs w:val="24"/>
          <w:highlight w:val="none"/>
          <w:u w:val="single"/>
          <w:lang w:eastAsia="zh-CN"/>
        </w:rPr>
        <w:t>南通市中天房地产开发有限公司</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承包人：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发包人和承包人根据《中华人民共和国建筑法》和《建设工程质量管理条例》，经协商一致就 </w:t>
      </w:r>
      <w:r>
        <w:rPr>
          <w:rFonts w:hint="eastAsia" w:ascii="宋体" w:hAnsi="宋体" w:eastAsia="宋体" w:cs="宋体"/>
          <w:b/>
          <w:bCs/>
          <w:snapToGrid w:val="0"/>
          <w:color w:val="auto"/>
          <w:kern w:val="0"/>
          <w:sz w:val="24"/>
          <w:szCs w:val="24"/>
          <w:highlight w:val="none"/>
          <w:u w:val="single"/>
        </w:rPr>
        <w:t>南通市新城小区66号附2号楼加装电梯及配套设施施工项目</w:t>
      </w:r>
      <w:r>
        <w:rPr>
          <w:rFonts w:hint="eastAsia" w:ascii="宋体" w:hAnsi="宋体" w:eastAsia="宋体" w:cs="宋体"/>
          <w:snapToGrid w:val="0"/>
          <w:color w:val="auto"/>
          <w:kern w:val="0"/>
          <w:sz w:val="24"/>
          <w:szCs w:val="24"/>
          <w:highlight w:val="none"/>
        </w:rPr>
        <w:t>签订工程质量保修书。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一、工程质量保修范围和内容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承包人在质量保修期内，按照有关法律规定和合同约定，承担工程质量保修责任。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b/>
          <w:snapToGrid w:val="0"/>
          <w:color w:val="auto"/>
          <w:kern w:val="0"/>
          <w:sz w:val="24"/>
          <w:szCs w:val="24"/>
          <w:highlight w:val="none"/>
          <w:u w:val="single"/>
        </w:rPr>
        <w:t>承包人所施工的内容。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二、质量保修期</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根据《建设工程质量管理条例》及有关规定，工程的质量</w:t>
      </w:r>
      <w:r>
        <w:rPr>
          <w:rFonts w:hint="eastAsia" w:ascii="宋体" w:hAnsi="宋体" w:eastAsia="宋体" w:cs="宋体"/>
          <w:b/>
          <w:bCs/>
          <w:snapToGrid w:val="0"/>
          <w:color w:val="auto"/>
          <w:kern w:val="0"/>
          <w:sz w:val="24"/>
          <w:szCs w:val="24"/>
          <w:highlight w:val="none"/>
        </w:rPr>
        <w:t>保修期</w:t>
      </w:r>
      <w:r>
        <w:rPr>
          <w:rFonts w:hint="eastAsia" w:ascii="宋体" w:hAnsi="宋体" w:eastAsia="宋体" w:cs="宋体"/>
          <w:snapToGrid w:val="0"/>
          <w:color w:val="auto"/>
          <w:kern w:val="0"/>
          <w:sz w:val="24"/>
          <w:szCs w:val="24"/>
          <w:highlight w:val="none"/>
        </w:rPr>
        <w:t>如下：</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1．地基基础工程和主体结构工程为设计文件规定的工程合理使用年限；</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2．屋面防水工程、有防水要求的卫生间、房间和外墙面的防渗为</w:t>
      </w:r>
      <w:r>
        <w:rPr>
          <w:rFonts w:hint="eastAsia" w:ascii="宋体" w:hAnsi="宋体" w:eastAsia="宋体" w:cs="宋体"/>
          <w:b/>
          <w:snapToGrid w:val="0"/>
          <w:color w:val="auto"/>
          <w:kern w:val="0"/>
          <w:sz w:val="24"/>
          <w:szCs w:val="24"/>
          <w:highlight w:val="none"/>
          <w:u w:val="single"/>
        </w:rPr>
        <w:t>5</w:t>
      </w:r>
      <w:r>
        <w:rPr>
          <w:rFonts w:hint="eastAsia" w:ascii="宋体" w:hAnsi="宋体" w:eastAsia="宋体" w:cs="宋体"/>
          <w:snapToGrid w:val="0"/>
          <w:color w:val="auto"/>
          <w:kern w:val="0"/>
          <w:sz w:val="24"/>
          <w:szCs w:val="24"/>
          <w:highlight w:val="none"/>
        </w:rPr>
        <w:t>年；</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3．装修工程为</w:t>
      </w:r>
      <w:r>
        <w:rPr>
          <w:rFonts w:hint="eastAsia" w:ascii="宋体" w:hAnsi="宋体" w:eastAsia="宋体" w:cs="宋体"/>
          <w:b/>
          <w:bCs/>
          <w:snapToGrid w:val="0"/>
          <w:color w:val="auto"/>
          <w:kern w:val="0"/>
          <w:sz w:val="24"/>
          <w:szCs w:val="24"/>
          <w:highlight w:val="none"/>
          <w:u w:val="single"/>
          <w:lang w:val="en-US" w:eastAsia="zh-CN"/>
        </w:rPr>
        <w:t>3</w:t>
      </w:r>
      <w:r>
        <w:rPr>
          <w:rFonts w:hint="eastAsia" w:ascii="宋体" w:hAnsi="宋体" w:eastAsia="宋体" w:cs="宋体"/>
          <w:snapToGrid w:val="0"/>
          <w:color w:val="auto"/>
          <w:kern w:val="0"/>
          <w:sz w:val="24"/>
          <w:szCs w:val="24"/>
          <w:highlight w:val="none"/>
        </w:rPr>
        <w:t>年；</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4．电气管线、给排水管道、设备安装工程为</w:t>
      </w:r>
      <w:r>
        <w:rPr>
          <w:rFonts w:hint="eastAsia" w:ascii="宋体" w:hAnsi="宋体" w:eastAsia="宋体" w:cs="宋体"/>
          <w:b/>
          <w:bCs/>
          <w:snapToGrid w:val="0"/>
          <w:color w:val="auto"/>
          <w:kern w:val="0"/>
          <w:sz w:val="24"/>
          <w:szCs w:val="24"/>
          <w:highlight w:val="none"/>
          <w:u w:val="single"/>
        </w:rPr>
        <w:t>3</w:t>
      </w:r>
      <w:r>
        <w:rPr>
          <w:rFonts w:hint="eastAsia" w:ascii="宋体" w:hAnsi="宋体" w:eastAsia="宋体" w:cs="宋体"/>
          <w:snapToGrid w:val="0"/>
          <w:color w:val="auto"/>
          <w:kern w:val="0"/>
          <w:sz w:val="24"/>
          <w:szCs w:val="24"/>
          <w:highlight w:val="none"/>
        </w:rPr>
        <w:t>年；</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5．供热与供冷系统为</w:t>
      </w:r>
      <w:r>
        <w:rPr>
          <w:rFonts w:hint="eastAsia" w:ascii="宋体" w:hAnsi="宋体" w:eastAsia="宋体" w:cs="宋体"/>
          <w:i w:val="0"/>
          <w:iCs/>
          <w:snapToGrid w:val="0"/>
          <w:color w:val="auto"/>
          <w:kern w:val="0"/>
          <w:sz w:val="24"/>
          <w:szCs w:val="24"/>
          <w:highlight w:val="none"/>
          <w:u w:val="single"/>
          <w:lang w:val="en-US" w:eastAsia="zh-CN"/>
        </w:rPr>
        <w:t>3</w:t>
      </w:r>
      <w:r>
        <w:rPr>
          <w:rFonts w:hint="eastAsia" w:ascii="宋体" w:hAnsi="宋体" w:eastAsia="宋体" w:cs="宋体"/>
          <w:snapToGrid w:val="0"/>
          <w:color w:val="auto"/>
          <w:kern w:val="0"/>
          <w:sz w:val="24"/>
          <w:szCs w:val="24"/>
          <w:highlight w:val="none"/>
        </w:rPr>
        <w:t>个采暖期、供冷期；</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6．住宅小区内的给排水设施、道路等配套工程为</w:t>
      </w:r>
      <w:r>
        <w:rPr>
          <w:rFonts w:hint="eastAsia" w:ascii="宋体" w:hAnsi="宋体" w:eastAsia="宋体" w:cs="宋体"/>
          <w:i w:val="0"/>
          <w:iCs/>
          <w:snapToGrid w:val="0"/>
          <w:color w:val="auto"/>
          <w:kern w:val="0"/>
          <w:sz w:val="24"/>
          <w:szCs w:val="24"/>
          <w:highlight w:val="none"/>
          <w:u w:val="single"/>
          <w:lang w:val="en-US" w:eastAsia="zh-CN"/>
        </w:rPr>
        <w:t>3</w:t>
      </w:r>
      <w:r>
        <w:rPr>
          <w:rFonts w:hint="eastAsia" w:ascii="宋体" w:hAnsi="宋体" w:eastAsia="宋体" w:cs="宋体"/>
          <w:snapToGrid w:val="0"/>
          <w:color w:val="auto"/>
          <w:kern w:val="0"/>
          <w:sz w:val="24"/>
          <w:szCs w:val="24"/>
          <w:highlight w:val="none"/>
        </w:rPr>
        <w:t>年；</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7．其他项目保修期限约定如下：</w:t>
      </w:r>
      <w:r>
        <w:rPr>
          <w:rFonts w:hint="eastAsia" w:ascii="宋体" w:hAnsi="宋体" w:eastAsia="宋体" w:cs="宋体"/>
          <w:b/>
          <w:bCs/>
          <w:snapToGrid w:val="0"/>
          <w:color w:val="auto"/>
          <w:kern w:val="0"/>
          <w:sz w:val="24"/>
          <w:szCs w:val="24"/>
          <w:highlight w:val="none"/>
          <w:u w:val="single"/>
        </w:rPr>
        <w:t>本项目所有货物（设备）及未列明项目的质保期均为3年。</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质量保修期自竣工验收合格之日起计算</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三、缺陷责任期</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工程缺陷责任期为</w:t>
      </w:r>
      <w:r>
        <w:rPr>
          <w:rFonts w:hint="eastAsia" w:ascii="宋体" w:hAnsi="宋体" w:eastAsia="宋体" w:cs="宋体"/>
          <w:b/>
          <w:snapToGrid w:val="0"/>
          <w:color w:val="auto"/>
          <w:kern w:val="0"/>
          <w:sz w:val="24"/>
          <w:szCs w:val="24"/>
          <w:highlight w:val="none"/>
          <w:u w:val="single"/>
        </w:rPr>
        <w:t>24</w:t>
      </w:r>
      <w:r>
        <w:rPr>
          <w:rFonts w:hint="eastAsia" w:ascii="宋体" w:hAnsi="宋体" w:eastAsia="宋体" w:cs="宋体"/>
          <w:snapToGrid w:val="0"/>
          <w:color w:val="auto"/>
          <w:kern w:val="0"/>
          <w:sz w:val="24"/>
          <w:szCs w:val="24"/>
          <w:highlight w:val="none"/>
        </w:rPr>
        <w:t>个月，缺陷责任期自工程竣工验收合格之日起计算。单位工程先于全部工程进行验收，单位工程缺陷责任期自单位工程验收合格之日起算。</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四、质量保修责任</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2．发生紧急事故需抢修的，承包人在接到事故通知后，应当立即到达事故现场抢修。</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4．在工程设计使用期内，承包人确保地基基础工程和主体结构的质量。因承包人原因致使工程在设计使用期内造成人身和财产损害的，承包人应承担损害赔偿责任。</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5.质量保修完成后，由发包人组织验收。</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五、保修费用</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保修费用由造成质量缺陷的责任方承担，工程质量保修金为发包人指定的审计单位确认最终审计结算价的3%。</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六</w:t>
      </w:r>
      <w:r>
        <w:rPr>
          <w:rFonts w:hint="eastAsia" w:ascii="宋体" w:hAnsi="宋体" w:eastAsia="宋体" w:cs="宋体"/>
          <w:snapToGrid w:val="0"/>
          <w:color w:val="auto"/>
          <w:kern w:val="0"/>
          <w:sz w:val="24"/>
          <w:szCs w:val="24"/>
          <w:highlight w:val="none"/>
        </w:rPr>
        <w:t>、双方约定的其他工程质量保修事项：</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（1）工程保修期内，承包人委托一名代表专职处理本工程的维修工作。</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（2）本合同约定的质量保修金银行利率为0。</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（3）承包人实施工程质量保修须遵守有关规定。</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（4）因承包人未能及时履行保修责任引起发包人的一切损失，均由承包人承担，发生的保修费用由发包人从保修金中抵扣。不足部分，由承包人承担。</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本工程质量保修书，由施工合同发包人、承包人三方在竣工验收前共同签署，作为施工合同附件，其有效期限至保修期满。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发包人（公章）：                   承包人（公章）：            </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法定代表人（签字或盖章）：         法定代表人（签字或盖章）： </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年   月  日   </w:t>
      </w:r>
      <w:r>
        <w:rPr>
          <w:rFonts w:hint="eastAsia" w:ascii="宋体" w:hAnsi="宋体" w:eastAsia="宋体" w:cs="宋体"/>
          <w:b/>
          <w:snapToGrid w:val="0"/>
          <w:color w:val="auto"/>
          <w:kern w:val="0"/>
          <w:sz w:val="24"/>
          <w:szCs w:val="24"/>
          <w:highlight w:val="none"/>
        </w:rPr>
        <w:br w:type="page"/>
      </w:r>
      <w:r>
        <w:rPr>
          <w:rFonts w:hint="eastAsia" w:ascii="宋体" w:hAnsi="宋体" w:eastAsia="宋体" w:cs="宋体"/>
          <w:snapToGrid w:val="0"/>
          <w:color w:val="auto"/>
          <w:kern w:val="0"/>
          <w:sz w:val="24"/>
          <w:szCs w:val="24"/>
          <w:highlight w:val="none"/>
        </w:rPr>
        <w:t>附件4：</w:t>
      </w:r>
    </w:p>
    <w:p>
      <w:pPr>
        <w:spacing w:before="156" w:beforeLines="50" w:after="156" w:afterLines="50" w:line="440" w:lineRule="exact"/>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主要建设工程文件目录</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文件名称</w:t>
            </w:r>
          </w:p>
        </w:tc>
        <w:tc>
          <w:tcPr>
            <w:tcW w:w="1276" w:type="dxa"/>
            <w:tcBorders>
              <w:top w:val="single" w:color="auto" w:sz="12" w:space="0"/>
              <w:bottom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套数</w:t>
            </w:r>
          </w:p>
        </w:tc>
        <w:tc>
          <w:tcPr>
            <w:tcW w:w="1450" w:type="dxa"/>
            <w:tcBorders>
              <w:top w:val="single" w:color="auto" w:sz="12" w:space="0"/>
              <w:bottom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费用（元）</w:t>
            </w:r>
          </w:p>
        </w:tc>
        <w:tc>
          <w:tcPr>
            <w:tcW w:w="1243" w:type="dxa"/>
            <w:tcBorders>
              <w:top w:val="single" w:color="auto" w:sz="12" w:space="0"/>
              <w:bottom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w:t>
            </w:r>
          </w:p>
        </w:tc>
        <w:tc>
          <w:tcPr>
            <w:tcW w:w="1450" w:type="dxa"/>
            <w:tcBorders>
              <w:top w:val="single" w:color="auto" w:sz="12" w:space="0"/>
              <w:bottom w:val="double" w:color="auto" w:sz="6" w:space="0"/>
            </w:tcBorders>
          </w:tcPr>
          <w:p>
            <w:pPr>
              <w:spacing w:line="44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移交时间</w:t>
            </w:r>
          </w:p>
        </w:tc>
        <w:tc>
          <w:tcPr>
            <w:tcW w:w="1667" w:type="dxa"/>
            <w:tcBorders>
              <w:top w:val="single" w:color="auto" w:sz="12" w:space="0"/>
              <w:bottom w:val="double" w:color="auto" w:sz="6" w:space="0"/>
            </w:tcBorders>
          </w:tcPr>
          <w:p>
            <w:pPr>
              <w:spacing w:line="44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276" w:type="dxa"/>
            <w:tcBorders>
              <w:top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50" w:type="dxa"/>
            <w:tcBorders>
              <w:top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243" w:type="dxa"/>
            <w:tcBorders>
              <w:top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50" w:type="dxa"/>
            <w:tcBorders>
              <w:top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667" w:type="dxa"/>
            <w:tcBorders>
              <w:top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276" w:type="dxa"/>
            <w:tcBorders>
              <w:top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50" w:type="dxa"/>
            <w:tcBorders>
              <w:top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243" w:type="dxa"/>
            <w:tcBorders>
              <w:top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50" w:type="dxa"/>
            <w:tcBorders>
              <w:top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667" w:type="dxa"/>
            <w:tcBorders>
              <w:top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276"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5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243"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5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667"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276"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5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243"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5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667"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276"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5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243"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5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667"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276"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5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243"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5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667"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276"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5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243"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5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667"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276"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5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243"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5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667"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snapToGrid w:val="0"/>
                <w:color w:val="auto"/>
                <w:sz w:val="24"/>
                <w:szCs w:val="24"/>
                <w:highlight w:val="none"/>
              </w:rPr>
            </w:pPr>
          </w:p>
        </w:tc>
        <w:tc>
          <w:tcPr>
            <w:tcW w:w="1276" w:type="dxa"/>
          </w:tcPr>
          <w:p>
            <w:pPr>
              <w:rPr>
                <w:rFonts w:hint="eastAsia" w:ascii="宋体" w:hAnsi="宋体" w:eastAsia="宋体" w:cs="宋体"/>
                <w:snapToGrid w:val="0"/>
                <w:color w:val="auto"/>
                <w:sz w:val="24"/>
                <w:szCs w:val="24"/>
                <w:highlight w:val="none"/>
              </w:rPr>
            </w:pPr>
          </w:p>
        </w:tc>
        <w:tc>
          <w:tcPr>
            <w:tcW w:w="1450" w:type="dxa"/>
          </w:tcPr>
          <w:p>
            <w:pPr>
              <w:rPr>
                <w:rFonts w:hint="eastAsia" w:ascii="宋体" w:hAnsi="宋体" w:eastAsia="宋体" w:cs="宋体"/>
                <w:snapToGrid w:val="0"/>
                <w:color w:val="auto"/>
                <w:sz w:val="24"/>
                <w:szCs w:val="24"/>
                <w:highlight w:val="none"/>
              </w:rPr>
            </w:pPr>
          </w:p>
        </w:tc>
        <w:tc>
          <w:tcPr>
            <w:tcW w:w="1243" w:type="dxa"/>
          </w:tcPr>
          <w:p>
            <w:pPr>
              <w:rPr>
                <w:rFonts w:hint="eastAsia" w:ascii="宋体" w:hAnsi="宋体" w:eastAsia="宋体" w:cs="宋体"/>
                <w:snapToGrid w:val="0"/>
                <w:color w:val="auto"/>
                <w:sz w:val="24"/>
                <w:szCs w:val="24"/>
                <w:highlight w:val="none"/>
              </w:rPr>
            </w:pPr>
          </w:p>
        </w:tc>
        <w:tc>
          <w:tcPr>
            <w:tcW w:w="1450" w:type="dxa"/>
          </w:tcPr>
          <w:p>
            <w:pPr>
              <w:rPr>
                <w:rFonts w:hint="eastAsia" w:ascii="宋体" w:hAnsi="宋体" w:eastAsia="宋体" w:cs="宋体"/>
                <w:snapToGrid w:val="0"/>
                <w:color w:val="auto"/>
                <w:sz w:val="24"/>
                <w:szCs w:val="24"/>
                <w:highlight w:val="none"/>
              </w:rPr>
            </w:pPr>
          </w:p>
        </w:tc>
        <w:tc>
          <w:tcPr>
            <w:tcW w:w="1667" w:type="dxa"/>
          </w:tcPr>
          <w:p>
            <w:pPr>
              <w:rPr>
                <w:rFonts w:hint="eastAsia" w:ascii="宋体" w:hAnsi="宋体" w:eastAsia="宋体" w:cs="宋体"/>
                <w:snapToGrid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276"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5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243"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5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667"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snapToGrid w:val="0"/>
                <w:color w:val="auto"/>
                <w:sz w:val="24"/>
                <w:szCs w:val="24"/>
                <w:highlight w:val="none"/>
              </w:rPr>
            </w:pPr>
          </w:p>
        </w:tc>
        <w:tc>
          <w:tcPr>
            <w:tcW w:w="1276" w:type="dxa"/>
          </w:tcPr>
          <w:p>
            <w:pPr>
              <w:rPr>
                <w:rFonts w:hint="eastAsia" w:ascii="宋体" w:hAnsi="宋体" w:eastAsia="宋体" w:cs="宋体"/>
                <w:snapToGrid w:val="0"/>
                <w:color w:val="auto"/>
                <w:sz w:val="24"/>
                <w:szCs w:val="24"/>
                <w:highlight w:val="none"/>
              </w:rPr>
            </w:pPr>
          </w:p>
        </w:tc>
        <w:tc>
          <w:tcPr>
            <w:tcW w:w="1450" w:type="dxa"/>
          </w:tcPr>
          <w:p>
            <w:pPr>
              <w:rPr>
                <w:rFonts w:hint="eastAsia" w:ascii="宋体" w:hAnsi="宋体" w:eastAsia="宋体" w:cs="宋体"/>
                <w:snapToGrid w:val="0"/>
                <w:color w:val="auto"/>
                <w:sz w:val="24"/>
                <w:szCs w:val="24"/>
                <w:highlight w:val="none"/>
              </w:rPr>
            </w:pPr>
          </w:p>
        </w:tc>
        <w:tc>
          <w:tcPr>
            <w:tcW w:w="1243" w:type="dxa"/>
          </w:tcPr>
          <w:p>
            <w:pPr>
              <w:rPr>
                <w:rFonts w:hint="eastAsia" w:ascii="宋体" w:hAnsi="宋体" w:eastAsia="宋体" w:cs="宋体"/>
                <w:snapToGrid w:val="0"/>
                <w:color w:val="auto"/>
                <w:sz w:val="24"/>
                <w:szCs w:val="24"/>
                <w:highlight w:val="none"/>
              </w:rPr>
            </w:pPr>
          </w:p>
        </w:tc>
        <w:tc>
          <w:tcPr>
            <w:tcW w:w="1450" w:type="dxa"/>
          </w:tcPr>
          <w:p>
            <w:pPr>
              <w:rPr>
                <w:rFonts w:hint="eastAsia" w:ascii="宋体" w:hAnsi="宋体" w:eastAsia="宋体" w:cs="宋体"/>
                <w:snapToGrid w:val="0"/>
                <w:color w:val="auto"/>
                <w:sz w:val="24"/>
                <w:szCs w:val="24"/>
                <w:highlight w:val="none"/>
              </w:rPr>
            </w:pPr>
          </w:p>
        </w:tc>
        <w:tc>
          <w:tcPr>
            <w:tcW w:w="1667" w:type="dxa"/>
          </w:tcPr>
          <w:p>
            <w:pPr>
              <w:rPr>
                <w:rFonts w:hint="eastAsia" w:ascii="宋体" w:hAnsi="宋体" w:eastAsia="宋体" w:cs="宋体"/>
                <w:snapToGrid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snapToGrid w:val="0"/>
                <w:color w:val="auto"/>
                <w:sz w:val="24"/>
                <w:szCs w:val="24"/>
                <w:highlight w:val="none"/>
              </w:rPr>
            </w:pPr>
          </w:p>
        </w:tc>
        <w:tc>
          <w:tcPr>
            <w:tcW w:w="1276" w:type="dxa"/>
          </w:tcPr>
          <w:p>
            <w:pPr>
              <w:rPr>
                <w:rFonts w:hint="eastAsia" w:ascii="宋体" w:hAnsi="宋体" w:eastAsia="宋体" w:cs="宋体"/>
                <w:snapToGrid w:val="0"/>
                <w:color w:val="auto"/>
                <w:sz w:val="24"/>
                <w:szCs w:val="24"/>
                <w:highlight w:val="none"/>
              </w:rPr>
            </w:pPr>
          </w:p>
        </w:tc>
        <w:tc>
          <w:tcPr>
            <w:tcW w:w="1450" w:type="dxa"/>
          </w:tcPr>
          <w:p>
            <w:pPr>
              <w:rPr>
                <w:rFonts w:hint="eastAsia" w:ascii="宋体" w:hAnsi="宋体" w:eastAsia="宋体" w:cs="宋体"/>
                <w:snapToGrid w:val="0"/>
                <w:color w:val="auto"/>
                <w:sz w:val="24"/>
                <w:szCs w:val="24"/>
                <w:highlight w:val="none"/>
              </w:rPr>
            </w:pPr>
          </w:p>
        </w:tc>
        <w:tc>
          <w:tcPr>
            <w:tcW w:w="1243" w:type="dxa"/>
          </w:tcPr>
          <w:p>
            <w:pPr>
              <w:rPr>
                <w:rFonts w:hint="eastAsia" w:ascii="宋体" w:hAnsi="宋体" w:eastAsia="宋体" w:cs="宋体"/>
                <w:snapToGrid w:val="0"/>
                <w:color w:val="auto"/>
                <w:sz w:val="24"/>
                <w:szCs w:val="24"/>
                <w:highlight w:val="none"/>
              </w:rPr>
            </w:pPr>
          </w:p>
        </w:tc>
        <w:tc>
          <w:tcPr>
            <w:tcW w:w="1450" w:type="dxa"/>
          </w:tcPr>
          <w:p>
            <w:pPr>
              <w:rPr>
                <w:rFonts w:hint="eastAsia" w:ascii="宋体" w:hAnsi="宋体" w:eastAsia="宋体" w:cs="宋体"/>
                <w:snapToGrid w:val="0"/>
                <w:color w:val="auto"/>
                <w:sz w:val="24"/>
                <w:szCs w:val="24"/>
                <w:highlight w:val="none"/>
              </w:rPr>
            </w:pPr>
          </w:p>
        </w:tc>
        <w:tc>
          <w:tcPr>
            <w:tcW w:w="1667" w:type="dxa"/>
          </w:tcPr>
          <w:p>
            <w:pPr>
              <w:rPr>
                <w:rFonts w:hint="eastAsia" w:ascii="宋体" w:hAnsi="宋体" w:eastAsia="宋体" w:cs="宋体"/>
                <w:snapToGrid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snapToGrid w:val="0"/>
                <w:color w:val="auto"/>
                <w:sz w:val="24"/>
                <w:szCs w:val="24"/>
                <w:highlight w:val="none"/>
              </w:rPr>
            </w:pPr>
          </w:p>
        </w:tc>
        <w:tc>
          <w:tcPr>
            <w:tcW w:w="1276" w:type="dxa"/>
          </w:tcPr>
          <w:p>
            <w:pPr>
              <w:rPr>
                <w:rFonts w:hint="eastAsia" w:ascii="宋体" w:hAnsi="宋体" w:eastAsia="宋体" w:cs="宋体"/>
                <w:snapToGrid w:val="0"/>
                <w:color w:val="auto"/>
                <w:sz w:val="24"/>
                <w:szCs w:val="24"/>
                <w:highlight w:val="none"/>
              </w:rPr>
            </w:pPr>
          </w:p>
        </w:tc>
        <w:tc>
          <w:tcPr>
            <w:tcW w:w="1450" w:type="dxa"/>
          </w:tcPr>
          <w:p>
            <w:pPr>
              <w:rPr>
                <w:rFonts w:hint="eastAsia" w:ascii="宋体" w:hAnsi="宋体" w:eastAsia="宋体" w:cs="宋体"/>
                <w:snapToGrid w:val="0"/>
                <w:color w:val="auto"/>
                <w:sz w:val="24"/>
                <w:szCs w:val="24"/>
                <w:highlight w:val="none"/>
              </w:rPr>
            </w:pPr>
          </w:p>
        </w:tc>
        <w:tc>
          <w:tcPr>
            <w:tcW w:w="1243" w:type="dxa"/>
          </w:tcPr>
          <w:p>
            <w:pPr>
              <w:rPr>
                <w:rFonts w:hint="eastAsia" w:ascii="宋体" w:hAnsi="宋体" w:eastAsia="宋体" w:cs="宋体"/>
                <w:snapToGrid w:val="0"/>
                <w:color w:val="auto"/>
                <w:sz w:val="24"/>
                <w:szCs w:val="24"/>
                <w:highlight w:val="none"/>
              </w:rPr>
            </w:pPr>
          </w:p>
        </w:tc>
        <w:tc>
          <w:tcPr>
            <w:tcW w:w="1450" w:type="dxa"/>
          </w:tcPr>
          <w:p>
            <w:pPr>
              <w:rPr>
                <w:rFonts w:hint="eastAsia" w:ascii="宋体" w:hAnsi="宋体" w:eastAsia="宋体" w:cs="宋体"/>
                <w:snapToGrid w:val="0"/>
                <w:color w:val="auto"/>
                <w:sz w:val="24"/>
                <w:szCs w:val="24"/>
                <w:highlight w:val="none"/>
              </w:rPr>
            </w:pPr>
          </w:p>
        </w:tc>
        <w:tc>
          <w:tcPr>
            <w:tcW w:w="1667" w:type="dxa"/>
          </w:tcPr>
          <w:p>
            <w:pPr>
              <w:rPr>
                <w:rFonts w:hint="eastAsia" w:ascii="宋体" w:hAnsi="宋体" w:eastAsia="宋体" w:cs="宋体"/>
                <w:snapToGrid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snapToGrid w:val="0"/>
                <w:color w:val="auto"/>
                <w:sz w:val="24"/>
                <w:szCs w:val="24"/>
                <w:highlight w:val="none"/>
              </w:rPr>
            </w:pPr>
          </w:p>
        </w:tc>
        <w:tc>
          <w:tcPr>
            <w:tcW w:w="1276" w:type="dxa"/>
          </w:tcPr>
          <w:p>
            <w:pPr>
              <w:rPr>
                <w:rFonts w:hint="eastAsia" w:ascii="宋体" w:hAnsi="宋体" w:eastAsia="宋体" w:cs="宋体"/>
                <w:snapToGrid w:val="0"/>
                <w:color w:val="auto"/>
                <w:sz w:val="24"/>
                <w:szCs w:val="24"/>
                <w:highlight w:val="none"/>
              </w:rPr>
            </w:pPr>
          </w:p>
        </w:tc>
        <w:tc>
          <w:tcPr>
            <w:tcW w:w="1450" w:type="dxa"/>
          </w:tcPr>
          <w:p>
            <w:pPr>
              <w:rPr>
                <w:rFonts w:hint="eastAsia" w:ascii="宋体" w:hAnsi="宋体" w:eastAsia="宋体" w:cs="宋体"/>
                <w:snapToGrid w:val="0"/>
                <w:color w:val="auto"/>
                <w:sz w:val="24"/>
                <w:szCs w:val="24"/>
                <w:highlight w:val="none"/>
              </w:rPr>
            </w:pPr>
          </w:p>
        </w:tc>
        <w:tc>
          <w:tcPr>
            <w:tcW w:w="1243" w:type="dxa"/>
          </w:tcPr>
          <w:p>
            <w:pPr>
              <w:rPr>
                <w:rFonts w:hint="eastAsia" w:ascii="宋体" w:hAnsi="宋体" w:eastAsia="宋体" w:cs="宋体"/>
                <w:snapToGrid w:val="0"/>
                <w:color w:val="auto"/>
                <w:sz w:val="24"/>
                <w:szCs w:val="24"/>
                <w:highlight w:val="none"/>
              </w:rPr>
            </w:pPr>
          </w:p>
        </w:tc>
        <w:tc>
          <w:tcPr>
            <w:tcW w:w="1450" w:type="dxa"/>
          </w:tcPr>
          <w:p>
            <w:pPr>
              <w:rPr>
                <w:rFonts w:hint="eastAsia" w:ascii="宋体" w:hAnsi="宋体" w:eastAsia="宋体" w:cs="宋体"/>
                <w:snapToGrid w:val="0"/>
                <w:color w:val="auto"/>
                <w:sz w:val="24"/>
                <w:szCs w:val="24"/>
                <w:highlight w:val="none"/>
              </w:rPr>
            </w:pPr>
          </w:p>
        </w:tc>
        <w:tc>
          <w:tcPr>
            <w:tcW w:w="1667" w:type="dxa"/>
          </w:tcPr>
          <w:p>
            <w:pPr>
              <w:rPr>
                <w:rFonts w:hint="eastAsia" w:ascii="宋体" w:hAnsi="宋体" w:eastAsia="宋体" w:cs="宋体"/>
                <w:snapToGrid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snapToGrid w:val="0"/>
                <w:color w:val="auto"/>
                <w:sz w:val="24"/>
                <w:szCs w:val="24"/>
                <w:highlight w:val="none"/>
              </w:rPr>
            </w:pPr>
          </w:p>
        </w:tc>
        <w:tc>
          <w:tcPr>
            <w:tcW w:w="1276" w:type="dxa"/>
          </w:tcPr>
          <w:p>
            <w:pPr>
              <w:rPr>
                <w:rFonts w:hint="eastAsia" w:ascii="宋体" w:hAnsi="宋体" w:eastAsia="宋体" w:cs="宋体"/>
                <w:snapToGrid w:val="0"/>
                <w:color w:val="auto"/>
                <w:sz w:val="24"/>
                <w:szCs w:val="24"/>
                <w:highlight w:val="none"/>
              </w:rPr>
            </w:pPr>
          </w:p>
        </w:tc>
        <w:tc>
          <w:tcPr>
            <w:tcW w:w="1450" w:type="dxa"/>
          </w:tcPr>
          <w:p>
            <w:pPr>
              <w:rPr>
                <w:rFonts w:hint="eastAsia" w:ascii="宋体" w:hAnsi="宋体" w:eastAsia="宋体" w:cs="宋体"/>
                <w:snapToGrid w:val="0"/>
                <w:color w:val="auto"/>
                <w:sz w:val="24"/>
                <w:szCs w:val="24"/>
                <w:highlight w:val="none"/>
              </w:rPr>
            </w:pPr>
          </w:p>
        </w:tc>
        <w:tc>
          <w:tcPr>
            <w:tcW w:w="1243" w:type="dxa"/>
          </w:tcPr>
          <w:p>
            <w:pPr>
              <w:rPr>
                <w:rFonts w:hint="eastAsia" w:ascii="宋体" w:hAnsi="宋体" w:eastAsia="宋体" w:cs="宋体"/>
                <w:snapToGrid w:val="0"/>
                <w:color w:val="auto"/>
                <w:sz w:val="24"/>
                <w:szCs w:val="24"/>
                <w:highlight w:val="none"/>
              </w:rPr>
            </w:pPr>
          </w:p>
        </w:tc>
        <w:tc>
          <w:tcPr>
            <w:tcW w:w="1450" w:type="dxa"/>
          </w:tcPr>
          <w:p>
            <w:pPr>
              <w:rPr>
                <w:rFonts w:hint="eastAsia" w:ascii="宋体" w:hAnsi="宋体" w:eastAsia="宋体" w:cs="宋体"/>
                <w:snapToGrid w:val="0"/>
                <w:color w:val="auto"/>
                <w:sz w:val="24"/>
                <w:szCs w:val="24"/>
                <w:highlight w:val="none"/>
              </w:rPr>
            </w:pPr>
          </w:p>
        </w:tc>
        <w:tc>
          <w:tcPr>
            <w:tcW w:w="1667" w:type="dxa"/>
          </w:tcPr>
          <w:p>
            <w:pPr>
              <w:rPr>
                <w:rFonts w:hint="eastAsia" w:ascii="宋体" w:hAnsi="宋体" w:eastAsia="宋体" w:cs="宋体"/>
                <w:snapToGrid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snapToGrid w:val="0"/>
                <w:color w:val="auto"/>
                <w:sz w:val="24"/>
                <w:szCs w:val="24"/>
                <w:highlight w:val="none"/>
              </w:rPr>
            </w:pPr>
          </w:p>
        </w:tc>
        <w:tc>
          <w:tcPr>
            <w:tcW w:w="1276" w:type="dxa"/>
          </w:tcPr>
          <w:p>
            <w:pPr>
              <w:rPr>
                <w:rFonts w:hint="eastAsia" w:ascii="宋体" w:hAnsi="宋体" w:eastAsia="宋体" w:cs="宋体"/>
                <w:snapToGrid w:val="0"/>
                <w:color w:val="auto"/>
                <w:sz w:val="24"/>
                <w:szCs w:val="24"/>
                <w:highlight w:val="none"/>
              </w:rPr>
            </w:pPr>
          </w:p>
        </w:tc>
        <w:tc>
          <w:tcPr>
            <w:tcW w:w="1450" w:type="dxa"/>
          </w:tcPr>
          <w:p>
            <w:pPr>
              <w:rPr>
                <w:rFonts w:hint="eastAsia" w:ascii="宋体" w:hAnsi="宋体" w:eastAsia="宋体" w:cs="宋体"/>
                <w:snapToGrid w:val="0"/>
                <w:color w:val="auto"/>
                <w:sz w:val="24"/>
                <w:szCs w:val="24"/>
                <w:highlight w:val="none"/>
              </w:rPr>
            </w:pPr>
          </w:p>
        </w:tc>
        <w:tc>
          <w:tcPr>
            <w:tcW w:w="1243" w:type="dxa"/>
          </w:tcPr>
          <w:p>
            <w:pPr>
              <w:rPr>
                <w:rFonts w:hint="eastAsia" w:ascii="宋体" w:hAnsi="宋体" w:eastAsia="宋体" w:cs="宋体"/>
                <w:snapToGrid w:val="0"/>
                <w:color w:val="auto"/>
                <w:sz w:val="24"/>
                <w:szCs w:val="24"/>
                <w:highlight w:val="none"/>
              </w:rPr>
            </w:pPr>
          </w:p>
        </w:tc>
        <w:tc>
          <w:tcPr>
            <w:tcW w:w="1450" w:type="dxa"/>
          </w:tcPr>
          <w:p>
            <w:pPr>
              <w:rPr>
                <w:rFonts w:hint="eastAsia" w:ascii="宋体" w:hAnsi="宋体" w:eastAsia="宋体" w:cs="宋体"/>
                <w:snapToGrid w:val="0"/>
                <w:color w:val="auto"/>
                <w:sz w:val="24"/>
                <w:szCs w:val="24"/>
                <w:highlight w:val="none"/>
              </w:rPr>
            </w:pPr>
          </w:p>
        </w:tc>
        <w:tc>
          <w:tcPr>
            <w:tcW w:w="1667" w:type="dxa"/>
          </w:tcPr>
          <w:p>
            <w:pPr>
              <w:rPr>
                <w:rFonts w:hint="eastAsia" w:ascii="宋体" w:hAnsi="宋体" w:eastAsia="宋体" w:cs="宋体"/>
                <w:snapToGrid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snapToGrid w:val="0"/>
                <w:color w:val="auto"/>
                <w:sz w:val="24"/>
                <w:szCs w:val="24"/>
                <w:highlight w:val="none"/>
              </w:rPr>
            </w:pPr>
          </w:p>
        </w:tc>
        <w:tc>
          <w:tcPr>
            <w:tcW w:w="1276" w:type="dxa"/>
          </w:tcPr>
          <w:p>
            <w:pPr>
              <w:rPr>
                <w:rFonts w:hint="eastAsia" w:ascii="宋体" w:hAnsi="宋体" w:eastAsia="宋体" w:cs="宋体"/>
                <w:snapToGrid w:val="0"/>
                <w:color w:val="auto"/>
                <w:sz w:val="24"/>
                <w:szCs w:val="24"/>
                <w:highlight w:val="none"/>
              </w:rPr>
            </w:pPr>
          </w:p>
        </w:tc>
        <w:tc>
          <w:tcPr>
            <w:tcW w:w="1450" w:type="dxa"/>
          </w:tcPr>
          <w:p>
            <w:pPr>
              <w:rPr>
                <w:rFonts w:hint="eastAsia" w:ascii="宋体" w:hAnsi="宋体" w:eastAsia="宋体" w:cs="宋体"/>
                <w:snapToGrid w:val="0"/>
                <w:color w:val="auto"/>
                <w:sz w:val="24"/>
                <w:szCs w:val="24"/>
                <w:highlight w:val="none"/>
              </w:rPr>
            </w:pPr>
          </w:p>
        </w:tc>
        <w:tc>
          <w:tcPr>
            <w:tcW w:w="1243" w:type="dxa"/>
          </w:tcPr>
          <w:p>
            <w:pPr>
              <w:rPr>
                <w:rFonts w:hint="eastAsia" w:ascii="宋体" w:hAnsi="宋体" w:eastAsia="宋体" w:cs="宋体"/>
                <w:snapToGrid w:val="0"/>
                <w:color w:val="auto"/>
                <w:sz w:val="24"/>
                <w:szCs w:val="24"/>
                <w:highlight w:val="none"/>
              </w:rPr>
            </w:pPr>
          </w:p>
        </w:tc>
        <w:tc>
          <w:tcPr>
            <w:tcW w:w="1450" w:type="dxa"/>
          </w:tcPr>
          <w:p>
            <w:pPr>
              <w:rPr>
                <w:rFonts w:hint="eastAsia" w:ascii="宋体" w:hAnsi="宋体" w:eastAsia="宋体" w:cs="宋体"/>
                <w:snapToGrid w:val="0"/>
                <w:color w:val="auto"/>
                <w:sz w:val="24"/>
                <w:szCs w:val="24"/>
                <w:highlight w:val="none"/>
              </w:rPr>
            </w:pPr>
          </w:p>
        </w:tc>
        <w:tc>
          <w:tcPr>
            <w:tcW w:w="1667" w:type="dxa"/>
          </w:tcPr>
          <w:p>
            <w:pPr>
              <w:rPr>
                <w:rFonts w:hint="eastAsia" w:ascii="宋体" w:hAnsi="宋体" w:eastAsia="宋体" w:cs="宋体"/>
                <w:snapToGrid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snapToGrid w:val="0"/>
                <w:color w:val="auto"/>
                <w:sz w:val="24"/>
                <w:szCs w:val="24"/>
                <w:highlight w:val="none"/>
              </w:rPr>
            </w:pPr>
          </w:p>
        </w:tc>
        <w:tc>
          <w:tcPr>
            <w:tcW w:w="1276" w:type="dxa"/>
          </w:tcPr>
          <w:p>
            <w:pPr>
              <w:rPr>
                <w:rFonts w:hint="eastAsia" w:ascii="宋体" w:hAnsi="宋体" w:eastAsia="宋体" w:cs="宋体"/>
                <w:snapToGrid w:val="0"/>
                <w:color w:val="auto"/>
                <w:sz w:val="24"/>
                <w:szCs w:val="24"/>
                <w:highlight w:val="none"/>
              </w:rPr>
            </w:pPr>
          </w:p>
        </w:tc>
        <w:tc>
          <w:tcPr>
            <w:tcW w:w="1450" w:type="dxa"/>
          </w:tcPr>
          <w:p>
            <w:pPr>
              <w:rPr>
                <w:rFonts w:hint="eastAsia" w:ascii="宋体" w:hAnsi="宋体" w:eastAsia="宋体" w:cs="宋体"/>
                <w:snapToGrid w:val="0"/>
                <w:color w:val="auto"/>
                <w:sz w:val="24"/>
                <w:szCs w:val="24"/>
                <w:highlight w:val="none"/>
              </w:rPr>
            </w:pPr>
          </w:p>
        </w:tc>
        <w:tc>
          <w:tcPr>
            <w:tcW w:w="1243" w:type="dxa"/>
          </w:tcPr>
          <w:p>
            <w:pPr>
              <w:rPr>
                <w:rFonts w:hint="eastAsia" w:ascii="宋体" w:hAnsi="宋体" w:eastAsia="宋体" w:cs="宋体"/>
                <w:snapToGrid w:val="0"/>
                <w:color w:val="auto"/>
                <w:sz w:val="24"/>
                <w:szCs w:val="24"/>
                <w:highlight w:val="none"/>
              </w:rPr>
            </w:pPr>
          </w:p>
        </w:tc>
        <w:tc>
          <w:tcPr>
            <w:tcW w:w="1450" w:type="dxa"/>
          </w:tcPr>
          <w:p>
            <w:pPr>
              <w:rPr>
                <w:rFonts w:hint="eastAsia" w:ascii="宋体" w:hAnsi="宋体" w:eastAsia="宋体" w:cs="宋体"/>
                <w:snapToGrid w:val="0"/>
                <w:color w:val="auto"/>
                <w:sz w:val="24"/>
                <w:szCs w:val="24"/>
                <w:highlight w:val="none"/>
              </w:rPr>
            </w:pPr>
          </w:p>
        </w:tc>
        <w:tc>
          <w:tcPr>
            <w:tcW w:w="1667" w:type="dxa"/>
          </w:tcPr>
          <w:p>
            <w:pPr>
              <w:rPr>
                <w:rFonts w:hint="eastAsia" w:ascii="宋体" w:hAnsi="宋体" w:eastAsia="宋体" w:cs="宋体"/>
                <w:snapToGrid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bottom w:val="single" w:color="auto" w:sz="12" w:space="0"/>
            </w:tcBorders>
          </w:tcPr>
          <w:p>
            <w:pPr>
              <w:rPr>
                <w:rFonts w:hint="eastAsia" w:ascii="宋体" w:hAnsi="宋体" w:eastAsia="宋体" w:cs="宋体"/>
                <w:snapToGrid w:val="0"/>
                <w:color w:val="auto"/>
                <w:sz w:val="24"/>
                <w:szCs w:val="24"/>
                <w:highlight w:val="none"/>
              </w:rPr>
            </w:pPr>
          </w:p>
        </w:tc>
        <w:tc>
          <w:tcPr>
            <w:tcW w:w="1276" w:type="dxa"/>
            <w:tcBorders>
              <w:bottom w:val="single" w:color="auto" w:sz="12" w:space="0"/>
            </w:tcBorders>
          </w:tcPr>
          <w:p>
            <w:pPr>
              <w:rPr>
                <w:rFonts w:hint="eastAsia" w:ascii="宋体" w:hAnsi="宋体" w:eastAsia="宋体" w:cs="宋体"/>
                <w:snapToGrid w:val="0"/>
                <w:color w:val="auto"/>
                <w:sz w:val="24"/>
                <w:szCs w:val="24"/>
                <w:highlight w:val="none"/>
              </w:rPr>
            </w:pPr>
          </w:p>
        </w:tc>
        <w:tc>
          <w:tcPr>
            <w:tcW w:w="1450" w:type="dxa"/>
            <w:tcBorders>
              <w:bottom w:val="single" w:color="auto" w:sz="12" w:space="0"/>
            </w:tcBorders>
          </w:tcPr>
          <w:p>
            <w:pPr>
              <w:rPr>
                <w:rFonts w:hint="eastAsia" w:ascii="宋体" w:hAnsi="宋体" w:eastAsia="宋体" w:cs="宋体"/>
                <w:snapToGrid w:val="0"/>
                <w:color w:val="auto"/>
                <w:sz w:val="24"/>
                <w:szCs w:val="24"/>
                <w:highlight w:val="none"/>
              </w:rPr>
            </w:pPr>
          </w:p>
        </w:tc>
        <w:tc>
          <w:tcPr>
            <w:tcW w:w="1243" w:type="dxa"/>
            <w:tcBorders>
              <w:bottom w:val="single" w:color="auto" w:sz="12" w:space="0"/>
            </w:tcBorders>
          </w:tcPr>
          <w:p>
            <w:pPr>
              <w:rPr>
                <w:rFonts w:hint="eastAsia" w:ascii="宋体" w:hAnsi="宋体" w:eastAsia="宋体" w:cs="宋体"/>
                <w:snapToGrid w:val="0"/>
                <w:color w:val="auto"/>
                <w:sz w:val="24"/>
                <w:szCs w:val="24"/>
                <w:highlight w:val="none"/>
              </w:rPr>
            </w:pPr>
          </w:p>
        </w:tc>
        <w:tc>
          <w:tcPr>
            <w:tcW w:w="1450" w:type="dxa"/>
            <w:tcBorders>
              <w:bottom w:val="single" w:color="auto" w:sz="12" w:space="0"/>
            </w:tcBorders>
          </w:tcPr>
          <w:p>
            <w:pPr>
              <w:rPr>
                <w:rFonts w:hint="eastAsia" w:ascii="宋体" w:hAnsi="宋体" w:eastAsia="宋体" w:cs="宋体"/>
                <w:snapToGrid w:val="0"/>
                <w:color w:val="auto"/>
                <w:sz w:val="24"/>
                <w:szCs w:val="24"/>
                <w:highlight w:val="none"/>
              </w:rPr>
            </w:pPr>
          </w:p>
        </w:tc>
        <w:tc>
          <w:tcPr>
            <w:tcW w:w="1667" w:type="dxa"/>
            <w:tcBorders>
              <w:bottom w:val="single" w:color="auto" w:sz="12" w:space="0"/>
            </w:tcBorders>
          </w:tcPr>
          <w:p>
            <w:pPr>
              <w:rPr>
                <w:rFonts w:hint="eastAsia" w:ascii="宋体" w:hAnsi="宋体" w:eastAsia="宋体" w:cs="宋体"/>
                <w:snapToGrid w:val="0"/>
                <w:color w:val="auto"/>
                <w:sz w:val="24"/>
                <w:szCs w:val="24"/>
                <w:highlight w:val="none"/>
              </w:rPr>
            </w:pPr>
          </w:p>
        </w:tc>
      </w:tr>
    </w:tbl>
    <w:p>
      <w:pPr>
        <w:spacing w:line="440" w:lineRule="exact"/>
        <w:rPr>
          <w:rFonts w:hint="eastAsia" w:ascii="宋体" w:hAnsi="宋体" w:eastAsia="宋体" w:cs="宋体"/>
          <w:snapToGrid w:val="0"/>
          <w:color w:val="auto"/>
          <w:kern w:val="0"/>
          <w:sz w:val="24"/>
          <w:szCs w:val="24"/>
          <w:highlight w:val="none"/>
        </w:rPr>
      </w:pPr>
    </w:p>
    <w:p>
      <w:pPr>
        <w:spacing w:line="4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br w:type="page"/>
      </w:r>
      <w:r>
        <w:rPr>
          <w:rFonts w:hint="eastAsia" w:ascii="宋体" w:hAnsi="宋体" w:eastAsia="宋体" w:cs="宋体"/>
          <w:snapToGrid w:val="0"/>
          <w:color w:val="auto"/>
          <w:kern w:val="0"/>
          <w:sz w:val="24"/>
          <w:szCs w:val="24"/>
          <w:highlight w:val="none"/>
        </w:rPr>
        <w:t>附</w:t>
      </w:r>
      <w:bookmarkStart w:id="190" w:name="_Toc267261698"/>
      <w:bookmarkStart w:id="191" w:name="_Toc296891055"/>
      <w:bookmarkStart w:id="192" w:name="_Toc296347226"/>
      <w:bookmarkStart w:id="193" w:name="_Toc296891267"/>
      <w:bookmarkStart w:id="194" w:name="_Toc296346728"/>
      <w:bookmarkStart w:id="195" w:name="_Toc296503227"/>
      <w:bookmarkStart w:id="196" w:name="_Toc296944566"/>
      <w:r>
        <w:rPr>
          <w:rFonts w:hint="eastAsia" w:ascii="宋体" w:hAnsi="宋体" w:eastAsia="宋体" w:cs="宋体"/>
          <w:snapToGrid w:val="0"/>
          <w:color w:val="auto"/>
          <w:kern w:val="0"/>
          <w:sz w:val="24"/>
          <w:szCs w:val="24"/>
          <w:highlight w:val="none"/>
        </w:rPr>
        <w:t>件5：</w:t>
      </w:r>
    </w:p>
    <w:bookmarkEnd w:id="190"/>
    <w:bookmarkEnd w:id="191"/>
    <w:bookmarkEnd w:id="192"/>
    <w:bookmarkEnd w:id="193"/>
    <w:bookmarkEnd w:id="194"/>
    <w:bookmarkEnd w:id="195"/>
    <w:bookmarkEnd w:id="196"/>
    <w:p>
      <w:pPr>
        <w:spacing w:before="156" w:beforeLines="50" w:after="156" w:afterLines="50" w:line="440" w:lineRule="exact"/>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承包人用于本工程施工的机械设备表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162" w:type="dxa"/>
            <w:tcBorders>
              <w:top w:val="single" w:color="auto" w:sz="12" w:space="0"/>
              <w:bottom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8" w:type="dxa"/>
            <w:tcBorders>
              <w:top w:val="single" w:color="auto" w:sz="12" w:space="0"/>
              <w:bottom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机械或设备名称</w:t>
            </w:r>
          </w:p>
        </w:tc>
        <w:tc>
          <w:tcPr>
            <w:tcW w:w="850" w:type="dxa"/>
            <w:tcBorders>
              <w:top w:val="single" w:color="auto" w:sz="12" w:space="0"/>
              <w:bottom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tc>
        <w:tc>
          <w:tcPr>
            <w:tcW w:w="1058" w:type="dxa"/>
            <w:tcBorders>
              <w:top w:val="single" w:color="auto" w:sz="12" w:space="0"/>
              <w:bottom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80" w:type="dxa"/>
            <w:tcBorders>
              <w:top w:val="single" w:color="auto" w:sz="12" w:space="0"/>
              <w:bottom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1020" w:type="dxa"/>
            <w:tcBorders>
              <w:top w:val="single" w:color="auto" w:sz="12" w:space="0"/>
              <w:bottom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w:t>
            </w:r>
          </w:p>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年份</w:t>
            </w:r>
          </w:p>
        </w:tc>
        <w:tc>
          <w:tcPr>
            <w:tcW w:w="1480" w:type="dxa"/>
            <w:tcBorders>
              <w:top w:val="single" w:color="auto" w:sz="12" w:space="0"/>
              <w:bottom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额定功率(kW)</w:t>
            </w:r>
          </w:p>
        </w:tc>
        <w:tc>
          <w:tcPr>
            <w:tcW w:w="1020" w:type="dxa"/>
            <w:tcBorders>
              <w:top w:val="single" w:color="auto" w:sz="12" w:space="0"/>
              <w:bottom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w:t>
            </w:r>
          </w:p>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能力</w:t>
            </w:r>
          </w:p>
        </w:tc>
        <w:tc>
          <w:tcPr>
            <w:tcW w:w="921" w:type="dxa"/>
            <w:tcBorders>
              <w:top w:val="single" w:color="auto" w:sz="12" w:space="0"/>
              <w:bottom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Borders>
              <w:top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0" w:type="dxa"/>
            <w:tcBorders>
              <w:top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58" w:type="dxa"/>
            <w:tcBorders>
              <w:top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80" w:type="dxa"/>
            <w:tcBorders>
              <w:top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20" w:type="dxa"/>
            <w:tcBorders>
              <w:top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80" w:type="dxa"/>
            <w:tcBorders>
              <w:top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20" w:type="dxa"/>
            <w:tcBorders>
              <w:top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21" w:type="dxa"/>
            <w:tcBorders>
              <w:top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Borders>
              <w:top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0" w:type="dxa"/>
            <w:tcBorders>
              <w:top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58" w:type="dxa"/>
            <w:tcBorders>
              <w:top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80" w:type="dxa"/>
            <w:tcBorders>
              <w:top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20" w:type="dxa"/>
            <w:tcBorders>
              <w:top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80" w:type="dxa"/>
            <w:tcBorders>
              <w:top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20" w:type="dxa"/>
            <w:tcBorders>
              <w:top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21" w:type="dxa"/>
            <w:tcBorders>
              <w:top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5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8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2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8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2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21"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5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8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2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8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2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21"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5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8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2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8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2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21"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5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8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2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8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2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21"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5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8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2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8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2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21"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5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8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2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8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2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21"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snapToGrid w:val="0"/>
                <w:color w:val="auto"/>
                <w:sz w:val="24"/>
                <w:szCs w:val="24"/>
                <w:highlight w:val="none"/>
              </w:rPr>
            </w:pPr>
          </w:p>
        </w:tc>
        <w:tc>
          <w:tcPr>
            <w:tcW w:w="1418" w:type="dxa"/>
          </w:tcPr>
          <w:p>
            <w:pPr>
              <w:rPr>
                <w:rFonts w:hint="eastAsia" w:ascii="宋体" w:hAnsi="宋体" w:eastAsia="宋体" w:cs="宋体"/>
                <w:snapToGrid w:val="0"/>
                <w:color w:val="auto"/>
                <w:sz w:val="24"/>
                <w:szCs w:val="24"/>
                <w:highlight w:val="none"/>
              </w:rPr>
            </w:pPr>
          </w:p>
        </w:tc>
        <w:tc>
          <w:tcPr>
            <w:tcW w:w="850" w:type="dxa"/>
          </w:tcPr>
          <w:p>
            <w:pPr>
              <w:rPr>
                <w:rFonts w:hint="eastAsia" w:ascii="宋体" w:hAnsi="宋体" w:eastAsia="宋体" w:cs="宋体"/>
                <w:snapToGrid w:val="0"/>
                <w:color w:val="auto"/>
                <w:sz w:val="24"/>
                <w:szCs w:val="24"/>
                <w:highlight w:val="none"/>
              </w:rPr>
            </w:pPr>
          </w:p>
        </w:tc>
        <w:tc>
          <w:tcPr>
            <w:tcW w:w="1058" w:type="dxa"/>
          </w:tcPr>
          <w:p>
            <w:pPr>
              <w:rPr>
                <w:rFonts w:hint="eastAsia" w:ascii="宋体" w:hAnsi="宋体" w:eastAsia="宋体" w:cs="宋体"/>
                <w:snapToGrid w:val="0"/>
                <w:color w:val="auto"/>
                <w:sz w:val="24"/>
                <w:szCs w:val="24"/>
                <w:highlight w:val="none"/>
              </w:rPr>
            </w:pPr>
          </w:p>
        </w:tc>
        <w:tc>
          <w:tcPr>
            <w:tcW w:w="880" w:type="dxa"/>
          </w:tcPr>
          <w:p>
            <w:pPr>
              <w:rPr>
                <w:rFonts w:hint="eastAsia" w:ascii="宋体" w:hAnsi="宋体" w:eastAsia="宋体" w:cs="宋体"/>
                <w:snapToGrid w:val="0"/>
                <w:color w:val="auto"/>
                <w:sz w:val="24"/>
                <w:szCs w:val="24"/>
                <w:highlight w:val="none"/>
              </w:rPr>
            </w:pPr>
          </w:p>
        </w:tc>
        <w:tc>
          <w:tcPr>
            <w:tcW w:w="1020" w:type="dxa"/>
          </w:tcPr>
          <w:p>
            <w:pPr>
              <w:rPr>
                <w:rFonts w:hint="eastAsia" w:ascii="宋体" w:hAnsi="宋体" w:eastAsia="宋体" w:cs="宋体"/>
                <w:snapToGrid w:val="0"/>
                <w:color w:val="auto"/>
                <w:sz w:val="24"/>
                <w:szCs w:val="24"/>
                <w:highlight w:val="none"/>
              </w:rPr>
            </w:pPr>
          </w:p>
        </w:tc>
        <w:tc>
          <w:tcPr>
            <w:tcW w:w="1480" w:type="dxa"/>
          </w:tcPr>
          <w:p>
            <w:pPr>
              <w:rPr>
                <w:rFonts w:hint="eastAsia" w:ascii="宋体" w:hAnsi="宋体" w:eastAsia="宋体" w:cs="宋体"/>
                <w:snapToGrid w:val="0"/>
                <w:color w:val="auto"/>
                <w:sz w:val="24"/>
                <w:szCs w:val="24"/>
                <w:highlight w:val="none"/>
              </w:rPr>
            </w:pPr>
          </w:p>
        </w:tc>
        <w:tc>
          <w:tcPr>
            <w:tcW w:w="1020" w:type="dxa"/>
          </w:tcPr>
          <w:p>
            <w:pPr>
              <w:rPr>
                <w:rFonts w:hint="eastAsia" w:ascii="宋体" w:hAnsi="宋体" w:eastAsia="宋体" w:cs="宋体"/>
                <w:snapToGrid w:val="0"/>
                <w:color w:val="auto"/>
                <w:sz w:val="24"/>
                <w:szCs w:val="24"/>
                <w:highlight w:val="none"/>
              </w:rPr>
            </w:pPr>
          </w:p>
        </w:tc>
        <w:tc>
          <w:tcPr>
            <w:tcW w:w="921" w:type="dxa"/>
          </w:tcPr>
          <w:p>
            <w:pPr>
              <w:rPr>
                <w:rFonts w:hint="eastAsia" w:ascii="宋体" w:hAnsi="宋体" w:eastAsia="宋体" w:cs="宋体"/>
                <w:snapToGrid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5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8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2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8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020"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21"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snapToGrid w:val="0"/>
                <w:color w:val="auto"/>
                <w:sz w:val="24"/>
                <w:szCs w:val="24"/>
                <w:highlight w:val="none"/>
              </w:rPr>
            </w:pPr>
          </w:p>
        </w:tc>
        <w:tc>
          <w:tcPr>
            <w:tcW w:w="1418" w:type="dxa"/>
          </w:tcPr>
          <w:p>
            <w:pPr>
              <w:rPr>
                <w:rFonts w:hint="eastAsia" w:ascii="宋体" w:hAnsi="宋体" w:eastAsia="宋体" w:cs="宋体"/>
                <w:snapToGrid w:val="0"/>
                <w:color w:val="auto"/>
                <w:sz w:val="24"/>
                <w:szCs w:val="24"/>
                <w:highlight w:val="none"/>
              </w:rPr>
            </w:pPr>
          </w:p>
        </w:tc>
        <w:tc>
          <w:tcPr>
            <w:tcW w:w="850" w:type="dxa"/>
          </w:tcPr>
          <w:p>
            <w:pPr>
              <w:rPr>
                <w:rFonts w:hint="eastAsia" w:ascii="宋体" w:hAnsi="宋体" w:eastAsia="宋体" w:cs="宋体"/>
                <w:snapToGrid w:val="0"/>
                <w:color w:val="auto"/>
                <w:sz w:val="24"/>
                <w:szCs w:val="24"/>
                <w:highlight w:val="none"/>
              </w:rPr>
            </w:pPr>
          </w:p>
        </w:tc>
        <w:tc>
          <w:tcPr>
            <w:tcW w:w="1058" w:type="dxa"/>
          </w:tcPr>
          <w:p>
            <w:pPr>
              <w:rPr>
                <w:rFonts w:hint="eastAsia" w:ascii="宋体" w:hAnsi="宋体" w:eastAsia="宋体" w:cs="宋体"/>
                <w:snapToGrid w:val="0"/>
                <w:color w:val="auto"/>
                <w:sz w:val="24"/>
                <w:szCs w:val="24"/>
                <w:highlight w:val="none"/>
              </w:rPr>
            </w:pPr>
          </w:p>
        </w:tc>
        <w:tc>
          <w:tcPr>
            <w:tcW w:w="880" w:type="dxa"/>
          </w:tcPr>
          <w:p>
            <w:pPr>
              <w:rPr>
                <w:rFonts w:hint="eastAsia" w:ascii="宋体" w:hAnsi="宋体" w:eastAsia="宋体" w:cs="宋体"/>
                <w:snapToGrid w:val="0"/>
                <w:color w:val="auto"/>
                <w:sz w:val="24"/>
                <w:szCs w:val="24"/>
                <w:highlight w:val="none"/>
              </w:rPr>
            </w:pPr>
          </w:p>
        </w:tc>
        <w:tc>
          <w:tcPr>
            <w:tcW w:w="1020" w:type="dxa"/>
          </w:tcPr>
          <w:p>
            <w:pPr>
              <w:rPr>
                <w:rFonts w:hint="eastAsia" w:ascii="宋体" w:hAnsi="宋体" w:eastAsia="宋体" w:cs="宋体"/>
                <w:snapToGrid w:val="0"/>
                <w:color w:val="auto"/>
                <w:sz w:val="24"/>
                <w:szCs w:val="24"/>
                <w:highlight w:val="none"/>
              </w:rPr>
            </w:pPr>
          </w:p>
        </w:tc>
        <w:tc>
          <w:tcPr>
            <w:tcW w:w="1480" w:type="dxa"/>
          </w:tcPr>
          <w:p>
            <w:pPr>
              <w:rPr>
                <w:rFonts w:hint="eastAsia" w:ascii="宋体" w:hAnsi="宋体" w:eastAsia="宋体" w:cs="宋体"/>
                <w:snapToGrid w:val="0"/>
                <w:color w:val="auto"/>
                <w:sz w:val="24"/>
                <w:szCs w:val="24"/>
                <w:highlight w:val="none"/>
              </w:rPr>
            </w:pPr>
          </w:p>
        </w:tc>
        <w:tc>
          <w:tcPr>
            <w:tcW w:w="1020" w:type="dxa"/>
          </w:tcPr>
          <w:p>
            <w:pPr>
              <w:rPr>
                <w:rFonts w:hint="eastAsia" w:ascii="宋体" w:hAnsi="宋体" w:eastAsia="宋体" w:cs="宋体"/>
                <w:snapToGrid w:val="0"/>
                <w:color w:val="auto"/>
                <w:sz w:val="24"/>
                <w:szCs w:val="24"/>
                <w:highlight w:val="none"/>
              </w:rPr>
            </w:pPr>
          </w:p>
        </w:tc>
        <w:tc>
          <w:tcPr>
            <w:tcW w:w="921" w:type="dxa"/>
          </w:tcPr>
          <w:p>
            <w:pPr>
              <w:rPr>
                <w:rFonts w:hint="eastAsia" w:ascii="宋体" w:hAnsi="宋体" w:eastAsia="宋体" w:cs="宋体"/>
                <w:snapToGrid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snapToGrid w:val="0"/>
                <w:color w:val="auto"/>
                <w:sz w:val="24"/>
                <w:szCs w:val="24"/>
                <w:highlight w:val="none"/>
              </w:rPr>
            </w:pPr>
          </w:p>
        </w:tc>
        <w:tc>
          <w:tcPr>
            <w:tcW w:w="1418" w:type="dxa"/>
          </w:tcPr>
          <w:p>
            <w:pPr>
              <w:rPr>
                <w:rFonts w:hint="eastAsia" w:ascii="宋体" w:hAnsi="宋体" w:eastAsia="宋体" w:cs="宋体"/>
                <w:snapToGrid w:val="0"/>
                <w:color w:val="auto"/>
                <w:sz w:val="24"/>
                <w:szCs w:val="24"/>
                <w:highlight w:val="none"/>
              </w:rPr>
            </w:pPr>
          </w:p>
        </w:tc>
        <w:tc>
          <w:tcPr>
            <w:tcW w:w="850" w:type="dxa"/>
          </w:tcPr>
          <w:p>
            <w:pPr>
              <w:rPr>
                <w:rFonts w:hint="eastAsia" w:ascii="宋体" w:hAnsi="宋体" w:eastAsia="宋体" w:cs="宋体"/>
                <w:snapToGrid w:val="0"/>
                <w:color w:val="auto"/>
                <w:sz w:val="24"/>
                <w:szCs w:val="24"/>
                <w:highlight w:val="none"/>
              </w:rPr>
            </w:pPr>
          </w:p>
        </w:tc>
        <w:tc>
          <w:tcPr>
            <w:tcW w:w="1058" w:type="dxa"/>
          </w:tcPr>
          <w:p>
            <w:pPr>
              <w:rPr>
                <w:rFonts w:hint="eastAsia" w:ascii="宋体" w:hAnsi="宋体" w:eastAsia="宋体" w:cs="宋体"/>
                <w:snapToGrid w:val="0"/>
                <w:color w:val="auto"/>
                <w:sz w:val="24"/>
                <w:szCs w:val="24"/>
                <w:highlight w:val="none"/>
              </w:rPr>
            </w:pPr>
          </w:p>
        </w:tc>
        <w:tc>
          <w:tcPr>
            <w:tcW w:w="880" w:type="dxa"/>
          </w:tcPr>
          <w:p>
            <w:pPr>
              <w:rPr>
                <w:rFonts w:hint="eastAsia" w:ascii="宋体" w:hAnsi="宋体" w:eastAsia="宋体" w:cs="宋体"/>
                <w:snapToGrid w:val="0"/>
                <w:color w:val="auto"/>
                <w:sz w:val="24"/>
                <w:szCs w:val="24"/>
                <w:highlight w:val="none"/>
              </w:rPr>
            </w:pPr>
          </w:p>
        </w:tc>
        <w:tc>
          <w:tcPr>
            <w:tcW w:w="1020" w:type="dxa"/>
          </w:tcPr>
          <w:p>
            <w:pPr>
              <w:rPr>
                <w:rFonts w:hint="eastAsia" w:ascii="宋体" w:hAnsi="宋体" w:eastAsia="宋体" w:cs="宋体"/>
                <w:snapToGrid w:val="0"/>
                <w:color w:val="auto"/>
                <w:sz w:val="24"/>
                <w:szCs w:val="24"/>
                <w:highlight w:val="none"/>
              </w:rPr>
            </w:pPr>
          </w:p>
        </w:tc>
        <w:tc>
          <w:tcPr>
            <w:tcW w:w="1480" w:type="dxa"/>
          </w:tcPr>
          <w:p>
            <w:pPr>
              <w:rPr>
                <w:rFonts w:hint="eastAsia" w:ascii="宋体" w:hAnsi="宋体" w:eastAsia="宋体" w:cs="宋体"/>
                <w:snapToGrid w:val="0"/>
                <w:color w:val="auto"/>
                <w:sz w:val="24"/>
                <w:szCs w:val="24"/>
                <w:highlight w:val="none"/>
              </w:rPr>
            </w:pPr>
          </w:p>
        </w:tc>
        <w:tc>
          <w:tcPr>
            <w:tcW w:w="1020" w:type="dxa"/>
          </w:tcPr>
          <w:p>
            <w:pPr>
              <w:rPr>
                <w:rFonts w:hint="eastAsia" w:ascii="宋体" w:hAnsi="宋体" w:eastAsia="宋体" w:cs="宋体"/>
                <w:snapToGrid w:val="0"/>
                <w:color w:val="auto"/>
                <w:sz w:val="24"/>
                <w:szCs w:val="24"/>
                <w:highlight w:val="none"/>
              </w:rPr>
            </w:pPr>
          </w:p>
        </w:tc>
        <w:tc>
          <w:tcPr>
            <w:tcW w:w="921" w:type="dxa"/>
          </w:tcPr>
          <w:p>
            <w:pPr>
              <w:rPr>
                <w:rFonts w:hint="eastAsia" w:ascii="宋体" w:hAnsi="宋体" w:eastAsia="宋体" w:cs="宋体"/>
                <w:snapToGrid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snapToGrid w:val="0"/>
                <w:color w:val="auto"/>
                <w:sz w:val="24"/>
                <w:szCs w:val="24"/>
                <w:highlight w:val="none"/>
              </w:rPr>
            </w:pPr>
          </w:p>
        </w:tc>
        <w:tc>
          <w:tcPr>
            <w:tcW w:w="1418" w:type="dxa"/>
          </w:tcPr>
          <w:p>
            <w:pPr>
              <w:rPr>
                <w:rFonts w:hint="eastAsia" w:ascii="宋体" w:hAnsi="宋体" w:eastAsia="宋体" w:cs="宋体"/>
                <w:snapToGrid w:val="0"/>
                <w:color w:val="auto"/>
                <w:sz w:val="24"/>
                <w:szCs w:val="24"/>
                <w:highlight w:val="none"/>
              </w:rPr>
            </w:pPr>
          </w:p>
        </w:tc>
        <w:tc>
          <w:tcPr>
            <w:tcW w:w="850" w:type="dxa"/>
          </w:tcPr>
          <w:p>
            <w:pPr>
              <w:rPr>
                <w:rFonts w:hint="eastAsia" w:ascii="宋体" w:hAnsi="宋体" w:eastAsia="宋体" w:cs="宋体"/>
                <w:snapToGrid w:val="0"/>
                <w:color w:val="auto"/>
                <w:sz w:val="24"/>
                <w:szCs w:val="24"/>
                <w:highlight w:val="none"/>
              </w:rPr>
            </w:pPr>
          </w:p>
        </w:tc>
        <w:tc>
          <w:tcPr>
            <w:tcW w:w="1058" w:type="dxa"/>
          </w:tcPr>
          <w:p>
            <w:pPr>
              <w:rPr>
                <w:rFonts w:hint="eastAsia" w:ascii="宋体" w:hAnsi="宋体" w:eastAsia="宋体" w:cs="宋体"/>
                <w:snapToGrid w:val="0"/>
                <w:color w:val="auto"/>
                <w:sz w:val="24"/>
                <w:szCs w:val="24"/>
                <w:highlight w:val="none"/>
              </w:rPr>
            </w:pPr>
          </w:p>
        </w:tc>
        <w:tc>
          <w:tcPr>
            <w:tcW w:w="880" w:type="dxa"/>
          </w:tcPr>
          <w:p>
            <w:pPr>
              <w:rPr>
                <w:rFonts w:hint="eastAsia" w:ascii="宋体" w:hAnsi="宋体" w:eastAsia="宋体" w:cs="宋体"/>
                <w:snapToGrid w:val="0"/>
                <w:color w:val="auto"/>
                <w:sz w:val="24"/>
                <w:szCs w:val="24"/>
                <w:highlight w:val="none"/>
              </w:rPr>
            </w:pPr>
          </w:p>
        </w:tc>
        <w:tc>
          <w:tcPr>
            <w:tcW w:w="1020" w:type="dxa"/>
          </w:tcPr>
          <w:p>
            <w:pPr>
              <w:rPr>
                <w:rFonts w:hint="eastAsia" w:ascii="宋体" w:hAnsi="宋体" w:eastAsia="宋体" w:cs="宋体"/>
                <w:snapToGrid w:val="0"/>
                <w:color w:val="auto"/>
                <w:sz w:val="24"/>
                <w:szCs w:val="24"/>
                <w:highlight w:val="none"/>
              </w:rPr>
            </w:pPr>
          </w:p>
        </w:tc>
        <w:tc>
          <w:tcPr>
            <w:tcW w:w="1480" w:type="dxa"/>
          </w:tcPr>
          <w:p>
            <w:pPr>
              <w:rPr>
                <w:rFonts w:hint="eastAsia" w:ascii="宋体" w:hAnsi="宋体" w:eastAsia="宋体" w:cs="宋体"/>
                <w:snapToGrid w:val="0"/>
                <w:color w:val="auto"/>
                <w:sz w:val="24"/>
                <w:szCs w:val="24"/>
                <w:highlight w:val="none"/>
              </w:rPr>
            </w:pPr>
          </w:p>
        </w:tc>
        <w:tc>
          <w:tcPr>
            <w:tcW w:w="1020" w:type="dxa"/>
          </w:tcPr>
          <w:p>
            <w:pPr>
              <w:rPr>
                <w:rFonts w:hint="eastAsia" w:ascii="宋体" w:hAnsi="宋体" w:eastAsia="宋体" w:cs="宋体"/>
                <w:snapToGrid w:val="0"/>
                <w:color w:val="auto"/>
                <w:sz w:val="24"/>
                <w:szCs w:val="24"/>
                <w:highlight w:val="none"/>
              </w:rPr>
            </w:pPr>
          </w:p>
        </w:tc>
        <w:tc>
          <w:tcPr>
            <w:tcW w:w="921" w:type="dxa"/>
          </w:tcPr>
          <w:p>
            <w:pPr>
              <w:rPr>
                <w:rFonts w:hint="eastAsia" w:ascii="宋体" w:hAnsi="宋体" w:eastAsia="宋体" w:cs="宋体"/>
                <w:snapToGrid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snapToGrid w:val="0"/>
                <w:color w:val="auto"/>
                <w:sz w:val="24"/>
                <w:szCs w:val="24"/>
                <w:highlight w:val="none"/>
              </w:rPr>
            </w:pPr>
          </w:p>
        </w:tc>
        <w:tc>
          <w:tcPr>
            <w:tcW w:w="1418" w:type="dxa"/>
          </w:tcPr>
          <w:p>
            <w:pPr>
              <w:rPr>
                <w:rFonts w:hint="eastAsia" w:ascii="宋体" w:hAnsi="宋体" w:eastAsia="宋体" w:cs="宋体"/>
                <w:snapToGrid w:val="0"/>
                <w:color w:val="auto"/>
                <w:sz w:val="24"/>
                <w:szCs w:val="24"/>
                <w:highlight w:val="none"/>
              </w:rPr>
            </w:pPr>
          </w:p>
        </w:tc>
        <w:tc>
          <w:tcPr>
            <w:tcW w:w="850" w:type="dxa"/>
          </w:tcPr>
          <w:p>
            <w:pPr>
              <w:rPr>
                <w:rFonts w:hint="eastAsia" w:ascii="宋体" w:hAnsi="宋体" w:eastAsia="宋体" w:cs="宋体"/>
                <w:snapToGrid w:val="0"/>
                <w:color w:val="auto"/>
                <w:sz w:val="24"/>
                <w:szCs w:val="24"/>
                <w:highlight w:val="none"/>
              </w:rPr>
            </w:pPr>
          </w:p>
        </w:tc>
        <w:tc>
          <w:tcPr>
            <w:tcW w:w="1058" w:type="dxa"/>
          </w:tcPr>
          <w:p>
            <w:pPr>
              <w:rPr>
                <w:rFonts w:hint="eastAsia" w:ascii="宋体" w:hAnsi="宋体" w:eastAsia="宋体" w:cs="宋体"/>
                <w:snapToGrid w:val="0"/>
                <w:color w:val="auto"/>
                <w:sz w:val="24"/>
                <w:szCs w:val="24"/>
                <w:highlight w:val="none"/>
              </w:rPr>
            </w:pPr>
          </w:p>
        </w:tc>
        <w:tc>
          <w:tcPr>
            <w:tcW w:w="880" w:type="dxa"/>
          </w:tcPr>
          <w:p>
            <w:pPr>
              <w:rPr>
                <w:rFonts w:hint="eastAsia" w:ascii="宋体" w:hAnsi="宋体" w:eastAsia="宋体" w:cs="宋体"/>
                <w:snapToGrid w:val="0"/>
                <w:color w:val="auto"/>
                <w:sz w:val="24"/>
                <w:szCs w:val="24"/>
                <w:highlight w:val="none"/>
              </w:rPr>
            </w:pPr>
          </w:p>
        </w:tc>
        <w:tc>
          <w:tcPr>
            <w:tcW w:w="1020" w:type="dxa"/>
          </w:tcPr>
          <w:p>
            <w:pPr>
              <w:rPr>
                <w:rFonts w:hint="eastAsia" w:ascii="宋体" w:hAnsi="宋体" w:eastAsia="宋体" w:cs="宋体"/>
                <w:snapToGrid w:val="0"/>
                <w:color w:val="auto"/>
                <w:sz w:val="24"/>
                <w:szCs w:val="24"/>
                <w:highlight w:val="none"/>
              </w:rPr>
            </w:pPr>
          </w:p>
        </w:tc>
        <w:tc>
          <w:tcPr>
            <w:tcW w:w="1480" w:type="dxa"/>
          </w:tcPr>
          <w:p>
            <w:pPr>
              <w:rPr>
                <w:rFonts w:hint="eastAsia" w:ascii="宋体" w:hAnsi="宋体" w:eastAsia="宋体" w:cs="宋体"/>
                <w:snapToGrid w:val="0"/>
                <w:color w:val="auto"/>
                <w:sz w:val="24"/>
                <w:szCs w:val="24"/>
                <w:highlight w:val="none"/>
              </w:rPr>
            </w:pPr>
          </w:p>
        </w:tc>
        <w:tc>
          <w:tcPr>
            <w:tcW w:w="1020" w:type="dxa"/>
          </w:tcPr>
          <w:p>
            <w:pPr>
              <w:rPr>
                <w:rFonts w:hint="eastAsia" w:ascii="宋体" w:hAnsi="宋体" w:eastAsia="宋体" w:cs="宋体"/>
                <w:snapToGrid w:val="0"/>
                <w:color w:val="auto"/>
                <w:sz w:val="24"/>
                <w:szCs w:val="24"/>
                <w:highlight w:val="none"/>
              </w:rPr>
            </w:pPr>
          </w:p>
        </w:tc>
        <w:tc>
          <w:tcPr>
            <w:tcW w:w="921" w:type="dxa"/>
          </w:tcPr>
          <w:p>
            <w:pPr>
              <w:rPr>
                <w:rFonts w:hint="eastAsia" w:ascii="宋体" w:hAnsi="宋体" w:eastAsia="宋体" w:cs="宋体"/>
                <w:snapToGrid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snapToGrid w:val="0"/>
                <w:color w:val="auto"/>
                <w:sz w:val="24"/>
                <w:szCs w:val="24"/>
                <w:highlight w:val="none"/>
              </w:rPr>
            </w:pPr>
          </w:p>
        </w:tc>
        <w:tc>
          <w:tcPr>
            <w:tcW w:w="1418" w:type="dxa"/>
          </w:tcPr>
          <w:p>
            <w:pPr>
              <w:rPr>
                <w:rFonts w:hint="eastAsia" w:ascii="宋体" w:hAnsi="宋体" w:eastAsia="宋体" w:cs="宋体"/>
                <w:snapToGrid w:val="0"/>
                <w:color w:val="auto"/>
                <w:sz w:val="24"/>
                <w:szCs w:val="24"/>
                <w:highlight w:val="none"/>
              </w:rPr>
            </w:pPr>
          </w:p>
        </w:tc>
        <w:tc>
          <w:tcPr>
            <w:tcW w:w="850" w:type="dxa"/>
          </w:tcPr>
          <w:p>
            <w:pPr>
              <w:rPr>
                <w:rFonts w:hint="eastAsia" w:ascii="宋体" w:hAnsi="宋体" w:eastAsia="宋体" w:cs="宋体"/>
                <w:snapToGrid w:val="0"/>
                <w:color w:val="auto"/>
                <w:sz w:val="24"/>
                <w:szCs w:val="24"/>
                <w:highlight w:val="none"/>
              </w:rPr>
            </w:pPr>
          </w:p>
        </w:tc>
        <w:tc>
          <w:tcPr>
            <w:tcW w:w="1058" w:type="dxa"/>
          </w:tcPr>
          <w:p>
            <w:pPr>
              <w:rPr>
                <w:rFonts w:hint="eastAsia" w:ascii="宋体" w:hAnsi="宋体" w:eastAsia="宋体" w:cs="宋体"/>
                <w:snapToGrid w:val="0"/>
                <w:color w:val="auto"/>
                <w:sz w:val="24"/>
                <w:szCs w:val="24"/>
                <w:highlight w:val="none"/>
              </w:rPr>
            </w:pPr>
          </w:p>
        </w:tc>
        <w:tc>
          <w:tcPr>
            <w:tcW w:w="880" w:type="dxa"/>
          </w:tcPr>
          <w:p>
            <w:pPr>
              <w:rPr>
                <w:rFonts w:hint="eastAsia" w:ascii="宋体" w:hAnsi="宋体" w:eastAsia="宋体" w:cs="宋体"/>
                <w:snapToGrid w:val="0"/>
                <w:color w:val="auto"/>
                <w:sz w:val="24"/>
                <w:szCs w:val="24"/>
                <w:highlight w:val="none"/>
              </w:rPr>
            </w:pPr>
          </w:p>
        </w:tc>
        <w:tc>
          <w:tcPr>
            <w:tcW w:w="1020" w:type="dxa"/>
          </w:tcPr>
          <w:p>
            <w:pPr>
              <w:rPr>
                <w:rFonts w:hint="eastAsia" w:ascii="宋体" w:hAnsi="宋体" w:eastAsia="宋体" w:cs="宋体"/>
                <w:snapToGrid w:val="0"/>
                <w:color w:val="auto"/>
                <w:sz w:val="24"/>
                <w:szCs w:val="24"/>
                <w:highlight w:val="none"/>
              </w:rPr>
            </w:pPr>
          </w:p>
        </w:tc>
        <w:tc>
          <w:tcPr>
            <w:tcW w:w="1480" w:type="dxa"/>
          </w:tcPr>
          <w:p>
            <w:pPr>
              <w:rPr>
                <w:rFonts w:hint="eastAsia" w:ascii="宋体" w:hAnsi="宋体" w:eastAsia="宋体" w:cs="宋体"/>
                <w:snapToGrid w:val="0"/>
                <w:color w:val="auto"/>
                <w:sz w:val="24"/>
                <w:szCs w:val="24"/>
                <w:highlight w:val="none"/>
              </w:rPr>
            </w:pPr>
          </w:p>
        </w:tc>
        <w:tc>
          <w:tcPr>
            <w:tcW w:w="1020" w:type="dxa"/>
          </w:tcPr>
          <w:p>
            <w:pPr>
              <w:rPr>
                <w:rFonts w:hint="eastAsia" w:ascii="宋体" w:hAnsi="宋体" w:eastAsia="宋体" w:cs="宋体"/>
                <w:snapToGrid w:val="0"/>
                <w:color w:val="auto"/>
                <w:sz w:val="24"/>
                <w:szCs w:val="24"/>
                <w:highlight w:val="none"/>
              </w:rPr>
            </w:pPr>
          </w:p>
        </w:tc>
        <w:tc>
          <w:tcPr>
            <w:tcW w:w="921" w:type="dxa"/>
          </w:tcPr>
          <w:p>
            <w:pPr>
              <w:rPr>
                <w:rFonts w:hint="eastAsia" w:ascii="宋体" w:hAnsi="宋体" w:eastAsia="宋体" w:cs="宋体"/>
                <w:snapToGrid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snapToGrid w:val="0"/>
                <w:color w:val="auto"/>
                <w:sz w:val="24"/>
                <w:szCs w:val="24"/>
                <w:highlight w:val="none"/>
              </w:rPr>
            </w:pPr>
          </w:p>
        </w:tc>
        <w:tc>
          <w:tcPr>
            <w:tcW w:w="1418" w:type="dxa"/>
          </w:tcPr>
          <w:p>
            <w:pPr>
              <w:rPr>
                <w:rFonts w:hint="eastAsia" w:ascii="宋体" w:hAnsi="宋体" w:eastAsia="宋体" w:cs="宋体"/>
                <w:snapToGrid w:val="0"/>
                <w:color w:val="auto"/>
                <w:sz w:val="24"/>
                <w:szCs w:val="24"/>
                <w:highlight w:val="none"/>
              </w:rPr>
            </w:pPr>
          </w:p>
        </w:tc>
        <w:tc>
          <w:tcPr>
            <w:tcW w:w="850" w:type="dxa"/>
          </w:tcPr>
          <w:p>
            <w:pPr>
              <w:rPr>
                <w:rFonts w:hint="eastAsia" w:ascii="宋体" w:hAnsi="宋体" w:eastAsia="宋体" w:cs="宋体"/>
                <w:snapToGrid w:val="0"/>
                <w:color w:val="auto"/>
                <w:sz w:val="24"/>
                <w:szCs w:val="24"/>
                <w:highlight w:val="none"/>
              </w:rPr>
            </w:pPr>
          </w:p>
        </w:tc>
        <w:tc>
          <w:tcPr>
            <w:tcW w:w="1058" w:type="dxa"/>
          </w:tcPr>
          <w:p>
            <w:pPr>
              <w:rPr>
                <w:rFonts w:hint="eastAsia" w:ascii="宋体" w:hAnsi="宋体" w:eastAsia="宋体" w:cs="宋体"/>
                <w:snapToGrid w:val="0"/>
                <w:color w:val="auto"/>
                <w:sz w:val="24"/>
                <w:szCs w:val="24"/>
                <w:highlight w:val="none"/>
              </w:rPr>
            </w:pPr>
          </w:p>
        </w:tc>
        <w:tc>
          <w:tcPr>
            <w:tcW w:w="880" w:type="dxa"/>
          </w:tcPr>
          <w:p>
            <w:pPr>
              <w:rPr>
                <w:rFonts w:hint="eastAsia" w:ascii="宋体" w:hAnsi="宋体" w:eastAsia="宋体" w:cs="宋体"/>
                <w:snapToGrid w:val="0"/>
                <w:color w:val="auto"/>
                <w:sz w:val="24"/>
                <w:szCs w:val="24"/>
                <w:highlight w:val="none"/>
              </w:rPr>
            </w:pPr>
          </w:p>
        </w:tc>
        <w:tc>
          <w:tcPr>
            <w:tcW w:w="1020" w:type="dxa"/>
          </w:tcPr>
          <w:p>
            <w:pPr>
              <w:rPr>
                <w:rFonts w:hint="eastAsia" w:ascii="宋体" w:hAnsi="宋体" w:eastAsia="宋体" w:cs="宋体"/>
                <w:snapToGrid w:val="0"/>
                <w:color w:val="auto"/>
                <w:sz w:val="24"/>
                <w:szCs w:val="24"/>
                <w:highlight w:val="none"/>
              </w:rPr>
            </w:pPr>
          </w:p>
        </w:tc>
        <w:tc>
          <w:tcPr>
            <w:tcW w:w="1480" w:type="dxa"/>
          </w:tcPr>
          <w:p>
            <w:pPr>
              <w:rPr>
                <w:rFonts w:hint="eastAsia" w:ascii="宋体" w:hAnsi="宋体" w:eastAsia="宋体" w:cs="宋体"/>
                <w:snapToGrid w:val="0"/>
                <w:color w:val="auto"/>
                <w:sz w:val="24"/>
                <w:szCs w:val="24"/>
                <w:highlight w:val="none"/>
              </w:rPr>
            </w:pPr>
          </w:p>
        </w:tc>
        <w:tc>
          <w:tcPr>
            <w:tcW w:w="1020" w:type="dxa"/>
          </w:tcPr>
          <w:p>
            <w:pPr>
              <w:rPr>
                <w:rFonts w:hint="eastAsia" w:ascii="宋体" w:hAnsi="宋体" w:eastAsia="宋体" w:cs="宋体"/>
                <w:snapToGrid w:val="0"/>
                <w:color w:val="auto"/>
                <w:sz w:val="24"/>
                <w:szCs w:val="24"/>
                <w:highlight w:val="none"/>
              </w:rPr>
            </w:pPr>
          </w:p>
        </w:tc>
        <w:tc>
          <w:tcPr>
            <w:tcW w:w="921" w:type="dxa"/>
          </w:tcPr>
          <w:p>
            <w:pPr>
              <w:rPr>
                <w:rFonts w:hint="eastAsia" w:ascii="宋体" w:hAnsi="宋体" w:eastAsia="宋体" w:cs="宋体"/>
                <w:snapToGrid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snapToGrid w:val="0"/>
                <w:color w:val="auto"/>
                <w:sz w:val="24"/>
                <w:szCs w:val="24"/>
                <w:highlight w:val="none"/>
              </w:rPr>
            </w:pPr>
          </w:p>
        </w:tc>
        <w:tc>
          <w:tcPr>
            <w:tcW w:w="1418" w:type="dxa"/>
          </w:tcPr>
          <w:p>
            <w:pPr>
              <w:rPr>
                <w:rFonts w:hint="eastAsia" w:ascii="宋体" w:hAnsi="宋体" w:eastAsia="宋体" w:cs="宋体"/>
                <w:snapToGrid w:val="0"/>
                <w:color w:val="auto"/>
                <w:sz w:val="24"/>
                <w:szCs w:val="24"/>
                <w:highlight w:val="none"/>
              </w:rPr>
            </w:pPr>
          </w:p>
        </w:tc>
        <w:tc>
          <w:tcPr>
            <w:tcW w:w="850" w:type="dxa"/>
          </w:tcPr>
          <w:p>
            <w:pPr>
              <w:rPr>
                <w:rFonts w:hint="eastAsia" w:ascii="宋体" w:hAnsi="宋体" w:eastAsia="宋体" w:cs="宋体"/>
                <w:snapToGrid w:val="0"/>
                <w:color w:val="auto"/>
                <w:sz w:val="24"/>
                <w:szCs w:val="24"/>
                <w:highlight w:val="none"/>
              </w:rPr>
            </w:pPr>
          </w:p>
        </w:tc>
        <w:tc>
          <w:tcPr>
            <w:tcW w:w="1058" w:type="dxa"/>
          </w:tcPr>
          <w:p>
            <w:pPr>
              <w:rPr>
                <w:rFonts w:hint="eastAsia" w:ascii="宋体" w:hAnsi="宋体" w:eastAsia="宋体" w:cs="宋体"/>
                <w:snapToGrid w:val="0"/>
                <w:color w:val="auto"/>
                <w:sz w:val="24"/>
                <w:szCs w:val="24"/>
                <w:highlight w:val="none"/>
              </w:rPr>
            </w:pPr>
          </w:p>
        </w:tc>
        <w:tc>
          <w:tcPr>
            <w:tcW w:w="880" w:type="dxa"/>
          </w:tcPr>
          <w:p>
            <w:pPr>
              <w:rPr>
                <w:rFonts w:hint="eastAsia" w:ascii="宋体" w:hAnsi="宋体" w:eastAsia="宋体" w:cs="宋体"/>
                <w:snapToGrid w:val="0"/>
                <w:color w:val="auto"/>
                <w:sz w:val="24"/>
                <w:szCs w:val="24"/>
                <w:highlight w:val="none"/>
              </w:rPr>
            </w:pPr>
          </w:p>
        </w:tc>
        <w:tc>
          <w:tcPr>
            <w:tcW w:w="1020" w:type="dxa"/>
          </w:tcPr>
          <w:p>
            <w:pPr>
              <w:rPr>
                <w:rFonts w:hint="eastAsia" w:ascii="宋体" w:hAnsi="宋体" w:eastAsia="宋体" w:cs="宋体"/>
                <w:snapToGrid w:val="0"/>
                <w:color w:val="auto"/>
                <w:sz w:val="24"/>
                <w:szCs w:val="24"/>
                <w:highlight w:val="none"/>
              </w:rPr>
            </w:pPr>
          </w:p>
        </w:tc>
        <w:tc>
          <w:tcPr>
            <w:tcW w:w="1480" w:type="dxa"/>
          </w:tcPr>
          <w:p>
            <w:pPr>
              <w:rPr>
                <w:rFonts w:hint="eastAsia" w:ascii="宋体" w:hAnsi="宋体" w:eastAsia="宋体" w:cs="宋体"/>
                <w:snapToGrid w:val="0"/>
                <w:color w:val="auto"/>
                <w:sz w:val="24"/>
                <w:szCs w:val="24"/>
                <w:highlight w:val="none"/>
              </w:rPr>
            </w:pPr>
          </w:p>
        </w:tc>
        <w:tc>
          <w:tcPr>
            <w:tcW w:w="1020" w:type="dxa"/>
          </w:tcPr>
          <w:p>
            <w:pPr>
              <w:rPr>
                <w:rFonts w:hint="eastAsia" w:ascii="宋体" w:hAnsi="宋体" w:eastAsia="宋体" w:cs="宋体"/>
                <w:snapToGrid w:val="0"/>
                <w:color w:val="auto"/>
                <w:sz w:val="24"/>
                <w:szCs w:val="24"/>
                <w:highlight w:val="none"/>
              </w:rPr>
            </w:pPr>
          </w:p>
        </w:tc>
        <w:tc>
          <w:tcPr>
            <w:tcW w:w="921" w:type="dxa"/>
          </w:tcPr>
          <w:p>
            <w:pPr>
              <w:rPr>
                <w:rFonts w:hint="eastAsia" w:ascii="宋体" w:hAnsi="宋体" w:eastAsia="宋体" w:cs="宋体"/>
                <w:snapToGrid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snapToGrid w:val="0"/>
                <w:color w:val="auto"/>
                <w:sz w:val="24"/>
                <w:szCs w:val="24"/>
                <w:highlight w:val="none"/>
              </w:rPr>
            </w:pPr>
          </w:p>
        </w:tc>
        <w:tc>
          <w:tcPr>
            <w:tcW w:w="1418" w:type="dxa"/>
          </w:tcPr>
          <w:p>
            <w:pPr>
              <w:rPr>
                <w:rFonts w:hint="eastAsia" w:ascii="宋体" w:hAnsi="宋体" w:eastAsia="宋体" w:cs="宋体"/>
                <w:snapToGrid w:val="0"/>
                <w:color w:val="auto"/>
                <w:sz w:val="24"/>
                <w:szCs w:val="24"/>
                <w:highlight w:val="none"/>
              </w:rPr>
            </w:pPr>
          </w:p>
        </w:tc>
        <w:tc>
          <w:tcPr>
            <w:tcW w:w="850" w:type="dxa"/>
          </w:tcPr>
          <w:p>
            <w:pPr>
              <w:rPr>
                <w:rFonts w:hint="eastAsia" w:ascii="宋体" w:hAnsi="宋体" w:eastAsia="宋体" w:cs="宋体"/>
                <w:snapToGrid w:val="0"/>
                <w:color w:val="auto"/>
                <w:sz w:val="24"/>
                <w:szCs w:val="24"/>
                <w:highlight w:val="none"/>
              </w:rPr>
            </w:pPr>
          </w:p>
        </w:tc>
        <w:tc>
          <w:tcPr>
            <w:tcW w:w="1058" w:type="dxa"/>
          </w:tcPr>
          <w:p>
            <w:pPr>
              <w:rPr>
                <w:rFonts w:hint="eastAsia" w:ascii="宋体" w:hAnsi="宋体" w:eastAsia="宋体" w:cs="宋体"/>
                <w:snapToGrid w:val="0"/>
                <w:color w:val="auto"/>
                <w:sz w:val="24"/>
                <w:szCs w:val="24"/>
                <w:highlight w:val="none"/>
              </w:rPr>
            </w:pPr>
          </w:p>
        </w:tc>
        <w:tc>
          <w:tcPr>
            <w:tcW w:w="880" w:type="dxa"/>
          </w:tcPr>
          <w:p>
            <w:pPr>
              <w:rPr>
                <w:rFonts w:hint="eastAsia" w:ascii="宋体" w:hAnsi="宋体" w:eastAsia="宋体" w:cs="宋体"/>
                <w:snapToGrid w:val="0"/>
                <w:color w:val="auto"/>
                <w:sz w:val="24"/>
                <w:szCs w:val="24"/>
                <w:highlight w:val="none"/>
              </w:rPr>
            </w:pPr>
          </w:p>
        </w:tc>
        <w:tc>
          <w:tcPr>
            <w:tcW w:w="1020" w:type="dxa"/>
          </w:tcPr>
          <w:p>
            <w:pPr>
              <w:rPr>
                <w:rFonts w:hint="eastAsia" w:ascii="宋体" w:hAnsi="宋体" w:eastAsia="宋体" w:cs="宋体"/>
                <w:snapToGrid w:val="0"/>
                <w:color w:val="auto"/>
                <w:sz w:val="24"/>
                <w:szCs w:val="24"/>
                <w:highlight w:val="none"/>
              </w:rPr>
            </w:pPr>
          </w:p>
        </w:tc>
        <w:tc>
          <w:tcPr>
            <w:tcW w:w="1480" w:type="dxa"/>
          </w:tcPr>
          <w:p>
            <w:pPr>
              <w:rPr>
                <w:rFonts w:hint="eastAsia" w:ascii="宋体" w:hAnsi="宋体" w:eastAsia="宋体" w:cs="宋体"/>
                <w:snapToGrid w:val="0"/>
                <w:color w:val="auto"/>
                <w:sz w:val="24"/>
                <w:szCs w:val="24"/>
                <w:highlight w:val="none"/>
              </w:rPr>
            </w:pPr>
          </w:p>
        </w:tc>
        <w:tc>
          <w:tcPr>
            <w:tcW w:w="1020" w:type="dxa"/>
          </w:tcPr>
          <w:p>
            <w:pPr>
              <w:rPr>
                <w:rFonts w:hint="eastAsia" w:ascii="宋体" w:hAnsi="宋体" w:eastAsia="宋体" w:cs="宋体"/>
                <w:snapToGrid w:val="0"/>
                <w:color w:val="auto"/>
                <w:sz w:val="24"/>
                <w:szCs w:val="24"/>
                <w:highlight w:val="none"/>
              </w:rPr>
            </w:pPr>
          </w:p>
        </w:tc>
        <w:tc>
          <w:tcPr>
            <w:tcW w:w="921" w:type="dxa"/>
          </w:tcPr>
          <w:p>
            <w:pPr>
              <w:rPr>
                <w:rFonts w:hint="eastAsia" w:ascii="宋体" w:hAnsi="宋体" w:eastAsia="宋体" w:cs="宋体"/>
                <w:snapToGrid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tcPr>
          <w:p>
            <w:pPr>
              <w:rPr>
                <w:rFonts w:hint="eastAsia" w:ascii="宋体" w:hAnsi="宋体" w:eastAsia="宋体" w:cs="宋体"/>
                <w:snapToGrid w:val="0"/>
                <w:color w:val="auto"/>
                <w:sz w:val="24"/>
                <w:szCs w:val="24"/>
                <w:highlight w:val="none"/>
              </w:rPr>
            </w:pPr>
          </w:p>
        </w:tc>
        <w:tc>
          <w:tcPr>
            <w:tcW w:w="1418" w:type="dxa"/>
            <w:tcBorders>
              <w:bottom w:val="single" w:color="auto" w:sz="12" w:space="0"/>
            </w:tcBorders>
          </w:tcPr>
          <w:p>
            <w:pPr>
              <w:rPr>
                <w:rFonts w:hint="eastAsia" w:ascii="宋体" w:hAnsi="宋体" w:eastAsia="宋体" w:cs="宋体"/>
                <w:snapToGrid w:val="0"/>
                <w:color w:val="auto"/>
                <w:sz w:val="24"/>
                <w:szCs w:val="24"/>
                <w:highlight w:val="none"/>
              </w:rPr>
            </w:pPr>
          </w:p>
        </w:tc>
        <w:tc>
          <w:tcPr>
            <w:tcW w:w="850" w:type="dxa"/>
            <w:tcBorders>
              <w:bottom w:val="single" w:color="auto" w:sz="12" w:space="0"/>
            </w:tcBorders>
          </w:tcPr>
          <w:p>
            <w:pPr>
              <w:rPr>
                <w:rFonts w:hint="eastAsia" w:ascii="宋体" w:hAnsi="宋体" w:eastAsia="宋体" w:cs="宋体"/>
                <w:snapToGrid w:val="0"/>
                <w:color w:val="auto"/>
                <w:sz w:val="24"/>
                <w:szCs w:val="24"/>
                <w:highlight w:val="none"/>
              </w:rPr>
            </w:pPr>
          </w:p>
        </w:tc>
        <w:tc>
          <w:tcPr>
            <w:tcW w:w="1058" w:type="dxa"/>
            <w:tcBorders>
              <w:bottom w:val="single" w:color="auto" w:sz="12" w:space="0"/>
            </w:tcBorders>
          </w:tcPr>
          <w:p>
            <w:pPr>
              <w:rPr>
                <w:rFonts w:hint="eastAsia" w:ascii="宋体" w:hAnsi="宋体" w:eastAsia="宋体" w:cs="宋体"/>
                <w:snapToGrid w:val="0"/>
                <w:color w:val="auto"/>
                <w:sz w:val="24"/>
                <w:szCs w:val="24"/>
                <w:highlight w:val="none"/>
              </w:rPr>
            </w:pPr>
          </w:p>
        </w:tc>
        <w:tc>
          <w:tcPr>
            <w:tcW w:w="880" w:type="dxa"/>
            <w:tcBorders>
              <w:bottom w:val="single" w:color="auto" w:sz="12" w:space="0"/>
            </w:tcBorders>
          </w:tcPr>
          <w:p>
            <w:pPr>
              <w:rPr>
                <w:rFonts w:hint="eastAsia" w:ascii="宋体" w:hAnsi="宋体" w:eastAsia="宋体" w:cs="宋体"/>
                <w:snapToGrid w:val="0"/>
                <w:color w:val="auto"/>
                <w:sz w:val="24"/>
                <w:szCs w:val="24"/>
                <w:highlight w:val="none"/>
              </w:rPr>
            </w:pPr>
          </w:p>
        </w:tc>
        <w:tc>
          <w:tcPr>
            <w:tcW w:w="1020" w:type="dxa"/>
            <w:tcBorders>
              <w:bottom w:val="single" w:color="auto" w:sz="12" w:space="0"/>
            </w:tcBorders>
          </w:tcPr>
          <w:p>
            <w:pPr>
              <w:rPr>
                <w:rFonts w:hint="eastAsia" w:ascii="宋体" w:hAnsi="宋体" w:eastAsia="宋体" w:cs="宋体"/>
                <w:snapToGrid w:val="0"/>
                <w:color w:val="auto"/>
                <w:sz w:val="24"/>
                <w:szCs w:val="24"/>
                <w:highlight w:val="none"/>
              </w:rPr>
            </w:pPr>
          </w:p>
        </w:tc>
        <w:tc>
          <w:tcPr>
            <w:tcW w:w="1480" w:type="dxa"/>
            <w:tcBorders>
              <w:bottom w:val="single" w:color="auto" w:sz="12" w:space="0"/>
            </w:tcBorders>
          </w:tcPr>
          <w:p>
            <w:pPr>
              <w:rPr>
                <w:rFonts w:hint="eastAsia" w:ascii="宋体" w:hAnsi="宋体" w:eastAsia="宋体" w:cs="宋体"/>
                <w:snapToGrid w:val="0"/>
                <w:color w:val="auto"/>
                <w:sz w:val="24"/>
                <w:szCs w:val="24"/>
                <w:highlight w:val="none"/>
              </w:rPr>
            </w:pPr>
          </w:p>
        </w:tc>
        <w:tc>
          <w:tcPr>
            <w:tcW w:w="1020" w:type="dxa"/>
            <w:tcBorders>
              <w:bottom w:val="single" w:color="auto" w:sz="12" w:space="0"/>
            </w:tcBorders>
          </w:tcPr>
          <w:p>
            <w:pPr>
              <w:rPr>
                <w:rFonts w:hint="eastAsia" w:ascii="宋体" w:hAnsi="宋体" w:eastAsia="宋体" w:cs="宋体"/>
                <w:snapToGrid w:val="0"/>
                <w:color w:val="auto"/>
                <w:sz w:val="24"/>
                <w:szCs w:val="24"/>
                <w:highlight w:val="none"/>
              </w:rPr>
            </w:pPr>
          </w:p>
        </w:tc>
        <w:tc>
          <w:tcPr>
            <w:tcW w:w="921" w:type="dxa"/>
            <w:tcBorders>
              <w:bottom w:val="single" w:color="auto" w:sz="12" w:space="0"/>
            </w:tcBorders>
          </w:tcPr>
          <w:p>
            <w:pPr>
              <w:rPr>
                <w:rFonts w:hint="eastAsia" w:ascii="宋体" w:hAnsi="宋体" w:eastAsia="宋体" w:cs="宋体"/>
                <w:snapToGrid w:val="0"/>
                <w:color w:val="auto"/>
                <w:sz w:val="24"/>
                <w:szCs w:val="24"/>
                <w:highlight w:val="none"/>
              </w:rPr>
            </w:pPr>
          </w:p>
        </w:tc>
      </w:tr>
    </w:tbl>
    <w:p>
      <w:pPr>
        <w:spacing w:line="440" w:lineRule="exact"/>
        <w:rPr>
          <w:rFonts w:hint="eastAsia" w:ascii="宋体" w:hAnsi="宋体" w:eastAsia="宋体" w:cs="宋体"/>
          <w:snapToGrid w:val="0"/>
          <w:color w:val="auto"/>
          <w:kern w:val="0"/>
          <w:sz w:val="24"/>
          <w:szCs w:val="24"/>
          <w:highlight w:val="none"/>
        </w:rPr>
      </w:pPr>
    </w:p>
    <w:p>
      <w:pPr>
        <w:spacing w:line="440" w:lineRule="exact"/>
        <w:rPr>
          <w:rFonts w:hint="eastAsia" w:ascii="宋体" w:hAnsi="宋体" w:eastAsia="宋体" w:cs="宋体"/>
          <w:snapToGrid w:val="0"/>
          <w:color w:val="auto"/>
          <w:kern w:val="0"/>
          <w:sz w:val="24"/>
          <w:szCs w:val="24"/>
          <w:highlight w:val="none"/>
        </w:rPr>
      </w:pPr>
    </w:p>
    <w:p>
      <w:pPr>
        <w:spacing w:line="4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附</w:t>
      </w:r>
      <w:bookmarkStart w:id="197" w:name="_Toc296944567"/>
      <w:bookmarkStart w:id="198" w:name="_Toc296891056"/>
      <w:bookmarkStart w:id="199" w:name="_Toc296347227"/>
      <w:bookmarkStart w:id="200" w:name="_Toc296891268"/>
      <w:bookmarkStart w:id="201" w:name="_Toc267261699"/>
      <w:bookmarkStart w:id="202" w:name="_Toc296503228"/>
      <w:bookmarkStart w:id="203" w:name="_Toc296346729"/>
      <w:r>
        <w:rPr>
          <w:rFonts w:hint="eastAsia" w:ascii="宋体" w:hAnsi="宋体" w:eastAsia="宋体" w:cs="宋体"/>
          <w:snapToGrid w:val="0"/>
          <w:color w:val="auto"/>
          <w:kern w:val="0"/>
          <w:sz w:val="24"/>
          <w:szCs w:val="24"/>
          <w:highlight w:val="none"/>
        </w:rPr>
        <w:t>件6：</w:t>
      </w:r>
    </w:p>
    <w:bookmarkEnd w:id="197"/>
    <w:bookmarkEnd w:id="198"/>
    <w:bookmarkEnd w:id="199"/>
    <w:bookmarkEnd w:id="200"/>
    <w:bookmarkEnd w:id="201"/>
    <w:bookmarkEnd w:id="202"/>
    <w:bookmarkEnd w:id="203"/>
    <w:p>
      <w:pPr>
        <w:spacing w:before="156" w:beforeLines="50" w:after="156" w:afterLines="50" w:line="440" w:lineRule="exact"/>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承包人主要施工管理人员表</w:t>
      </w:r>
    </w:p>
    <w:tbl>
      <w:tblPr>
        <w:tblStyle w:val="1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418" w:type="dxa"/>
            <w:tcBorders>
              <w:top w:val="single" w:color="auto" w:sz="12" w:space="0"/>
              <w:bottom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34" w:type="dxa"/>
            <w:tcBorders>
              <w:top w:val="single" w:color="auto" w:sz="12" w:space="0"/>
              <w:bottom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134" w:type="dxa"/>
            <w:tcBorders>
              <w:top w:val="single" w:color="auto" w:sz="12" w:space="0"/>
              <w:bottom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4252" w:type="dxa"/>
            <w:tcBorders>
              <w:top w:val="single" w:color="auto" w:sz="12" w:space="0"/>
              <w:bottom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809" w:type="dxa"/>
            <w:gridSpan w:val="5"/>
            <w:tcBorders>
              <w:top w:val="double" w:color="auto" w:sz="6"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tcBorders>
              <w:top w:val="nil"/>
              <w:bottom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1418" w:type="dxa"/>
            <w:tcBorders>
              <w:top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tcBorders>
              <w:top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tcBorders>
              <w:top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tcBorders>
              <w:top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restart"/>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tcBorders>
              <w:bottom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809" w:type="dxa"/>
            <w:gridSpan w:val="5"/>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施工管理</w:t>
            </w: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w:t>
            </w: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材料管理</w:t>
            </w: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造价管理</w:t>
            </w: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restart"/>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Borders>
              <w:bottom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tcBorders>
              <w:bottom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tcBorders>
              <w:bottom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tcBorders>
              <w:bottom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tcBorders>
              <w:bottom w:val="single" w:color="auto" w:sz="12"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Borders>
              <w:bottom w:val="single" w:color="auto" w:sz="12"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tcBorders>
              <w:bottom w:val="single" w:color="auto" w:sz="12"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134" w:type="dxa"/>
            <w:tcBorders>
              <w:bottom w:val="single" w:color="auto" w:sz="12"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tcBorders>
              <w:bottom w:val="single" w:color="auto" w:sz="12"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bl>
    <w:p>
      <w:pPr>
        <w:spacing w:line="4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br w:type="page"/>
      </w:r>
      <w:r>
        <w:rPr>
          <w:rFonts w:hint="eastAsia" w:ascii="宋体" w:hAnsi="宋体" w:eastAsia="宋体" w:cs="宋体"/>
          <w:snapToGrid w:val="0"/>
          <w:color w:val="auto"/>
          <w:kern w:val="0"/>
          <w:sz w:val="24"/>
          <w:szCs w:val="24"/>
          <w:highlight w:val="none"/>
        </w:rPr>
        <w:t>附件7：</w:t>
      </w:r>
    </w:p>
    <w:p>
      <w:pPr>
        <w:spacing w:before="156" w:beforeLines="50" w:after="156" w:afterLines="50" w:line="440" w:lineRule="exact"/>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分包人主要施工管理人员表</w:t>
      </w:r>
    </w:p>
    <w:tbl>
      <w:tblPr>
        <w:tblStyle w:val="1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343"/>
        <w:gridCol w:w="925"/>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418" w:type="dxa"/>
            <w:tcBorders>
              <w:top w:val="single" w:color="auto" w:sz="12" w:space="0"/>
              <w:bottom w:val="double" w:color="auto" w:sz="6" w:space="0"/>
            </w:tcBorders>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343" w:type="dxa"/>
            <w:tcBorders>
              <w:top w:val="single" w:color="auto" w:sz="12" w:space="0"/>
              <w:bottom w:val="double" w:color="auto" w:sz="6" w:space="0"/>
            </w:tcBorders>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925" w:type="dxa"/>
            <w:tcBorders>
              <w:top w:val="single" w:color="auto" w:sz="12" w:space="0"/>
              <w:bottom w:val="double" w:color="auto" w:sz="6" w:space="0"/>
            </w:tcBorders>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4252" w:type="dxa"/>
            <w:tcBorders>
              <w:top w:val="single" w:color="auto" w:sz="12" w:space="0"/>
              <w:bottom w:val="double" w:color="auto" w:sz="6" w:space="0"/>
            </w:tcBorders>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9809" w:type="dxa"/>
            <w:gridSpan w:val="5"/>
            <w:tcBorders>
              <w:top w:val="double" w:color="auto" w:sz="6" w:space="0"/>
            </w:tcBorders>
            <w:vAlign w:val="center"/>
          </w:tcPr>
          <w:p>
            <w:pPr>
              <w:keepNext/>
              <w:tabs>
                <w:tab w:val="left" w:pos="5250"/>
              </w:tabs>
              <w:spacing w:line="440" w:lineRule="exact"/>
              <w:ind w:right="6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tcBorders>
              <w:top w:val="nil"/>
              <w:bottom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1418" w:type="dxa"/>
            <w:tcBorders>
              <w:top w:val="nil"/>
            </w:tcBorders>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1343" w:type="dxa"/>
            <w:tcBorders>
              <w:top w:val="nil"/>
            </w:tcBorders>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925" w:type="dxa"/>
            <w:tcBorders>
              <w:top w:val="nil"/>
            </w:tcBorders>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4252" w:type="dxa"/>
            <w:tcBorders>
              <w:top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restart"/>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1343" w:type="dxa"/>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925" w:type="dxa"/>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continue"/>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1343" w:type="dxa"/>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925" w:type="dxa"/>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continue"/>
            <w:tcBorders>
              <w:bottom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1343" w:type="dxa"/>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925" w:type="dxa"/>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9809" w:type="dxa"/>
            <w:gridSpan w:val="5"/>
            <w:vAlign w:val="center"/>
          </w:tcPr>
          <w:p>
            <w:pPr>
              <w:keepNext/>
              <w:tabs>
                <w:tab w:val="left" w:pos="5250"/>
              </w:tabs>
              <w:spacing w:line="440" w:lineRule="exact"/>
              <w:ind w:right="6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418" w:type="dxa"/>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1343" w:type="dxa"/>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925" w:type="dxa"/>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418" w:type="dxa"/>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1343" w:type="dxa"/>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925" w:type="dxa"/>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造价管理</w:t>
            </w:r>
          </w:p>
        </w:tc>
        <w:tc>
          <w:tcPr>
            <w:tcW w:w="1418" w:type="dxa"/>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1343" w:type="dxa"/>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925" w:type="dxa"/>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w:t>
            </w:r>
          </w:p>
        </w:tc>
        <w:tc>
          <w:tcPr>
            <w:tcW w:w="1418" w:type="dxa"/>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1343" w:type="dxa"/>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925" w:type="dxa"/>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材料管理</w:t>
            </w:r>
          </w:p>
        </w:tc>
        <w:tc>
          <w:tcPr>
            <w:tcW w:w="1418" w:type="dxa"/>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1343" w:type="dxa"/>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925" w:type="dxa"/>
            <w:vAlign w:val="center"/>
          </w:tcPr>
          <w:p>
            <w:pPr>
              <w:keepNext/>
              <w:tabs>
                <w:tab w:val="left" w:pos="5250"/>
              </w:tabs>
              <w:spacing w:line="440" w:lineRule="exact"/>
              <w:ind w:right="63"/>
              <w:jc w:val="center"/>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计划管理</w:t>
            </w: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43"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25"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43"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25"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restart"/>
            <w:vAlign w:val="center"/>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43"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25"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continue"/>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Borders>
              <w:bottom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43" w:type="dxa"/>
            <w:tcBorders>
              <w:bottom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25" w:type="dxa"/>
            <w:tcBorders>
              <w:bottom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tcBorders>
              <w:bottom w:val="nil"/>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continue"/>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43"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25"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continue"/>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43"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25"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continue"/>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43"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25"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continue"/>
            <w:tcBorders>
              <w:bottom w:val="single" w:color="auto" w:sz="12"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Borders>
              <w:bottom w:val="single" w:color="auto" w:sz="12"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43" w:type="dxa"/>
            <w:tcBorders>
              <w:bottom w:val="single" w:color="auto" w:sz="12"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25" w:type="dxa"/>
            <w:tcBorders>
              <w:bottom w:val="single" w:color="auto" w:sz="12"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4252" w:type="dxa"/>
            <w:tcBorders>
              <w:bottom w:val="single" w:color="auto" w:sz="12" w:space="0"/>
            </w:tcBorders>
            <w:vAlign w:val="center"/>
          </w:tcPr>
          <w:p>
            <w:pPr>
              <w:keepNext/>
              <w:tabs>
                <w:tab w:val="left" w:pos="5250"/>
              </w:tabs>
              <w:spacing w:line="440" w:lineRule="exact"/>
              <w:ind w:right="63"/>
              <w:rPr>
                <w:rFonts w:hint="eastAsia" w:ascii="宋体" w:hAnsi="宋体" w:eastAsia="宋体" w:cs="宋体"/>
                <w:color w:val="auto"/>
                <w:sz w:val="24"/>
                <w:szCs w:val="24"/>
                <w:highlight w:val="none"/>
              </w:rPr>
            </w:pPr>
          </w:p>
        </w:tc>
      </w:tr>
    </w:tbl>
    <w:p>
      <w:pPr>
        <w:spacing w:line="4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br w:type="page"/>
      </w:r>
      <w:r>
        <w:rPr>
          <w:rFonts w:hint="eastAsia" w:ascii="宋体" w:hAnsi="宋体" w:eastAsia="宋体" w:cs="宋体"/>
          <w:snapToGrid w:val="0"/>
          <w:color w:val="auto"/>
          <w:kern w:val="0"/>
          <w:sz w:val="24"/>
          <w:szCs w:val="24"/>
          <w:highlight w:val="none"/>
        </w:rPr>
        <w:t>附件8：</w:t>
      </w:r>
    </w:p>
    <w:p>
      <w:pPr>
        <w:spacing w:before="156" w:beforeLines="50" w:after="156" w:afterLines="50" w:line="44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11-1：材料暂估价表</w:t>
      </w:r>
    </w:p>
    <w:tbl>
      <w:tblPr>
        <w:tblStyle w:val="18"/>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2569"/>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69" w:type="dxa"/>
            <w:tcBorders>
              <w:top w:val="single" w:color="auto" w:sz="12" w:space="0"/>
              <w:bottom w:val="doub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851" w:type="dxa"/>
            <w:tcBorders>
              <w:top w:val="single" w:color="auto" w:sz="12" w:space="0"/>
              <w:bottom w:val="doub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774" w:type="dxa"/>
            <w:tcBorders>
              <w:top w:val="single" w:color="auto" w:sz="12" w:space="0"/>
              <w:bottom w:val="doub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352" w:type="dxa"/>
            <w:tcBorders>
              <w:top w:val="single" w:color="auto" w:sz="12" w:space="0"/>
              <w:bottom w:val="doub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418" w:type="dxa"/>
            <w:tcBorders>
              <w:top w:val="single" w:color="auto" w:sz="12" w:space="0"/>
              <w:bottom w:val="doub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c>
          <w:tcPr>
            <w:tcW w:w="1701" w:type="dxa"/>
            <w:tcBorders>
              <w:top w:val="single" w:color="auto" w:sz="12" w:space="0"/>
              <w:bottom w:val="doub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2569" w:type="dxa"/>
            <w:tcBorders>
              <w:top w:val="double" w:color="auto" w:sz="6" w:space="0"/>
              <w:bottom w:val="sing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Borders>
              <w:top w:val="double" w:color="auto" w:sz="6" w:space="0"/>
              <w:bottom w:val="sing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774" w:type="dxa"/>
            <w:tcBorders>
              <w:top w:val="double" w:color="auto" w:sz="6" w:space="0"/>
              <w:bottom w:val="sing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Borders>
              <w:top w:val="double" w:color="auto" w:sz="6" w:space="0"/>
              <w:bottom w:val="sing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Borders>
              <w:top w:val="double" w:color="auto" w:sz="6" w:space="0"/>
              <w:bottom w:val="sing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Borders>
              <w:top w:val="double" w:color="auto" w:sz="6" w:space="0"/>
              <w:bottom w:val="sing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2569" w:type="dxa"/>
            <w:tcBorders>
              <w:top w:val="nil"/>
            </w:tcBorders>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Borders>
              <w:top w:val="nil"/>
            </w:tcBorders>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774" w:type="dxa"/>
            <w:tcBorders>
              <w:top w:val="nil"/>
            </w:tcBorders>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Borders>
              <w:top w:val="nil"/>
            </w:tcBorders>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Borders>
              <w:top w:val="nil"/>
            </w:tcBorders>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Borders>
              <w:top w:val="nil"/>
            </w:tcBorders>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2569"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77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2569"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77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2569"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77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2569"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77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2569"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77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2569"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77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2569"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77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2569"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77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2569"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77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2569"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77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2569"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77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2569"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77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2569"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77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2569"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77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2569"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77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2569"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77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2569"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77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2569"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77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bl>
    <w:p>
      <w:pPr>
        <w:spacing w:before="156" w:beforeLines="50" w:after="156" w:afterLines="50" w:line="440" w:lineRule="exact"/>
        <w:rPr>
          <w:rFonts w:hint="eastAsia" w:ascii="宋体" w:hAnsi="宋体" w:eastAsia="宋体" w:cs="宋体"/>
          <w:snapToGrid w:val="0"/>
          <w:color w:val="auto"/>
          <w:kern w:val="0"/>
          <w:sz w:val="24"/>
          <w:szCs w:val="24"/>
          <w:highlight w:val="none"/>
        </w:rPr>
      </w:pPr>
    </w:p>
    <w:p>
      <w:pPr>
        <w:spacing w:before="156" w:beforeLines="50" w:after="156" w:afterLines="50" w:line="440" w:lineRule="exact"/>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snapToGrid w:val="0"/>
          <w:color w:val="auto"/>
          <w:kern w:val="0"/>
          <w:sz w:val="24"/>
          <w:szCs w:val="24"/>
          <w:highlight w:val="none"/>
        </w:rPr>
        <w:br w:type="page"/>
      </w:r>
      <w:r>
        <w:rPr>
          <w:rFonts w:hint="eastAsia" w:ascii="宋体" w:hAnsi="宋体" w:eastAsia="宋体" w:cs="宋体"/>
          <w:b/>
          <w:snapToGrid w:val="0"/>
          <w:color w:val="auto"/>
          <w:kern w:val="0"/>
          <w:sz w:val="24"/>
          <w:szCs w:val="24"/>
          <w:highlight w:val="none"/>
        </w:rPr>
        <w:t>11-2：工程设备暂估价表</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99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84" w:type="dxa"/>
            <w:tcBorders>
              <w:top w:val="single" w:color="auto" w:sz="12" w:space="0"/>
              <w:bottom w:val="doub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851" w:type="dxa"/>
            <w:tcBorders>
              <w:top w:val="single" w:color="auto" w:sz="12" w:space="0"/>
              <w:bottom w:val="doub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94" w:type="dxa"/>
            <w:tcBorders>
              <w:top w:val="single" w:color="auto" w:sz="12" w:space="0"/>
              <w:bottom w:val="doub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352" w:type="dxa"/>
            <w:tcBorders>
              <w:top w:val="single" w:color="auto" w:sz="12" w:space="0"/>
              <w:bottom w:val="doub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418" w:type="dxa"/>
            <w:tcBorders>
              <w:top w:val="single" w:color="auto" w:sz="12" w:space="0"/>
              <w:bottom w:val="doub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c>
          <w:tcPr>
            <w:tcW w:w="1701" w:type="dxa"/>
            <w:tcBorders>
              <w:top w:val="single" w:color="auto" w:sz="12" w:space="0"/>
              <w:bottom w:val="doub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Borders>
              <w:top w:val="double" w:color="auto" w:sz="6" w:space="0"/>
              <w:bottom w:val="sing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Borders>
              <w:top w:val="double" w:color="auto" w:sz="6" w:space="0"/>
              <w:bottom w:val="sing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Borders>
              <w:top w:val="double" w:color="auto" w:sz="6" w:space="0"/>
              <w:bottom w:val="sing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Borders>
              <w:top w:val="double" w:color="auto" w:sz="6" w:space="0"/>
              <w:bottom w:val="sing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Borders>
              <w:top w:val="double" w:color="auto" w:sz="6" w:space="0"/>
              <w:bottom w:val="sing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Borders>
              <w:top w:val="double" w:color="auto" w:sz="6" w:space="0"/>
              <w:bottom w:val="sing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Borders>
              <w:top w:val="nil"/>
            </w:tcBorders>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Borders>
              <w:top w:val="nil"/>
            </w:tcBorders>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Borders>
              <w:top w:val="nil"/>
            </w:tcBorders>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Borders>
              <w:top w:val="nil"/>
            </w:tcBorders>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Borders>
              <w:top w:val="nil"/>
            </w:tcBorders>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Borders>
              <w:top w:val="nil"/>
            </w:tcBorders>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bl>
    <w:p>
      <w:pPr>
        <w:spacing w:line="440" w:lineRule="exact"/>
        <w:rPr>
          <w:rFonts w:hint="eastAsia" w:ascii="宋体" w:hAnsi="宋体" w:eastAsia="宋体" w:cs="宋体"/>
          <w:snapToGrid w:val="0"/>
          <w:color w:val="auto"/>
          <w:kern w:val="0"/>
          <w:sz w:val="24"/>
          <w:szCs w:val="24"/>
          <w:highlight w:val="none"/>
        </w:rPr>
      </w:pPr>
    </w:p>
    <w:p>
      <w:pPr>
        <w:spacing w:before="156" w:beforeLines="50" w:after="156" w:afterLines="50" w:line="440" w:lineRule="exact"/>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snapToGrid w:val="0"/>
          <w:color w:val="auto"/>
          <w:kern w:val="0"/>
          <w:sz w:val="24"/>
          <w:szCs w:val="24"/>
          <w:highlight w:val="none"/>
        </w:rPr>
        <w:br w:type="page"/>
      </w:r>
      <w:r>
        <w:rPr>
          <w:rFonts w:hint="eastAsia" w:ascii="宋体" w:hAnsi="宋体" w:eastAsia="宋体" w:cs="宋体"/>
          <w:b/>
          <w:snapToGrid w:val="0"/>
          <w:color w:val="auto"/>
          <w:kern w:val="0"/>
          <w:sz w:val="24"/>
          <w:szCs w:val="24"/>
          <w:highlight w:val="none"/>
        </w:rPr>
        <w:t>11-3：专业工程暂估价表</w:t>
      </w:r>
    </w:p>
    <w:tbl>
      <w:tblPr>
        <w:tblStyle w:val="18"/>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99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84" w:type="dxa"/>
            <w:tcBorders>
              <w:top w:val="single" w:color="auto" w:sz="12" w:space="0"/>
              <w:bottom w:val="doub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851" w:type="dxa"/>
            <w:tcBorders>
              <w:top w:val="single" w:color="auto" w:sz="12" w:space="0"/>
              <w:bottom w:val="doub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94" w:type="dxa"/>
            <w:tcBorders>
              <w:top w:val="single" w:color="auto" w:sz="12" w:space="0"/>
              <w:bottom w:val="doub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352" w:type="dxa"/>
            <w:tcBorders>
              <w:top w:val="single" w:color="auto" w:sz="12" w:space="0"/>
              <w:bottom w:val="doub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418" w:type="dxa"/>
            <w:tcBorders>
              <w:top w:val="single" w:color="auto" w:sz="12" w:space="0"/>
              <w:bottom w:val="doub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c>
          <w:tcPr>
            <w:tcW w:w="1701" w:type="dxa"/>
            <w:tcBorders>
              <w:top w:val="single" w:color="auto" w:sz="12" w:space="0"/>
              <w:bottom w:val="double" w:color="auto" w:sz="6" w:space="0"/>
            </w:tcBorders>
          </w:tcPr>
          <w:p>
            <w:pPr>
              <w:keepNext/>
              <w:tabs>
                <w:tab w:val="left" w:pos="5250"/>
              </w:tabs>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98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851"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994"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352"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418" w:type="dxa"/>
          </w:tcPr>
          <w:p>
            <w:pPr>
              <w:keepNext/>
              <w:tabs>
                <w:tab w:val="left" w:pos="5250"/>
              </w:tabs>
              <w:spacing w:line="440" w:lineRule="exact"/>
              <w:ind w:right="63"/>
              <w:rPr>
                <w:rFonts w:hint="eastAsia" w:ascii="宋体" w:hAnsi="宋体" w:eastAsia="宋体" w:cs="宋体"/>
                <w:color w:val="auto"/>
                <w:sz w:val="24"/>
                <w:szCs w:val="24"/>
                <w:highlight w:val="none"/>
              </w:rPr>
            </w:pPr>
          </w:p>
        </w:tc>
        <w:tc>
          <w:tcPr>
            <w:tcW w:w="1701" w:type="dxa"/>
          </w:tcPr>
          <w:p>
            <w:pPr>
              <w:keepNext/>
              <w:tabs>
                <w:tab w:val="left" w:pos="5250"/>
              </w:tabs>
              <w:spacing w:line="440" w:lineRule="exact"/>
              <w:ind w:right="63"/>
              <w:rPr>
                <w:rFonts w:hint="eastAsia" w:ascii="宋体" w:hAnsi="宋体" w:eastAsia="宋体" w:cs="宋体"/>
                <w:color w:val="auto"/>
                <w:sz w:val="24"/>
                <w:szCs w:val="24"/>
                <w:highlight w:val="none"/>
              </w:rPr>
            </w:pPr>
          </w:p>
        </w:tc>
      </w:tr>
    </w:tbl>
    <w:p>
      <w:pPr>
        <w:rPr>
          <w:rFonts w:hint="eastAsia" w:ascii="宋体" w:hAnsi="宋体" w:eastAsia="宋体" w:cs="宋体"/>
          <w:snapToGrid w:val="0"/>
          <w:color w:val="auto"/>
          <w:kern w:val="0"/>
          <w:sz w:val="24"/>
          <w:szCs w:val="24"/>
          <w:highlight w:val="none"/>
        </w:rPr>
      </w:pPr>
    </w:p>
    <w:p>
      <w:pPr>
        <w:spacing w:line="360" w:lineRule="auto"/>
        <w:ind w:right="-233" w:rightChars="-111"/>
        <w:rPr>
          <w:rFonts w:hint="eastAsia" w:ascii="宋体" w:hAnsi="宋体" w:eastAsia="宋体" w:cs="宋体"/>
          <w:b/>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br w:type="page"/>
      </w:r>
      <w:r>
        <w:rPr>
          <w:rFonts w:hint="eastAsia" w:ascii="宋体" w:hAnsi="宋体" w:eastAsia="宋体" w:cs="宋体"/>
          <w:snapToGrid w:val="0"/>
          <w:color w:val="auto"/>
          <w:kern w:val="0"/>
          <w:sz w:val="24"/>
          <w:szCs w:val="24"/>
          <w:highlight w:val="none"/>
        </w:rPr>
        <w:t>附件9：</w:t>
      </w:r>
    </w:p>
    <w:p>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建设工程廉政责任书</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发包人：</w:t>
      </w:r>
      <w:r>
        <w:rPr>
          <w:rFonts w:hint="eastAsia" w:ascii="宋体" w:hAnsi="宋体" w:eastAsia="宋体" w:cs="宋体"/>
          <w:snapToGrid w:val="0"/>
          <w:color w:val="auto"/>
          <w:kern w:val="0"/>
          <w:sz w:val="24"/>
          <w:szCs w:val="24"/>
          <w:highlight w:val="none"/>
          <w:u w:val="single"/>
          <w:lang w:eastAsia="zh-CN"/>
        </w:rPr>
        <w:t>南通市中天房地产开发有限公司</w:t>
      </w:r>
      <w:r>
        <w:rPr>
          <w:rFonts w:hint="eastAsia" w:ascii="宋体" w:hAnsi="宋体" w:eastAsia="宋体" w:cs="宋体"/>
          <w:snapToGrid w:val="0"/>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承包人：</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为加强建设工程廉政建设，规范建设工程各项活动中发包</w:t>
      </w:r>
      <w:r>
        <w:rPr>
          <w:rFonts w:hint="eastAsia" w:ascii="宋体" w:hAnsi="宋体" w:eastAsia="宋体" w:cs="宋体"/>
          <w:snapToGrid w:val="0"/>
          <w:color w:val="auto"/>
          <w:kern w:val="0"/>
          <w:sz w:val="24"/>
          <w:szCs w:val="24"/>
          <w:highlight w:val="none"/>
          <w:lang w:eastAsia="zh-CN"/>
        </w:rPr>
        <w:t>人和</w:t>
      </w:r>
      <w:r>
        <w:rPr>
          <w:rFonts w:hint="eastAsia" w:ascii="宋体" w:hAnsi="宋体" w:eastAsia="宋体" w:cs="宋体"/>
          <w:snapToGrid w:val="0"/>
          <w:color w:val="auto"/>
          <w:kern w:val="0"/>
          <w:sz w:val="24"/>
          <w:szCs w:val="24"/>
          <w:highlight w:val="none"/>
        </w:rPr>
        <w:t>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一、双方的责任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1.1应严格遵守国家关于建设工程的有关</w:t>
      </w:r>
      <w:r>
        <w:rPr>
          <w:rFonts w:hint="eastAsia" w:ascii="宋体" w:hAnsi="宋体" w:eastAsia="宋体" w:cs="宋体"/>
          <w:snapToGrid w:val="0"/>
          <w:color w:val="auto"/>
          <w:kern w:val="0"/>
          <w:sz w:val="24"/>
          <w:szCs w:val="24"/>
          <w:highlight w:val="none"/>
          <w:lang w:eastAsia="zh-CN"/>
        </w:rPr>
        <w:t>法律法规</w:t>
      </w:r>
      <w:r>
        <w:rPr>
          <w:rFonts w:hint="eastAsia" w:ascii="宋体" w:hAnsi="宋体" w:eastAsia="宋体" w:cs="宋体"/>
          <w:snapToGrid w:val="0"/>
          <w:color w:val="auto"/>
          <w:kern w:val="0"/>
          <w:sz w:val="24"/>
          <w:szCs w:val="24"/>
          <w:highlight w:val="none"/>
        </w:rPr>
        <w:t>，相关政策，以及廉政建设的各项规定。</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1.2严格执行建设工程合同文件，自觉按合同办事。</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二、发包人责任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发包人的领导和从事该建设工程项目的工作人员，在工程建设的事前、事中、事后应遵守以下规定：</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2.1不得向承包人和相关单位索要或接受回扣、礼金、有价证券、贵重物品和好处费、感谢费等。</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2.2不得在承包人和相关单位报销任何应由发包人或个人支付的费用。</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2.4不得参加有可能影响公正执行公务的承包人和相关单位的宴请、健身、娱乐等活动。</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三、承包人责任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3.1不得以任何理由向发包人及其工作人员索要、接受或赠送礼金、有价证券、贵重物品及回扣、好处费、感谢费等。</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3.2不得以任何理由为发包人和相关单位报销应由对方或个人支付的费用。</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3.4不得以任何理由为发包人、相关单位或个人组织有可能影响公正执行公务的宴请、健身、娱乐等活动。</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四、违约责任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4.1发包人工作人员有违反本责任书第一、二条责任行为的，依据有关</w:t>
      </w:r>
      <w:r>
        <w:rPr>
          <w:rFonts w:hint="eastAsia" w:ascii="宋体" w:hAnsi="宋体" w:eastAsia="宋体" w:cs="宋体"/>
          <w:snapToGrid w:val="0"/>
          <w:color w:val="auto"/>
          <w:kern w:val="0"/>
          <w:sz w:val="24"/>
          <w:szCs w:val="24"/>
          <w:highlight w:val="none"/>
          <w:lang w:eastAsia="zh-CN"/>
        </w:rPr>
        <w:t>法律法规</w:t>
      </w:r>
      <w:r>
        <w:rPr>
          <w:rFonts w:hint="eastAsia" w:ascii="宋体" w:hAnsi="宋体" w:eastAsia="宋体" w:cs="宋体"/>
          <w:snapToGrid w:val="0"/>
          <w:color w:val="auto"/>
          <w:kern w:val="0"/>
          <w:sz w:val="24"/>
          <w:szCs w:val="24"/>
          <w:highlight w:val="none"/>
        </w:rPr>
        <w:t>给予处理；涉嫌犯罪的，移交司法机关追究刑事责任；给承包人单位造成经济损失的，应予以赔偿。</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4.3本责任书作为建设工程合同的组成部分，与建设工程合同具有同等法律效力。经双方签署后立即生效。</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五、责任书有效期</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本责任书的有效期为双方签署之日起至该工程项目竣工验收合格时止。</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六、责任书份数</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本责任书一式</w:t>
      </w:r>
      <w:r>
        <w:rPr>
          <w:rFonts w:hint="eastAsia" w:ascii="宋体" w:hAnsi="宋体" w:eastAsia="宋体" w:cs="宋体"/>
          <w:snapToGrid w:val="0"/>
          <w:color w:val="auto"/>
          <w:kern w:val="0"/>
          <w:sz w:val="24"/>
          <w:szCs w:val="24"/>
          <w:highlight w:val="none"/>
          <w:u w:val="single"/>
        </w:rPr>
        <w:t>陆</w:t>
      </w:r>
      <w:r>
        <w:rPr>
          <w:rFonts w:hint="eastAsia" w:ascii="宋体" w:hAnsi="宋体" w:eastAsia="宋体" w:cs="宋体"/>
          <w:snapToGrid w:val="0"/>
          <w:color w:val="auto"/>
          <w:kern w:val="0"/>
          <w:sz w:val="24"/>
          <w:szCs w:val="24"/>
          <w:highlight w:val="none"/>
        </w:rPr>
        <w:t>份，发包人承包人各执</w:t>
      </w:r>
      <w:r>
        <w:rPr>
          <w:rFonts w:hint="eastAsia" w:ascii="宋体" w:hAnsi="宋体" w:eastAsia="宋体" w:cs="宋体"/>
          <w:snapToGrid w:val="0"/>
          <w:color w:val="auto"/>
          <w:kern w:val="0"/>
          <w:sz w:val="24"/>
          <w:szCs w:val="24"/>
          <w:highlight w:val="none"/>
          <w:u w:val="single"/>
        </w:rPr>
        <w:t>叁</w:t>
      </w:r>
      <w:r>
        <w:rPr>
          <w:rFonts w:hint="eastAsia" w:ascii="宋体" w:hAnsi="宋体" w:eastAsia="宋体" w:cs="宋体"/>
          <w:snapToGrid w:val="0"/>
          <w:color w:val="auto"/>
          <w:kern w:val="0"/>
          <w:sz w:val="24"/>
          <w:szCs w:val="24"/>
          <w:highlight w:val="none"/>
        </w:rPr>
        <w:t>份，具有同等效力。</w:t>
      </w:r>
    </w:p>
    <w:bookmarkEnd w:id="83"/>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发包人：(公章)                     承包人： (公章)</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法定地址：</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 xml:space="preserve">          法定地址：</w:t>
      </w:r>
      <w:r>
        <w:rPr>
          <w:rFonts w:hint="eastAsia" w:ascii="宋体" w:hAnsi="宋体" w:eastAsia="宋体" w:cs="宋体"/>
          <w:snapToGrid w:val="0"/>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                     法定代表人或其</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委托代理人：(签字)                 委托代理人： (签字)</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电话：</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 xml:space="preserve">           电话：</w:t>
      </w:r>
      <w:r>
        <w:rPr>
          <w:rFonts w:hint="eastAsia" w:ascii="宋体" w:hAnsi="宋体" w:eastAsia="宋体" w:cs="宋体"/>
          <w:snapToGrid w:val="0"/>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传真：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 xml:space="preserve">           传真：</w:t>
      </w:r>
      <w:r>
        <w:rPr>
          <w:rFonts w:hint="eastAsia" w:ascii="宋体" w:hAnsi="宋体" w:eastAsia="宋体" w:cs="宋体"/>
          <w:snapToGrid w:val="0"/>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电子邮箱：</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 xml:space="preserve">       电子邮箱：</w:t>
      </w:r>
      <w:r>
        <w:rPr>
          <w:rFonts w:hint="eastAsia" w:ascii="宋体" w:hAnsi="宋体" w:eastAsia="宋体" w:cs="宋体"/>
          <w:snapToGrid w:val="0"/>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开户银行：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 xml:space="preserve">      开户银行：</w:t>
      </w:r>
      <w:r>
        <w:rPr>
          <w:rFonts w:hint="eastAsia" w:ascii="宋体" w:hAnsi="宋体" w:eastAsia="宋体" w:cs="宋体"/>
          <w:snapToGrid w:val="0"/>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账号</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lang w:eastAsia="zh-CN"/>
        </w:rPr>
        <w:t>账号</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 xml:space="preserve">邮政编码：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 xml:space="preserve">      邮政编码：</w:t>
      </w:r>
      <w:r>
        <w:rPr>
          <w:rFonts w:hint="eastAsia" w:ascii="宋体" w:hAnsi="宋体" w:eastAsia="宋体" w:cs="宋体"/>
          <w:snapToGrid w:val="0"/>
          <w:color w:val="auto"/>
          <w:kern w:val="0"/>
          <w:sz w:val="24"/>
          <w:szCs w:val="24"/>
          <w:highlight w:val="none"/>
          <w:u w:val="single"/>
        </w:rPr>
        <w:t xml:space="preserve">                   .</w:t>
      </w:r>
    </w:p>
    <w:p>
      <w:pPr>
        <w:widowControl/>
        <w:jc w:val="center"/>
        <w:rPr>
          <w:rFonts w:hint="eastAsia" w:ascii="宋体" w:hAnsi="宋体" w:eastAsia="宋体" w:cs="宋体"/>
          <w:b/>
          <w:i/>
          <w:color w:val="auto"/>
          <w:w w:val="80"/>
          <w:sz w:val="44"/>
          <w:szCs w:val="44"/>
          <w:highlight w:val="none"/>
        </w:rPr>
      </w:pPr>
      <w:r>
        <w:rPr>
          <w:rFonts w:hint="eastAsia" w:ascii="宋体" w:hAnsi="宋体" w:eastAsia="宋体" w:cs="宋体"/>
          <w:b/>
          <w:color w:val="auto"/>
          <w:w w:val="80"/>
          <w:sz w:val="44"/>
          <w:szCs w:val="44"/>
          <w:highlight w:val="none"/>
        </w:rPr>
        <w:t>第六章   合同授予</w:t>
      </w:r>
    </w:p>
    <w:p>
      <w:pPr>
        <w:snapToGrid w:val="0"/>
        <w:spacing w:line="520" w:lineRule="exact"/>
        <w:ind w:firstLine="484" w:firstLineChars="202"/>
        <w:textAlignment w:val="baseline"/>
        <w:rPr>
          <w:rFonts w:hint="eastAsia" w:ascii="宋体" w:hAnsi="宋体" w:eastAsia="宋体" w:cs="宋体"/>
          <w:color w:val="auto"/>
          <w:sz w:val="24"/>
          <w:szCs w:val="24"/>
          <w:highlight w:val="none"/>
        </w:rPr>
      </w:pPr>
    </w:p>
    <w:p>
      <w:pPr>
        <w:snapToGrid w:val="0"/>
        <w:spacing w:line="520" w:lineRule="exact"/>
        <w:ind w:firstLine="484" w:firstLineChars="202"/>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lang w:val="zh-CN"/>
        </w:rPr>
        <w:t>成交供应商和采购单位</w:t>
      </w:r>
      <w:r>
        <w:rPr>
          <w:rFonts w:hint="eastAsia" w:ascii="宋体" w:hAnsi="宋体" w:eastAsia="宋体" w:cs="宋体"/>
          <w:color w:val="auto"/>
          <w:sz w:val="24"/>
          <w:highlight w:val="none"/>
        </w:rPr>
        <w:t>需在</w:t>
      </w:r>
      <w:r>
        <w:rPr>
          <w:rFonts w:hint="eastAsia" w:ascii="宋体" w:hAnsi="宋体" w:eastAsia="宋体" w:cs="宋体"/>
          <w:color w:val="auto"/>
          <w:sz w:val="24"/>
          <w:highlight w:val="none"/>
          <w:lang w:val="zh-CN"/>
        </w:rPr>
        <w:t>《成交通知书》</w:t>
      </w:r>
      <w:r>
        <w:rPr>
          <w:rFonts w:hint="eastAsia" w:ascii="宋体" w:hAnsi="宋体" w:eastAsia="宋体" w:cs="宋体"/>
          <w:color w:val="auto"/>
          <w:sz w:val="24"/>
          <w:highlight w:val="none"/>
        </w:rPr>
        <w:t>发出之日起30日内签订合同</w:t>
      </w:r>
      <w:r>
        <w:rPr>
          <w:rFonts w:hint="eastAsia" w:ascii="宋体" w:hAnsi="宋体" w:eastAsia="宋体" w:cs="宋体"/>
          <w:color w:val="auto"/>
          <w:sz w:val="24"/>
          <w:highlight w:val="none"/>
          <w:lang w:val="zh-CN"/>
        </w:rPr>
        <w:t>。合同签订后成交供应商方可履约，否则引起的一切后果由成交人自行承担。纸质合同一式</w:t>
      </w:r>
      <w:r>
        <w:rPr>
          <w:rFonts w:hint="eastAsia" w:ascii="宋体" w:hAnsi="宋体" w:eastAsia="宋体" w:cs="宋体"/>
          <w:color w:val="auto"/>
          <w:sz w:val="24"/>
          <w:highlight w:val="none"/>
        </w:rPr>
        <w:t>陆</w:t>
      </w:r>
      <w:r>
        <w:rPr>
          <w:rFonts w:hint="eastAsia" w:ascii="宋体" w:hAnsi="宋体" w:eastAsia="宋体" w:cs="宋体"/>
          <w:color w:val="auto"/>
          <w:sz w:val="24"/>
          <w:highlight w:val="none"/>
          <w:lang w:val="zh-CN"/>
        </w:rPr>
        <w:t>份，采购</w:t>
      </w:r>
      <w:r>
        <w:rPr>
          <w:rFonts w:hint="eastAsia" w:ascii="宋体" w:hAnsi="宋体" w:eastAsia="宋体" w:cs="宋体"/>
          <w:color w:val="auto"/>
          <w:sz w:val="24"/>
          <w:highlight w:val="none"/>
        </w:rPr>
        <w:t>单位</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成交</w:t>
      </w:r>
      <w:r>
        <w:rPr>
          <w:rFonts w:hint="eastAsia" w:ascii="宋体" w:hAnsi="宋体" w:eastAsia="宋体" w:cs="宋体"/>
          <w:color w:val="auto"/>
          <w:sz w:val="24"/>
          <w:highlight w:val="none"/>
          <w:lang w:val="zh-CN"/>
        </w:rPr>
        <w:t>供应商各</w:t>
      </w:r>
      <w:r>
        <w:rPr>
          <w:rFonts w:hint="eastAsia" w:ascii="宋体" w:hAnsi="宋体" w:eastAsia="宋体" w:cs="宋体"/>
          <w:color w:val="auto"/>
          <w:sz w:val="24"/>
          <w:highlight w:val="none"/>
        </w:rPr>
        <w:t>叁</w:t>
      </w:r>
      <w:r>
        <w:rPr>
          <w:rFonts w:hint="eastAsia" w:ascii="宋体" w:hAnsi="宋体" w:eastAsia="宋体" w:cs="宋体"/>
          <w:color w:val="auto"/>
          <w:sz w:val="24"/>
          <w:highlight w:val="none"/>
          <w:lang w:val="zh-CN"/>
        </w:rPr>
        <w:t>份。所签合同不得对采购文件作实质性修改。采购单位不得向成交供应商提出不合理的要求作为签订合同的条件，不得与成交供应商私下订立背离采购文件实质性内容的协议</w:t>
      </w:r>
      <w:r>
        <w:rPr>
          <w:rFonts w:hint="eastAsia" w:ascii="宋体" w:hAnsi="宋体" w:eastAsia="宋体" w:cs="宋体"/>
          <w:color w:val="auto"/>
          <w:kern w:val="0"/>
          <w:sz w:val="24"/>
          <w:szCs w:val="24"/>
          <w:highlight w:val="none"/>
        </w:rPr>
        <w:t>。</w:t>
      </w:r>
    </w:p>
    <w:p>
      <w:pPr>
        <w:snapToGrid w:val="0"/>
        <w:spacing w:line="480" w:lineRule="exact"/>
        <w:ind w:firstLine="573"/>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单位按合同约定积极配合成交供应商履约，成交供应商履约到位后，请以书面形式向采购单位提出验收申请，采购单位接到申请后及时组织相关专业技术人员，必要时邀请采购单位、质检等部门共同参与验收，并出具验收报告，验收合格的支付相应款项。</w:t>
      </w:r>
    </w:p>
    <w:p>
      <w:pPr>
        <w:snapToGrid w:val="0"/>
        <w:spacing w:line="480" w:lineRule="exact"/>
        <w:ind w:firstLine="573"/>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采购单位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573"/>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成交供应商出现违约情形，应当及时纠正或补偿；造成损失的，按合同约定追究违约责任；发现有假冒、伪劣、走私产品、商业贿赂等违法情形的，应由采购单位移交工商、质监、公安等行政执法部门依法查处。</w:t>
      </w:r>
    </w:p>
    <w:p>
      <w:pPr>
        <w:snapToGrid w:val="0"/>
        <w:spacing w:line="480" w:lineRule="exact"/>
        <w:ind w:firstLine="573"/>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五、不响应付款方式的，视同响应文件无效，按无效响应文件处理。</w:t>
      </w:r>
    </w:p>
    <w:p>
      <w:pPr>
        <w:snapToGrid w:val="0"/>
        <w:spacing w:line="480" w:lineRule="exact"/>
        <w:ind w:firstLine="573"/>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六、付款方式详见磋商文件第五章。</w:t>
      </w:r>
    </w:p>
    <w:p>
      <w:pPr>
        <w:tabs>
          <w:tab w:val="center" w:pos="4652"/>
        </w:tabs>
        <w:snapToGrid w:val="0"/>
        <w:spacing w:line="480" w:lineRule="exact"/>
        <w:ind w:firstLine="573"/>
        <w:textAlignment w:val="baseline"/>
        <w:rPr>
          <w:rFonts w:hint="eastAsia" w:ascii="宋体" w:hAnsi="宋体" w:eastAsia="宋体" w:cs="宋体"/>
          <w:b/>
          <w:bCs/>
          <w:color w:val="auto"/>
          <w:kern w:val="44"/>
          <w:sz w:val="44"/>
          <w:szCs w:val="44"/>
          <w:highlight w:val="none"/>
        </w:rPr>
      </w:pPr>
      <w:r>
        <w:rPr>
          <w:rFonts w:hint="eastAsia" w:ascii="宋体" w:hAnsi="宋体" w:eastAsia="宋体" w:cs="宋体"/>
          <w:color w:val="auto"/>
          <w:sz w:val="24"/>
          <w:szCs w:val="24"/>
          <w:highlight w:val="none"/>
        </w:rPr>
        <w:t>七、以上项目款的支付不计息。</w:t>
      </w:r>
      <w:r>
        <w:rPr>
          <w:rFonts w:hint="eastAsia" w:ascii="宋体" w:hAnsi="宋体" w:eastAsia="宋体" w:cs="宋体"/>
          <w:b/>
          <w:bCs/>
          <w:color w:val="auto"/>
          <w:kern w:val="44"/>
          <w:sz w:val="44"/>
          <w:szCs w:val="44"/>
          <w:highlight w:val="none"/>
        </w:rPr>
        <w:br w:type="page"/>
      </w:r>
    </w:p>
    <w:p>
      <w:pPr>
        <w:keepNext/>
        <w:keepLines/>
        <w:spacing w:before="260" w:after="260" w:line="416" w:lineRule="auto"/>
        <w:jc w:val="center"/>
        <w:outlineLvl w:val="2"/>
        <w:rPr>
          <w:rFonts w:hint="eastAsia" w:ascii="宋体" w:hAnsi="宋体" w:eastAsia="宋体" w:cs="宋体"/>
          <w:color w:val="auto"/>
          <w:sz w:val="24"/>
          <w:szCs w:val="24"/>
          <w:highlight w:val="none"/>
        </w:rPr>
      </w:pPr>
      <w:r>
        <w:rPr>
          <w:rFonts w:hint="eastAsia" w:ascii="宋体" w:hAnsi="宋体" w:eastAsia="宋体" w:cs="宋体"/>
          <w:b/>
          <w:bCs/>
          <w:color w:val="auto"/>
          <w:kern w:val="44"/>
          <w:sz w:val="44"/>
          <w:szCs w:val="44"/>
          <w:highlight w:val="none"/>
        </w:rPr>
        <w:t>第七章质疑提出和处理</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一、质疑的提出</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(一)质疑人的身份要求</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1.提出质疑的供应商应当是参与所质疑项目采购活动的供应商。</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2.潜在供应商已依法获取其可质疑的采购文件的，可以对该文件提出质疑。对采购文件提出质疑的，应当在获取采购文件或者采购文件公告期限届满之日起7个工作日内提出。</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(二)质疑提出的格式要求   </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质疑参照《政府采购法》、《政府采购法实施条例》及《江苏省政府采购供应商监督管理暂行办法》的相关规定提交，质疑实行实名制，不得进行虚假、恶意质疑，未按上述要求提交的质疑函，采购人和采购代理机构有权不予受理。</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2.质疑函应包括：    </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（1）质疑</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的名称、地址、邮编、联系人及联系电话；</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（2）质疑项目的名称、编号；</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（3）具体、明确的质疑事项和与质疑事项相关的请求；</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（4）事实依据；</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（5）必要的法律依据；                          </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（6）提出质疑的日期。</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质疑函应当署名：质疑人为自然人的，应当由本人签字并附有效身份证明；质疑人为法人或其他组织的，应当由法定代表人（负责人）签字并加盖单位公章（质疑人为联合体的，则联合体各方法定代表人（负责人）均须签字并加盖单位公章），未按要求签字和盖章的为无效质疑，采购人、采购代理机构将不予受理。质疑人委托代理质疑的，应当提交授权委托书，并载明委托代理的具体权限和事项。</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3.质疑函需遵循的原则：</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（三）质疑提出的时效要求</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 xml:space="preserve">认为采购文件、采购过程和采购结果使自己的权益受到损害的，可以在知道或应知其权益受到损害之日起七个工作日内，以书面形式向采购人、采购代理机构提出质疑。上述应知其权益受到损害之日，是指：                       </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（1）对可以质疑的采购文件提出质疑的，为收到采购文件之日或者采购文件公告期限届满之日；</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（2）对采购过程提出质疑的，为各采购程序环节结束之日；</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（3）对中标或者成交结果提出质疑的，为中标或者成交结果公告期限届满之日。</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认为采购文件使自己的权益受到损害的，可以向采购人、采购代理机构提出质疑；</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认为采购过程和采购结果使自己的权益受到损害的，可以以书面形式向采购人、采购代理机构提出质疑。</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 xml:space="preserve">应在法定质疑期一次性提出针对同一采购程序环节的质疑。                         </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二、《质疑函》的受理和答复</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 采购人、采购代理机构收到质疑函后，将对质疑的形式和内容进行审查，如质疑函内容、格式不符合规定，需告知质疑人进行补正。</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 质疑人应当在法定质疑期限内进行补正并重新提交质疑函，拒不补正或者在法定期限内未重新提交质疑函的，为无效质疑，不予受理。</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3.采购人、采购代理机构答复供应商质疑应当采用书面方式并依法送达，质疑供应商或其委托代理人拒绝签收的视为已经送达。</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4.采购人负责供应商质疑答复。采购人委托采购代理机构采购的，采购代理机构在委托授权范围内作出答复。</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三、质疑处理</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 质疑成立的处理</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（1）对于内容、格式符合规定的质疑函，采购人、采购代理机构在收到供应商的书面质疑后七个工作日内作出书面答复，但答复的内容不得涉及商业秘密。                       </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（2）对采购文件提出的质疑，依法通过澄清或者修改可以继续开展采购活动的，澄清或者修改采购文件后继续开展采购活动；否则应当修改采购文件后重新开展采购活动。</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（3）对采购过程、中标或者成交结果提出的质疑，合格供应商符合法定数量时，可以从合格的候选人中另行确定中标、成交供应商的，应当依法另行确定中标供应商；否则应当重新开展采购活动。</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质疑答复导致中标、成交结果改变的，采购人或者采购代理机构应当将有关情况书面报告本级财政部门。</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2.质疑不成立的处理</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若质疑不成立，或者成立未对中标、成交结果构成影响的，继续开展采购活动。                  </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3.虚假质疑的处理          </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提出书面质疑必须有理、有据，不得恶意质疑或提交虚假质疑。否则，一经查实，采购人有权依据采购的有关规定，报请监管部门对该</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 xml:space="preserve">进行相应的行政处罚。                          </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（2）在江苏省范围内一年累计三次以上质疑，均查无实据的供应商将按失信行为记入该注册供应商诚信档案中。</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（3）采购人、采购代理机构受理质疑和答复相关咨询，联系电话详见</w:t>
      </w:r>
      <w:r>
        <w:rPr>
          <w:rFonts w:hint="eastAsia" w:ascii="宋体" w:hAnsi="宋体" w:eastAsia="宋体" w:cs="宋体"/>
          <w:color w:val="auto"/>
          <w:kern w:val="2"/>
          <w:sz w:val="24"/>
          <w:szCs w:val="24"/>
          <w:highlight w:val="none"/>
          <w:lang w:val="en-US" w:eastAsia="zh-CN"/>
        </w:rPr>
        <w:t>采购</w:t>
      </w:r>
      <w:r>
        <w:rPr>
          <w:rFonts w:hint="eastAsia" w:ascii="宋体" w:hAnsi="宋体" w:eastAsia="宋体" w:cs="宋体"/>
          <w:color w:val="auto"/>
          <w:kern w:val="2"/>
          <w:sz w:val="24"/>
          <w:szCs w:val="24"/>
          <w:highlight w:val="none"/>
        </w:rPr>
        <w:t>公告。</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四</w:t>
      </w:r>
      <w:r>
        <w:rPr>
          <w:rFonts w:hint="eastAsia" w:ascii="宋体" w:hAnsi="宋体" w:eastAsia="宋体" w:cs="宋体"/>
          <w:color w:val="auto"/>
          <w:kern w:val="2"/>
          <w:sz w:val="24"/>
          <w:szCs w:val="24"/>
          <w:highlight w:val="none"/>
        </w:rPr>
        <w:t>、质疑不成立的作违约处理</w:t>
      </w:r>
    </w:p>
    <w:p>
      <w:pPr>
        <w:pStyle w:val="7"/>
        <w:snapToGrid w:val="0"/>
        <w:spacing w:line="480" w:lineRule="exact"/>
        <w:ind w:left="0"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供应商进行质疑后，采购单位回复质疑不成立，采购单位有权对其在1至3年内禁入由采购单位组织的所有采购活动的违约处理。</w:t>
      </w:r>
    </w:p>
    <w:p>
      <w:pPr>
        <w:pStyle w:val="2"/>
        <w:keepNext w:val="0"/>
        <w:keepLines w:val="0"/>
        <w:numPr>
          <w:ilvl w:val="0"/>
          <w:numId w:val="0"/>
        </w:numPr>
        <w:snapToGrid w:val="0"/>
        <w:spacing w:before="0" w:after="156" w:afterLines="50" w:line="520" w:lineRule="exact"/>
        <w:ind w:left="420"/>
        <w:jc w:val="center"/>
        <w:rPr>
          <w:rFonts w:hint="eastAsia" w:ascii="宋体" w:hAnsi="宋体" w:cs="宋体"/>
          <w:color w:val="auto"/>
          <w:highlight w:val="none"/>
        </w:rPr>
      </w:pPr>
      <w:bookmarkStart w:id="204" w:name="_Toc363573860"/>
      <w:r>
        <w:rPr>
          <w:rFonts w:hint="eastAsia" w:ascii="宋体" w:hAnsi="宋体" w:cs="宋体"/>
          <w:color w:val="auto"/>
          <w:w w:val="80"/>
          <w:sz w:val="24"/>
          <w:szCs w:val="24"/>
          <w:highlight w:val="none"/>
        </w:rPr>
        <w:br w:type="page"/>
      </w:r>
      <w:r>
        <w:rPr>
          <w:rFonts w:hint="eastAsia" w:ascii="宋体" w:hAnsi="宋体" w:cs="宋体"/>
          <w:color w:val="auto"/>
          <w:w w:val="80"/>
          <w:highlight w:val="none"/>
        </w:rPr>
        <w:t>第八章 响应文件组成及格式</w:t>
      </w:r>
      <w:bookmarkEnd w:id="204"/>
    </w:p>
    <w:p>
      <w:pPr>
        <w:widowControl/>
        <w:snapToGrid w:val="0"/>
        <w:spacing w:before="240" w:line="360" w:lineRule="auto"/>
        <w:ind w:firstLine="472" w:firstLineChars="196"/>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numPr>
          <w:ilvl w:val="0"/>
          <w:numId w:val="11"/>
        </w:numPr>
        <w:snapToGrid w:val="0"/>
        <w:spacing w:line="360" w:lineRule="auto"/>
        <w:ind w:firstLine="472" w:firstLineChars="196"/>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资格审查文件</w:t>
      </w: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单独密封</w:t>
      </w:r>
      <w:r>
        <w:rPr>
          <w:rFonts w:hint="eastAsia" w:ascii="宋体" w:hAnsi="宋体" w:cs="宋体"/>
          <w:b/>
          <w:bCs/>
          <w:color w:val="auto"/>
          <w:sz w:val="24"/>
          <w:szCs w:val="24"/>
          <w:highlight w:val="none"/>
          <w:lang w:val="zh-CN"/>
        </w:rPr>
        <w:t>）</w:t>
      </w:r>
    </w:p>
    <w:p>
      <w:pPr>
        <w:widowControl/>
        <w:numPr>
          <w:ilvl w:val="0"/>
          <w:numId w:val="12"/>
        </w:numPr>
        <w:snapToGrid w:val="0"/>
        <w:spacing w:line="360" w:lineRule="auto"/>
        <w:ind w:firstLine="470"/>
        <w:rPr>
          <w:rFonts w:hint="eastAsia" w:ascii="宋体" w:hAnsi="宋体" w:cs="宋体"/>
          <w:color w:val="auto"/>
          <w:sz w:val="24"/>
          <w:szCs w:val="24"/>
          <w:highlight w:val="none"/>
        </w:rPr>
      </w:pPr>
      <w:r>
        <w:rPr>
          <w:rFonts w:hint="eastAsia" w:ascii="宋体" w:hAnsi="宋体" w:eastAsia="宋体" w:cs="宋体"/>
          <w:color w:val="auto"/>
          <w:sz w:val="24"/>
          <w:highlight w:val="none"/>
        </w:rPr>
        <w:t>供应商法定代表人参加的，必须提供法定代表人身份证明</w:t>
      </w:r>
      <w:r>
        <w:rPr>
          <w:rFonts w:hint="eastAsia" w:ascii="宋体" w:hAnsi="宋体" w:eastAsia="宋体" w:cs="宋体"/>
          <w:color w:val="auto"/>
          <w:sz w:val="24"/>
          <w:highlight w:val="none"/>
          <w:lang w:val="en-US" w:eastAsia="zh-CN"/>
        </w:rPr>
        <w:t>原件</w:t>
      </w:r>
      <w:r>
        <w:rPr>
          <w:rFonts w:hint="eastAsia" w:ascii="宋体" w:hAnsi="宋体" w:eastAsia="宋体" w:cs="宋体"/>
          <w:color w:val="auto"/>
          <w:sz w:val="24"/>
          <w:highlight w:val="none"/>
        </w:rPr>
        <w:t>（格式附后）；非法定代表人参加的，必须提供①法定代表人身份证明</w:t>
      </w:r>
      <w:r>
        <w:rPr>
          <w:rFonts w:hint="eastAsia" w:ascii="宋体" w:hAnsi="宋体" w:eastAsia="宋体" w:cs="宋体"/>
          <w:color w:val="auto"/>
          <w:sz w:val="24"/>
          <w:highlight w:val="none"/>
          <w:lang w:val="en-US" w:eastAsia="zh-CN"/>
        </w:rPr>
        <w:t>原件</w:t>
      </w:r>
      <w:r>
        <w:rPr>
          <w:rFonts w:hint="eastAsia" w:ascii="宋体" w:hAnsi="宋体" w:eastAsia="宋体" w:cs="宋体"/>
          <w:color w:val="auto"/>
          <w:sz w:val="24"/>
          <w:highlight w:val="none"/>
        </w:rPr>
        <w:t>（格式附后）、②法定代表人签字或盖章的授权委托书</w:t>
      </w:r>
      <w:r>
        <w:rPr>
          <w:rFonts w:hint="eastAsia" w:ascii="宋体" w:hAnsi="宋体" w:eastAsia="宋体" w:cs="宋体"/>
          <w:color w:val="auto"/>
          <w:sz w:val="24"/>
          <w:highlight w:val="none"/>
          <w:lang w:val="en-US" w:eastAsia="zh-CN"/>
        </w:rPr>
        <w:t>原件</w:t>
      </w:r>
      <w:r>
        <w:rPr>
          <w:rFonts w:hint="eastAsia" w:ascii="宋体" w:hAnsi="宋体" w:eastAsia="宋体" w:cs="宋体"/>
          <w:color w:val="auto"/>
          <w:sz w:val="24"/>
          <w:highlight w:val="none"/>
        </w:rPr>
        <w:t>（格式附后）。</w:t>
      </w:r>
    </w:p>
    <w:p>
      <w:pPr>
        <w:widowControl/>
        <w:numPr>
          <w:ilvl w:val="0"/>
          <w:numId w:val="12"/>
        </w:numPr>
        <w:snapToGrid w:val="0"/>
        <w:spacing w:line="360" w:lineRule="auto"/>
        <w:ind w:firstLine="470"/>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供应商须提供</w:t>
      </w:r>
      <w:r>
        <w:rPr>
          <w:rFonts w:hint="eastAsia" w:ascii="宋体" w:hAnsi="宋体" w:cs="宋体"/>
          <w:color w:val="auto"/>
          <w:sz w:val="24"/>
          <w:highlight w:val="none"/>
          <w:lang w:eastAsia="zh-CN"/>
        </w:rPr>
        <w:t>有效的</w:t>
      </w:r>
      <w:r>
        <w:rPr>
          <w:rFonts w:hint="eastAsia" w:ascii="宋体" w:hAnsi="宋体" w:cs="宋体"/>
          <w:color w:val="auto"/>
          <w:sz w:val="24"/>
          <w:highlight w:val="none"/>
        </w:rPr>
        <w:t>营业执照复印件</w:t>
      </w:r>
      <w:r>
        <w:rPr>
          <w:rFonts w:hint="eastAsia" w:ascii="宋体" w:hAnsi="宋体" w:cs="宋体"/>
          <w:color w:val="auto"/>
          <w:sz w:val="24"/>
          <w:szCs w:val="24"/>
          <w:highlight w:val="none"/>
        </w:rPr>
        <w:t>。</w:t>
      </w:r>
    </w:p>
    <w:p>
      <w:pPr>
        <w:snapToGrid w:val="0"/>
        <w:spacing w:line="360" w:lineRule="auto"/>
        <w:ind w:firstLine="494" w:firstLineChars="206"/>
        <w:outlineLvl w:val="1"/>
        <w:rPr>
          <w:rFonts w:hint="eastAsia" w:ascii="宋体" w:hAnsi="宋体" w:cs="宋体"/>
          <w:snapToGrid w:val="0"/>
          <w:color w:val="auto"/>
          <w:kern w:val="0"/>
          <w:sz w:val="24"/>
          <w:szCs w:val="24"/>
          <w:highlight w:val="none"/>
        </w:rPr>
      </w:pPr>
      <w:r>
        <w:rPr>
          <w:rFonts w:hint="eastAsia" w:ascii="宋体" w:hAnsi="宋体" w:cs="宋体"/>
          <w:color w:val="auto"/>
          <w:sz w:val="24"/>
          <w:szCs w:val="24"/>
          <w:highlight w:val="none"/>
        </w:rPr>
        <w:t>3、供应商须</w:t>
      </w:r>
      <w:r>
        <w:rPr>
          <w:rFonts w:hint="eastAsia" w:ascii="宋体" w:hAnsi="宋体" w:cs="宋体"/>
          <w:color w:val="auto"/>
          <w:sz w:val="24"/>
          <w:szCs w:val="24"/>
          <w:highlight w:val="none"/>
          <w:lang w:val="en-US" w:eastAsia="zh-CN"/>
        </w:rPr>
        <w:t>提供</w:t>
      </w:r>
      <w:r>
        <w:rPr>
          <w:rFonts w:hint="eastAsia" w:ascii="宋体" w:hAnsi="宋体" w:cs="宋体"/>
          <w:color w:val="auto"/>
          <w:sz w:val="24"/>
          <w:szCs w:val="24"/>
          <w:highlight w:val="none"/>
        </w:rPr>
        <w:t>有效的</w:t>
      </w:r>
      <w:r>
        <w:rPr>
          <w:rFonts w:hint="eastAsia" w:ascii="宋体" w:hAnsi="宋体" w:cs="宋体"/>
          <w:snapToGrid w:val="0"/>
          <w:color w:val="auto"/>
          <w:kern w:val="0"/>
          <w:sz w:val="24"/>
          <w:szCs w:val="24"/>
          <w:highlight w:val="none"/>
        </w:rPr>
        <w:t>建设行政主管部门颁发资质证书复印件。</w:t>
      </w:r>
    </w:p>
    <w:p>
      <w:pPr>
        <w:snapToGrid w:val="0"/>
        <w:spacing w:line="360" w:lineRule="auto"/>
        <w:ind w:firstLine="494" w:firstLineChars="206"/>
        <w:outlineLvl w:val="1"/>
        <w:rPr>
          <w:rFonts w:hint="eastAsia" w:ascii="宋体" w:hAnsi="宋体" w:cs="宋体"/>
          <w:snapToGrid w:val="0"/>
          <w:color w:val="auto"/>
          <w:kern w:val="0"/>
          <w:szCs w:val="24"/>
          <w:highlight w:val="none"/>
        </w:rPr>
      </w:pPr>
      <w:r>
        <w:rPr>
          <w:rFonts w:hint="eastAsia" w:ascii="宋体" w:hAnsi="宋体" w:cs="宋体"/>
          <w:snapToGrid w:val="0"/>
          <w:color w:val="auto"/>
          <w:kern w:val="0"/>
          <w:sz w:val="24"/>
          <w:szCs w:val="24"/>
          <w:highlight w:val="none"/>
        </w:rPr>
        <w:t>4、</w:t>
      </w:r>
      <w:r>
        <w:rPr>
          <w:rFonts w:hint="eastAsia" w:ascii="宋体" w:hAnsi="宋体" w:cs="宋体"/>
          <w:color w:val="auto"/>
          <w:sz w:val="24"/>
          <w:szCs w:val="24"/>
          <w:highlight w:val="none"/>
        </w:rPr>
        <w:t>供应商须</w:t>
      </w:r>
      <w:r>
        <w:rPr>
          <w:rFonts w:hint="eastAsia" w:ascii="宋体" w:hAnsi="宋体" w:cs="宋体"/>
          <w:snapToGrid w:val="0"/>
          <w:color w:val="auto"/>
          <w:kern w:val="0"/>
          <w:sz w:val="24"/>
          <w:szCs w:val="24"/>
          <w:highlight w:val="none"/>
        </w:rPr>
        <w:t>提供企业安全生产许可证</w:t>
      </w:r>
      <w:r>
        <w:rPr>
          <w:rFonts w:hint="eastAsia" w:ascii="宋体" w:hAnsi="宋体" w:cs="宋体"/>
          <w:snapToGrid w:val="0"/>
          <w:color w:val="auto"/>
          <w:kern w:val="0"/>
          <w:sz w:val="24"/>
          <w:szCs w:val="24"/>
          <w:highlight w:val="none"/>
          <w:lang w:val="en-US" w:eastAsia="zh-CN"/>
        </w:rPr>
        <w:t>复印件</w:t>
      </w:r>
      <w:r>
        <w:rPr>
          <w:rFonts w:hint="eastAsia" w:ascii="宋体" w:hAnsi="宋体" w:cs="宋体"/>
          <w:snapToGrid w:val="0"/>
          <w:color w:val="auto"/>
          <w:kern w:val="0"/>
          <w:sz w:val="24"/>
          <w:szCs w:val="24"/>
          <w:highlight w:val="none"/>
        </w:rPr>
        <w:t>。</w:t>
      </w:r>
    </w:p>
    <w:p>
      <w:pPr>
        <w:snapToGrid w:val="0"/>
        <w:spacing w:line="360" w:lineRule="auto"/>
        <w:ind w:firstLine="470" w:firstLineChars="196"/>
        <w:textAlignment w:val="baseline"/>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rPr>
        <w:t>5、</w:t>
      </w:r>
      <w:r>
        <w:rPr>
          <w:rFonts w:hint="eastAsia" w:ascii="宋体" w:hAnsi="宋体" w:cs="宋体"/>
          <w:snapToGrid w:val="0"/>
          <w:color w:val="auto"/>
          <w:kern w:val="0"/>
          <w:sz w:val="24"/>
          <w:szCs w:val="24"/>
          <w:highlight w:val="none"/>
          <w:lang w:val="en-US" w:eastAsia="zh-CN"/>
        </w:rPr>
        <w:t>供应商须</w:t>
      </w:r>
      <w:r>
        <w:rPr>
          <w:rFonts w:hint="eastAsia" w:ascii="宋体" w:hAnsi="宋体" w:cs="宋体"/>
          <w:snapToGrid w:val="0"/>
          <w:color w:val="auto"/>
          <w:kern w:val="0"/>
          <w:sz w:val="24"/>
          <w:szCs w:val="24"/>
          <w:highlight w:val="none"/>
        </w:rPr>
        <w:t>提供拟派项目负责人</w:t>
      </w:r>
      <w:r>
        <w:rPr>
          <w:rFonts w:hint="eastAsia" w:ascii="宋体" w:hAnsi="宋体" w:cs="宋体"/>
          <w:snapToGrid w:val="0"/>
          <w:color w:val="auto"/>
          <w:kern w:val="0"/>
          <w:sz w:val="24"/>
          <w:szCs w:val="24"/>
          <w:highlight w:val="none"/>
          <w:lang w:val="en-US" w:eastAsia="zh-CN"/>
        </w:rPr>
        <w:t>建造师注册证书复印件及</w:t>
      </w:r>
      <w:r>
        <w:rPr>
          <w:rFonts w:hint="eastAsia" w:ascii="宋体" w:hAnsi="宋体" w:eastAsia="宋体" w:cs="宋体"/>
          <w:snapToGrid w:val="0"/>
          <w:color w:val="auto"/>
          <w:sz w:val="24"/>
          <w:szCs w:val="24"/>
          <w:highlight w:val="none"/>
        </w:rPr>
        <w:t>建筑施工企业安全生产考核合格证书(B证)</w:t>
      </w:r>
      <w:r>
        <w:rPr>
          <w:rFonts w:hint="eastAsia" w:ascii="宋体" w:hAnsi="宋体" w:eastAsia="宋体" w:cs="宋体"/>
          <w:snapToGrid w:val="0"/>
          <w:color w:val="auto"/>
          <w:sz w:val="24"/>
          <w:szCs w:val="24"/>
          <w:highlight w:val="none"/>
          <w:lang w:val="en-US" w:eastAsia="zh-CN"/>
        </w:rPr>
        <w:t>复印件</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以上证书均须注册在供应商单位。</w:t>
      </w:r>
    </w:p>
    <w:p>
      <w:pPr>
        <w:snapToGrid w:val="0"/>
        <w:spacing w:line="360" w:lineRule="auto"/>
        <w:ind w:firstLine="472" w:firstLineChars="196"/>
        <w:textAlignment w:val="baseline"/>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特别提示：</w:t>
      </w:r>
    </w:p>
    <w:p>
      <w:pPr>
        <w:snapToGrid w:val="0"/>
        <w:spacing w:line="360" w:lineRule="auto"/>
        <w:ind w:firstLine="472" w:firstLineChars="196"/>
        <w:textAlignment w:val="baseline"/>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①如供应商拟派项目负责人为</w:t>
      </w:r>
      <w:r>
        <w:rPr>
          <w:rFonts w:hint="eastAsia" w:ascii="宋体" w:hAnsi="宋体" w:cs="宋体"/>
          <w:b/>
          <w:bCs/>
          <w:snapToGrid w:val="0"/>
          <w:color w:val="auto"/>
          <w:kern w:val="0"/>
          <w:sz w:val="24"/>
          <w:szCs w:val="24"/>
          <w:highlight w:val="none"/>
          <w:lang w:val="en-US" w:eastAsia="zh-CN"/>
        </w:rPr>
        <w:t>一</w:t>
      </w:r>
      <w:r>
        <w:rPr>
          <w:rFonts w:hint="eastAsia" w:ascii="宋体" w:hAnsi="宋体" w:cs="宋体"/>
          <w:b/>
          <w:bCs/>
          <w:snapToGrid w:val="0"/>
          <w:color w:val="auto"/>
          <w:kern w:val="0"/>
          <w:sz w:val="24"/>
          <w:szCs w:val="24"/>
          <w:highlight w:val="none"/>
        </w:rPr>
        <w:t>级</w:t>
      </w:r>
      <w:r>
        <w:rPr>
          <w:rFonts w:hint="eastAsia" w:ascii="宋体" w:hAnsi="宋体" w:cs="宋体"/>
          <w:b/>
          <w:bCs/>
          <w:snapToGrid w:val="0"/>
          <w:color w:val="auto"/>
          <w:kern w:val="0"/>
          <w:sz w:val="24"/>
          <w:szCs w:val="24"/>
          <w:highlight w:val="none"/>
          <w:lang w:val="en-US" w:eastAsia="zh-CN"/>
        </w:rPr>
        <w:t>注册</w:t>
      </w:r>
      <w:r>
        <w:rPr>
          <w:rFonts w:hint="eastAsia" w:ascii="宋体" w:hAnsi="宋体" w:cs="宋体"/>
          <w:b/>
          <w:bCs/>
          <w:snapToGrid w:val="0"/>
          <w:color w:val="auto"/>
          <w:kern w:val="0"/>
          <w:sz w:val="24"/>
          <w:szCs w:val="24"/>
          <w:highlight w:val="none"/>
        </w:rPr>
        <w:t>建造师，必须根据《办公厅关于全面实行一级建造师电子注册证书的通知》（建办市〔2021〕40号）文件要求使用电子注册证书，否则视为项目负责人的资格不符合要求。</w:t>
      </w:r>
    </w:p>
    <w:p>
      <w:pPr>
        <w:snapToGrid w:val="0"/>
        <w:spacing w:line="360" w:lineRule="auto"/>
        <w:ind w:firstLine="472" w:firstLineChars="196"/>
        <w:textAlignment w:val="baseline"/>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②企业注册地为江苏省内企业，如本项目供应商拟派的项目负责人为二级注册建造师的，必须根据《省住房和城乡建设厅关于我省二级建造师、二级造价工程师、二级注册建筑师、二级注册结构工程师注册证书电子证照换发的公告》〔2023〕第26号文件要求执行。</w:t>
      </w:r>
    </w:p>
    <w:p>
      <w:pPr>
        <w:snapToGrid w:val="0"/>
        <w:spacing w:line="360" w:lineRule="auto"/>
        <w:ind w:firstLine="470" w:firstLineChars="196"/>
        <w:textAlignment w:val="baseline"/>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6、</w:t>
      </w:r>
      <w:r>
        <w:rPr>
          <w:rFonts w:hint="eastAsia" w:ascii="宋体" w:hAnsi="宋体" w:cs="宋体"/>
          <w:snapToGrid w:val="0"/>
          <w:color w:val="auto"/>
          <w:kern w:val="0"/>
          <w:sz w:val="24"/>
          <w:szCs w:val="24"/>
          <w:highlight w:val="none"/>
          <w:lang w:val="en-US" w:eastAsia="zh-CN"/>
        </w:rPr>
        <w:t>供应商须</w:t>
      </w:r>
      <w:r>
        <w:rPr>
          <w:rFonts w:hint="eastAsia" w:ascii="宋体" w:hAnsi="宋体" w:cs="宋体"/>
          <w:snapToGrid w:val="0"/>
          <w:color w:val="auto"/>
          <w:kern w:val="0"/>
          <w:sz w:val="24"/>
          <w:szCs w:val="24"/>
          <w:highlight w:val="none"/>
        </w:rPr>
        <w:t>提供供应商与</w:t>
      </w:r>
      <w:r>
        <w:rPr>
          <w:rFonts w:hint="eastAsia" w:ascii="宋体" w:hAnsi="宋体" w:cs="宋体"/>
          <w:snapToGrid w:val="0"/>
          <w:color w:val="auto"/>
          <w:kern w:val="0"/>
          <w:sz w:val="24"/>
          <w:szCs w:val="24"/>
          <w:highlight w:val="none"/>
          <w:lang w:val="en-US" w:eastAsia="zh-CN"/>
        </w:rPr>
        <w:t>拟派项目负责人</w:t>
      </w:r>
      <w:r>
        <w:rPr>
          <w:rFonts w:hint="eastAsia" w:ascii="宋体" w:hAnsi="宋体" w:cs="宋体"/>
          <w:snapToGrid w:val="0"/>
          <w:color w:val="auto"/>
          <w:kern w:val="0"/>
          <w:sz w:val="24"/>
          <w:szCs w:val="24"/>
          <w:highlight w:val="none"/>
        </w:rPr>
        <w:t>双方签订的有效劳动合同书复印件。</w:t>
      </w:r>
    </w:p>
    <w:p>
      <w:pPr>
        <w:snapToGrid w:val="0"/>
        <w:spacing w:line="360" w:lineRule="auto"/>
        <w:ind w:firstLine="480" w:firstLineChars="200"/>
        <w:rPr>
          <w:rFonts w:hint="eastAsia" w:ascii="宋体" w:hAnsi="宋体" w:cs="宋体"/>
          <w:color w:val="auto"/>
          <w:highlight w:val="none"/>
        </w:rPr>
      </w:pPr>
      <w:r>
        <w:rPr>
          <w:rFonts w:hint="eastAsia" w:ascii="宋体" w:hAnsi="宋体" w:cs="宋体"/>
          <w:snapToGrid w:val="0"/>
          <w:color w:val="auto"/>
          <w:kern w:val="0"/>
          <w:sz w:val="24"/>
          <w:szCs w:val="24"/>
          <w:highlight w:val="none"/>
        </w:rPr>
        <w:t>7、</w:t>
      </w:r>
      <w:r>
        <w:rPr>
          <w:rFonts w:hint="eastAsia" w:ascii="宋体" w:hAnsi="宋体" w:cs="宋体"/>
          <w:snapToGrid w:val="0"/>
          <w:color w:val="auto"/>
          <w:kern w:val="0"/>
          <w:sz w:val="24"/>
          <w:szCs w:val="24"/>
          <w:highlight w:val="none"/>
          <w:lang w:val="en-US" w:eastAsia="zh-CN"/>
        </w:rPr>
        <w:t>供应商须提供</w:t>
      </w:r>
      <w:r>
        <w:rPr>
          <w:rFonts w:hint="eastAsia" w:ascii="宋体" w:hAnsi="宋体" w:cs="宋体"/>
          <w:snapToGrid w:val="0"/>
          <w:color w:val="auto"/>
          <w:kern w:val="0"/>
          <w:sz w:val="24"/>
          <w:szCs w:val="24"/>
          <w:highlight w:val="none"/>
        </w:rPr>
        <w:t>无在建工程承诺书</w:t>
      </w:r>
      <w:r>
        <w:rPr>
          <w:rFonts w:hint="eastAsia" w:ascii="宋体" w:hAnsi="宋体" w:cs="宋体"/>
          <w:snapToGrid w:val="0"/>
          <w:color w:val="auto"/>
          <w:kern w:val="0"/>
          <w:sz w:val="24"/>
          <w:szCs w:val="24"/>
          <w:highlight w:val="none"/>
          <w:lang w:val="en-US" w:eastAsia="zh-CN"/>
        </w:rPr>
        <w:t>原件</w:t>
      </w:r>
      <w:r>
        <w:rPr>
          <w:rFonts w:hint="eastAsia" w:ascii="宋体" w:hAnsi="宋体" w:cs="宋体"/>
          <w:snapToGrid w:val="0"/>
          <w:color w:val="auto"/>
          <w:kern w:val="0"/>
          <w:sz w:val="24"/>
          <w:szCs w:val="24"/>
          <w:highlight w:val="none"/>
        </w:rPr>
        <w:t>（格式附后，须加盖供应商公章，正本中必须为原件）。</w:t>
      </w:r>
    </w:p>
    <w:p>
      <w:pPr>
        <w:snapToGrid w:val="0"/>
        <w:spacing w:line="360" w:lineRule="auto"/>
        <w:ind w:firstLine="480" w:firstLineChars="200"/>
        <w:rPr>
          <w:rFonts w:hint="eastAsia" w:ascii="宋体" w:hAnsi="宋体" w:cs="宋体"/>
          <w:snapToGrid w:val="0"/>
          <w:color w:val="auto"/>
          <w:kern w:val="0"/>
          <w:szCs w:val="24"/>
          <w:highlight w:val="none"/>
        </w:rPr>
      </w:pPr>
      <w:r>
        <w:rPr>
          <w:rFonts w:hint="eastAsia" w:ascii="宋体" w:hAnsi="宋体" w:cs="宋体"/>
          <w:bCs/>
          <w:color w:val="auto"/>
          <w:sz w:val="24"/>
          <w:szCs w:val="24"/>
          <w:highlight w:val="none"/>
        </w:rPr>
        <w:t>8、</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须提供符合条件的声明函（格式附后）</w:t>
      </w:r>
      <w:r>
        <w:rPr>
          <w:rFonts w:hint="eastAsia" w:ascii="宋体" w:hAnsi="宋体" w:cs="宋体"/>
          <w:bCs/>
          <w:color w:val="auto"/>
          <w:sz w:val="24"/>
          <w:szCs w:val="24"/>
          <w:highlight w:val="none"/>
        </w:rPr>
        <w:t>。</w:t>
      </w:r>
    </w:p>
    <w:p>
      <w:pPr>
        <w:autoSpaceDE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、在</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文件递交截止时间当日，</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（或</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代理机构）登录“江苏省建筑市场监管与诚信信息一体化平台”,检查</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的建筑业企业资质动态监管状态,对动态监管处于不合格状态的</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进行截图保存，并提供给</w:t>
      </w:r>
      <w:r>
        <w:rPr>
          <w:rFonts w:hint="eastAsia" w:ascii="宋体" w:hAnsi="宋体" w:cs="宋体"/>
          <w:color w:val="auto"/>
          <w:sz w:val="24"/>
          <w:highlight w:val="none"/>
          <w:lang w:val="en-US" w:eastAsia="zh-CN"/>
        </w:rPr>
        <w:t>评审小组，其资格审查不予通过</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供应商无须提供材料，由采购人或采购代理机构查询</w:t>
      </w:r>
      <w:r>
        <w:rPr>
          <w:rFonts w:hint="eastAsia" w:ascii="宋体" w:hAnsi="宋体" w:cs="宋体"/>
          <w:color w:val="auto"/>
          <w:sz w:val="24"/>
          <w:highlight w:val="none"/>
          <w:lang w:eastAsia="zh-CN"/>
        </w:rPr>
        <w:t>）</w:t>
      </w:r>
    </w:p>
    <w:p>
      <w:pPr>
        <w:snapToGrid w:val="0"/>
        <w:spacing w:line="360" w:lineRule="auto"/>
        <w:ind w:firstLine="472" w:firstLineChars="196"/>
        <w:rPr>
          <w:rFonts w:hint="eastAsia" w:ascii="宋体" w:hAnsi="宋体" w:cs="宋体"/>
          <w:color w:val="auto"/>
          <w:sz w:val="24"/>
          <w:szCs w:val="24"/>
          <w:highlight w:val="none"/>
        </w:rPr>
      </w:pPr>
      <w:r>
        <w:rPr>
          <w:rFonts w:hint="eastAsia" w:ascii="宋体" w:hAnsi="宋体" w:cs="宋体"/>
          <w:b/>
          <w:bCs/>
          <w:color w:val="auto"/>
          <w:sz w:val="24"/>
          <w:szCs w:val="24"/>
          <w:highlight w:val="none"/>
        </w:rPr>
        <w:t>注：</w:t>
      </w:r>
      <w:r>
        <w:rPr>
          <w:rFonts w:hint="eastAsia" w:ascii="宋体" w:hAnsi="宋体" w:cs="宋体"/>
          <w:b/>
          <w:bCs/>
          <w:color w:val="auto"/>
          <w:sz w:val="24"/>
          <w:szCs w:val="24"/>
          <w:highlight w:val="none"/>
          <w:lang w:val="en-US" w:eastAsia="zh-CN"/>
        </w:rPr>
        <w:t>以上要求提供的原件均应为有效的原件</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如</w:t>
      </w:r>
      <w:r>
        <w:rPr>
          <w:rFonts w:hint="eastAsia" w:ascii="宋体" w:hAnsi="宋体" w:cs="宋体"/>
          <w:b/>
          <w:bCs/>
          <w:color w:val="auto"/>
          <w:sz w:val="24"/>
          <w:szCs w:val="24"/>
          <w:highlight w:val="none"/>
          <w:lang w:val="en-US" w:eastAsia="zh-CN"/>
        </w:rPr>
        <w:t>要求提供</w:t>
      </w:r>
      <w:r>
        <w:rPr>
          <w:rFonts w:hint="eastAsia" w:ascii="宋体" w:hAnsi="宋体" w:cs="宋体"/>
          <w:b/>
          <w:bCs/>
          <w:color w:val="auto"/>
          <w:sz w:val="24"/>
          <w:szCs w:val="24"/>
          <w:highlight w:val="none"/>
        </w:rPr>
        <w:t>复印件</w:t>
      </w:r>
      <w:r>
        <w:rPr>
          <w:rFonts w:hint="eastAsia" w:ascii="宋体" w:hAnsi="宋体" w:cs="宋体"/>
          <w:b/>
          <w:bCs/>
          <w:color w:val="auto"/>
          <w:sz w:val="24"/>
          <w:szCs w:val="24"/>
          <w:highlight w:val="none"/>
          <w:lang w:val="en-US" w:eastAsia="zh-CN"/>
        </w:rPr>
        <w:t>的，</w:t>
      </w:r>
      <w:r>
        <w:rPr>
          <w:rFonts w:hint="eastAsia" w:ascii="宋体" w:hAnsi="宋体" w:cs="宋体"/>
          <w:b/>
          <w:bCs/>
          <w:color w:val="auto"/>
          <w:sz w:val="24"/>
          <w:szCs w:val="24"/>
          <w:highlight w:val="none"/>
        </w:rPr>
        <w:t>均</w:t>
      </w:r>
      <w:r>
        <w:rPr>
          <w:rFonts w:hint="eastAsia" w:ascii="宋体" w:hAnsi="宋体" w:cs="宋体"/>
          <w:b/>
          <w:bCs/>
          <w:color w:val="auto"/>
          <w:sz w:val="24"/>
          <w:szCs w:val="24"/>
          <w:highlight w:val="none"/>
          <w:lang w:val="en-US" w:eastAsia="zh-CN"/>
        </w:rPr>
        <w:t>应为有效的原件的复印件并</w:t>
      </w:r>
      <w:r>
        <w:rPr>
          <w:rFonts w:hint="eastAsia" w:ascii="宋体" w:hAnsi="宋体" w:cs="宋体"/>
          <w:b/>
          <w:bCs/>
          <w:color w:val="auto"/>
          <w:sz w:val="24"/>
          <w:szCs w:val="24"/>
          <w:highlight w:val="none"/>
        </w:rPr>
        <w:t>加盖单位公章</w:t>
      </w:r>
      <w:r>
        <w:rPr>
          <w:rFonts w:hint="eastAsia" w:ascii="宋体" w:hAnsi="宋体" w:cs="宋体"/>
          <w:b/>
          <w:bCs/>
          <w:color w:val="auto"/>
          <w:sz w:val="24"/>
          <w:szCs w:val="24"/>
          <w:highlight w:val="none"/>
          <w:lang w:eastAsia="zh-CN"/>
        </w:rPr>
        <w:t>。</w:t>
      </w:r>
    </w:p>
    <w:p>
      <w:pPr>
        <w:widowControl/>
        <w:adjustRightInd w:val="0"/>
        <w:snapToGrid w:val="0"/>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二、技术响应文件（单独密封）：</w:t>
      </w:r>
    </w:p>
    <w:p>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1、竞争性磋商响应函（格式附后）。</w:t>
      </w:r>
    </w:p>
    <w:p>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2、商务部分正负偏离表（格式附后）。</w:t>
      </w:r>
    </w:p>
    <w:p>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3、技术部分正负偏离表（格式附后）。</w:t>
      </w:r>
    </w:p>
    <w:p>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highlight w:val="none"/>
        </w:rPr>
        <w:t>4、根据评定方法及评定细则中的得分要点进行编制，并提供相应的材料。</w:t>
      </w:r>
    </w:p>
    <w:p>
      <w:pPr>
        <w:widowControl/>
        <w:adjustRightInd w:val="0"/>
        <w:snapToGrid w:val="0"/>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三、商务报价响应文件（单独密封）</w:t>
      </w:r>
    </w:p>
    <w:p>
      <w:pPr>
        <w:adjustRightInd w:val="0"/>
        <w:snapToGrid w:val="0"/>
        <w:spacing w:line="360" w:lineRule="auto"/>
        <w:ind w:firstLine="480" w:firstLineChars="200"/>
        <w:outlineLvl w:val="1"/>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1</w:t>
      </w:r>
      <w:r>
        <w:rPr>
          <w:rFonts w:hint="eastAsia" w:ascii="宋体" w:hAnsi="宋体" w:cs="宋体"/>
          <w:snapToGrid w:val="0"/>
          <w:color w:val="auto"/>
          <w:kern w:val="0"/>
          <w:sz w:val="24"/>
          <w:szCs w:val="24"/>
          <w:highlight w:val="none"/>
        </w:rPr>
        <w:t>、磋商响应报价总表（格式附后）；</w:t>
      </w:r>
    </w:p>
    <w:p>
      <w:pPr>
        <w:adjustRightInd w:val="0"/>
        <w:snapToGrid w:val="0"/>
        <w:spacing w:line="360" w:lineRule="auto"/>
        <w:ind w:firstLine="480" w:firstLineChars="2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2</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已标价工程量清单</w:t>
      </w:r>
      <w:r>
        <w:rPr>
          <w:rFonts w:hint="eastAsia" w:ascii="宋体" w:hAnsi="宋体" w:cs="宋体"/>
          <w:snapToGrid w:val="0"/>
          <w:color w:val="auto"/>
          <w:kern w:val="0"/>
          <w:sz w:val="24"/>
          <w:szCs w:val="24"/>
          <w:highlight w:val="none"/>
        </w:rPr>
        <w:t>；</w:t>
      </w:r>
    </w:p>
    <w:p>
      <w:pPr>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snapToGrid w:val="0"/>
          <w:color w:val="auto"/>
          <w:sz w:val="24"/>
          <w:szCs w:val="24"/>
          <w:highlight w:val="none"/>
        </w:rPr>
        <w:t>中小企业声明函或</w:t>
      </w:r>
      <w:r>
        <w:rPr>
          <w:rFonts w:hint="eastAsia" w:ascii="宋体" w:hAnsi="宋体" w:cs="宋体"/>
          <w:snapToGrid w:val="0"/>
          <w:color w:val="auto"/>
          <w:sz w:val="24"/>
          <w:szCs w:val="24"/>
          <w:highlight w:val="none"/>
          <w:lang w:val="zh-CN"/>
        </w:rPr>
        <w:t>残疾人福利性单位声明函</w:t>
      </w:r>
      <w:r>
        <w:rPr>
          <w:rFonts w:hint="eastAsia" w:ascii="宋体" w:hAnsi="宋体" w:cs="宋体"/>
          <w:snapToGrid w:val="0"/>
          <w:color w:val="auto"/>
          <w:sz w:val="24"/>
          <w:szCs w:val="24"/>
          <w:highlight w:val="none"/>
        </w:rPr>
        <w:t>或</w:t>
      </w:r>
      <w:r>
        <w:rPr>
          <w:rFonts w:hint="eastAsia" w:ascii="宋体" w:hAnsi="宋体" w:cs="宋体"/>
          <w:snapToGrid w:val="0"/>
          <w:color w:val="auto"/>
          <w:sz w:val="24"/>
          <w:szCs w:val="24"/>
          <w:highlight w:val="none"/>
          <w:lang w:val="zh-CN"/>
        </w:rPr>
        <w:t>监狱和戒毒企业证</w:t>
      </w:r>
      <w:r>
        <w:rPr>
          <w:rFonts w:hint="eastAsia" w:ascii="宋体" w:hAnsi="宋体" w:cs="宋体"/>
          <w:snapToGrid w:val="0"/>
          <w:color w:val="auto"/>
          <w:sz w:val="24"/>
          <w:szCs w:val="24"/>
          <w:highlight w:val="none"/>
        </w:rPr>
        <w:t>明材料（格式</w:t>
      </w:r>
      <w:r>
        <w:rPr>
          <w:rFonts w:hint="eastAsia" w:ascii="宋体" w:hAnsi="宋体" w:cs="宋体"/>
          <w:color w:val="auto"/>
          <w:sz w:val="24"/>
          <w:highlight w:val="none"/>
        </w:rPr>
        <w:t>附后，须加盖供应商公章，正本中必须为原件）。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p>
    <w:p>
      <w:pPr>
        <w:widowControl/>
        <w:snapToGrid w:val="0"/>
        <w:spacing w:line="360" w:lineRule="auto"/>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附件：</w:t>
      </w:r>
    </w:p>
    <w:p>
      <w:pPr>
        <w:snapToGrid w:val="0"/>
        <w:spacing w:line="520" w:lineRule="exact"/>
        <w:ind w:firstLine="562" w:firstLineChars="200"/>
        <w:jc w:val="center"/>
        <w:outlineLvl w:val="3"/>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1、法定代表人身份证明</w:t>
      </w:r>
    </w:p>
    <w:p>
      <w:pPr>
        <w:snapToGrid w:val="0"/>
        <w:spacing w:line="520" w:lineRule="exact"/>
        <w:jc w:val="center"/>
        <w:rPr>
          <w:rFonts w:hint="eastAsia" w:ascii="宋体" w:hAnsi="宋体" w:cs="宋体"/>
          <w:color w:val="auto"/>
          <w:sz w:val="24"/>
          <w:szCs w:val="24"/>
          <w:highlight w:val="none"/>
        </w:rPr>
      </w:pPr>
    </w:p>
    <w:p>
      <w:pPr>
        <w:snapToGrid w:val="0"/>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eastAsia="zh-CN"/>
        </w:rPr>
        <w:t>南通市中天房地产开发有限公司</w:t>
      </w:r>
      <w:r>
        <w:rPr>
          <w:rFonts w:hint="eastAsia" w:ascii="宋体" w:hAnsi="宋体" w:cs="宋体"/>
          <w:color w:val="auto"/>
          <w:sz w:val="24"/>
          <w:szCs w:val="24"/>
          <w:highlight w:val="none"/>
          <w:u w:val="single"/>
        </w:rPr>
        <w:t>：</w:t>
      </w:r>
    </w:p>
    <w:p>
      <w:pPr>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u w:val="single" w:color="000000"/>
        </w:rPr>
        <w:t>　　　　　</w:t>
      </w:r>
      <w:r>
        <w:rPr>
          <w:rFonts w:hint="eastAsia" w:ascii="宋体" w:hAnsi="宋体" w:cs="宋体"/>
          <w:color w:val="auto"/>
          <w:sz w:val="24"/>
          <w:highlight w:val="none"/>
        </w:rPr>
        <w:t>（先生／女士）现任我单位</w:t>
      </w:r>
      <w:r>
        <w:rPr>
          <w:rFonts w:hint="eastAsia" w:ascii="宋体" w:hAnsi="宋体" w:cs="宋体"/>
          <w:color w:val="auto"/>
          <w:sz w:val="24"/>
          <w:highlight w:val="none"/>
          <w:u w:val="single" w:color="000000"/>
        </w:rPr>
        <w:t>　　　　 　　　</w:t>
      </w:r>
      <w:r>
        <w:rPr>
          <w:rFonts w:hint="eastAsia" w:ascii="宋体" w:hAnsi="宋体" w:cs="宋体"/>
          <w:color w:val="auto"/>
          <w:sz w:val="24"/>
          <w:highlight w:val="none"/>
        </w:rPr>
        <w:t>职务，为法定代表人，特此证明。</w:t>
      </w:r>
    </w:p>
    <w:p>
      <w:pPr>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身份证号码：</w:t>
      </w:r>
    </w:p>
    <w:p>
      <w:pPr>
        <w:snapToGrid w:val="0"/>
        <w:spacing w:line="420" w:lineRule="exact"/>
        <w:ind w:firstLine="480" w:firstLineChars="200"/>
        <w:textAlignment w:val="baseline"/>
        <w:rPr>
          <w:rFonts w:hint="eastAsia" w:ascii="宋体" w:hAnsi="宋体" w:cs="宋体"/>
          <w:color w:val="auto"/>
          <w:sz w:val="24"/>
          <w:highlight w:val="none"/>
        </w:rPr>
      </w:pPr>
    </w:p>
    <w:p>
      <w:pPr>
        <w:snapToGrid w:val="0"/>
        <w:spacing w:line="420" w:lineRule="exact"/>
        <w:ind w:firstLine="480" w:firstLineChars="200"/>
        <w:textAlignment w:val="baseline"/>
        <w:rPr>
          <w:rFonts w:hint="eastAsia" w:ascii="宋体" w:hAnsi="宋体" w:cs="宋体"/>
          <w:color w:val="auto"/>
          <w:sz w:val="24"/>
          <w:highlight w:val="none"/>
          <w:u w:val="single"/>
        </w:rPr>
      </w:pPr>
    </w:p>
    <w:p>
      <w:pPr>
        <w:snapToGrid w:val="0"/>
        <w:spacing w:line="480" w:lineRule="auto"/>
        <w:ind w:right="79"/>
        <w:textAlignment w:val="baseline"/>
        <w:rPr>
          <w:rFonts w:hint="eastAsia" w:ascii="宋体" w:hAnsi="宋体" w:cs="宋体"/>
          <w:color w:val="auto"/>
          <w:sz w:val="24"/>
          <w:highlight w:val="none"/>
        </w:rPr>
      </w:pPr>
      <w:r>
        <w:rPr>
          <w:rFonts w:hint="eastAsia" w:ascii="宋体" w:hAnsi="宋体" w:cs="宋体"/>
          <w:color w:val="auto"/>
          <w:sz w:val="24"/>
          <w:highlight w:val="none"/>
        </w:rPr>
        <w:t>竞争性磋商响应供应商：（单位盖章）</w:t>
      </w:r>
    </w:p>
    <w:p>
      <w:pPr>
        <w:snapToGrid w:val="0"/>
        <w:spacing w:line="420" w:lineRule="exact"/>
        <w:ind w:right="960" w:firstLine="484" w:firstLineChars="202"/>
        <w:jc w:val="center"/>
        <w:textAlignment w:val="baseline"/>
        <w:rPr>
          <w:rFonts w:hint="eastAsia" w:ascii="宋体" w:hAnsi="宋体" w:cs="宋体"/>
          <w:color w:val="auto"/>
          <w:sz w:val="24"/>
          <w:highlight w:val="none"/>
        </w:rPr>
      </w:pPr>
      <w:r>
        <w:rPr>
          <w:rFonts w:hint="eastAsia" w:ascii="宋体" w:hAnsi="宋体" w:cs="宋体"/>
          <w:color w:val="auto"/>
          <w:sz w:val="24"/>
          <w:highlight w:val="none"/>
          <w:lang w:val="zh-CN"/>
        </w:rPr>
        <w:t>日期：年月日</w:t>
      </w:r>
    </w:p>
    <w:p>
      <w:pPr>
        <w:snapToGrid w:val="0"/>
        <w:spacing w:line="420" w:lineRule="exact"/>
        <w:ind w:firstLine="484" w:firstLineChars="202"/>
        <w:jc w:val="left"/>
        <w:textAlignment w:val="baseline"/>
        <w:rPr>
          <w:rFonts w:hint="eastAsia" w:ascii="宋体" w:hAnsi="宋体" w:cs="宋体"/>
          <w:color w:val="auto"/>
          <w:sz w:val="24"/>
          <w:highlight w:val="none"/>
        </w:rPr>
      </w:pPr>
    </w:p>
    <w:tbl>
      <w:tblPr>
        <w:tblStyle w:val="18"/>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pPr>
              <w:snapToGrid w:val="0"/>
              <w:spacing w:line="420" w:lineRule="exact"/>
              <w:ind w:firstLine="484" w:firstLineChars="202"/>
              <w:jc w:val="left"/>
              <w:textAlignment w:val="baseline"/>
              <w:rPr>
                <w:rFonts w:hint="eastAsia" w:ascii="宋体" w:hAnsi="宋体" w:cs="宋体"/>
                <w:color w:val="auto"/>
                <w:sz w:val="24"/>
                <w:highlight w:val="none"/>
              </w:rPr>
            </w:pPr>
          </w:p>
          <w:p>
            <w:pPr>
              <w:snapToGrid w:val="0"/>
              <w:spacing w:line="420" w:lineRule="exact"/>
              <w:ind w:firstLine="484" w:firstLineChars="202"/>
              <w:jc w:val="left"/>
              <w:textAlignment w:val="baseline"/>
              <w:rPr>
                <w:rFonts w:hint="eastAsia" w:ascii="宋体" w:hAnsi="宋体" w:cs="宋体"/>
                <w:color w:val="auto"/>
                <w:sz w:val="24"/>
                <w:highlight w:val="none"/>
              </w:rPr>
            </w:pPr>
          </w:p>
          <w:p>
            <w:pPr>
              <w:snapToGrid w:val="0"/>
              <w:spacing w:line="420" w:lineRule="exact"/>
              <w:jc w:val="center"/>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法定代表人身份证</w:t>
            </w:r>
            <w:r>
              <w:rPr>
                <w:rFonts w:hint="eastAsia" w:ascii="宋体" w:hAnsi="宋体" w:cs="宋体"/>
                <w:b/>
                <w:color w:val="auto"/>
                <w:sz w:val="24"/>
                <w:highlight w:val="none"/>
              </w:rPr>
              <w:t>（正、反面）</w:t>
            </w:r>
            <w:r>
              <w:rPr>
                <w:rFonts w:hint="eastAsia" w:ascii="宋体" w:hAnsi="宋体" w:cs="宋体"/>
                <w:b/>
                <w:bCs/>
                <w:color w:val="auto"/>
                <w:sz w:val="24"/>
                <w:highlight w:val="none"/>
              </w:rPr>
              <w:t>复印件</w:t>
            </w:r>
          </w:p>
          <w:p>
            <w:pPr>
              <w:snapToGrid w:val="0"/>
              <w:spacing w:line="420" w:lineRule="exact"/>
              <w:jc w:val="center"/>
              <w:textAlignment w:val="baseline"/>
              <w:rPr>
                <w:rFonts w:hint="eastAsia" w:ascii="宋体" w:hAnsi="宋体" w:cs="宋体"/>
                <w:b/>
                <w:bCs/>
                <w:color w:val="auto"/>
                <w:sz w:val="24"/>
                <w:highlight w:val="none"/>
              </w:rPr>
            </w:pPr>
          </w:p>
          <w:p>
            <w:pPr>
              <w:snapToGrid w:val="0"/>
              <w:spacing w:line="420" w:lineRule="exact"/>
              <w:jc w:val="center"/>
              <w:textAlignment w:val="baseline"/>
              <w:rPr>
                <w:rFonts w:hint="eastAsia" w:ascii="宋体" w:hAnsi="宋体" w:cs="宋体"/>
                <w:b/>
                <w:bCs/>
                <w:color w:val="auto"/>
                <w:sz w:val="24"/>
                <w:highlight w:val="none"/>
              </w:rPr>
            </w:pPr>
          </w:p>
          <w:p>
            <w:pPr>
              <w:snapToGrid w:val="0"/>
              <w:spacing w:line="420" w:lineRule="exact"/>
              <w:jc w:val="center"/>
              <w:textAlignment w:val="baseline"/>
              <w:rPr>
                <w:rFonts w:hint="eastAsia" w:ascii="宋体" w:hAnsi="宋体" w:cs="宋体"/>
                <w:b/>
                <w:bCs/>
                <w:color w:val="auto"/>
                <w:sz w:val="24"/>
                <w:highlight w:val="none"/>
              </w:rPr>
            </w:pPr>
          </w:p>
          <w:p>
            <w:pPr>
              <w:snapToGrid w:val="0"/>
              <w:spacing w:line="420" w:lineRule="exact"/>
              <w:jc w:val="center"/>
              <w:textAlignment w:val="baseline"/>
              <w:rPr>
                <w:rFonts w:hint="eastAsia" w:ascii="宋体" w:hAnsi="宋体" w:cs="宋体"/>
                <w:color w:val="auto"/>
                <w:sz w:val="24"/>
                <w:highlight w:val="none"/>
              </w:rPr>
            </w:pPr>
          </w:p>
        </w:tc>
      </w:tr>
    </w:tbl>
    <w:p>
      <w:pPr>
        <w:snapToGrid w:val="0"/>
        <w:spacing w:line="420" w:lineRule="exact"/>
        <w:jc w:val="center"/>
        <w:textAlignment w:val="baseline"/>
        <w:rPr>
          <w:rFonts w:hint="eastAsia" w:ascii="宋体" w:hAnsi="宋体" w:cs="宋体"/>
          <w:color w:val="auto"/>
          <w:sz w:val="24"/>
          <w:highlight w:val="none"/>
        </w:rPr>
      </w:pPr>
    </w:p>
    <w:p>
      <w:pPr>
        <w:snapToGrid w:val="0"/>
        <w:spacing w:line="420" w:lineRule="exact"/>
        <w:jc w:val="center"/>
        <w:textAlignment w:val="baseline"/>
        <w:rPr>
          <w:rFonts w:hint="eastAsia" w:ascii="宋体" w:hAnsi="宋体" w:cs="宋体"/>
          <w:color w:val="auto"/>
          <w:sz w:val="24"/>
          <w:highlight w:val="none"/>
        </w:rPr>
      </w:pPr>
    </w:p>
    <w:p>
      <w:pPr>
        <w:snapToGrid w:val="0"/>
        <w:spacing w:line="420" w:lineRule="exact"/>
        <w:jc w:val="center"/>
        <w:textAlignment w:val="baseline"/>
        <w:rPr>
          <w:rFonts w:hint="eastAsia" w:ascii="宋体" w:hAnsi="宋体" w:cs="宋体"/>
          <w:color w:val="auto"/>
          <w:sz w:val="24"/>
          <w:highlight w:val="none"/>
        </w:rPr>
      </w:pPr>
    </w:p>
    <w:p>
      <w:pPr>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注：如为法定代表人参加项目竞争性磋商响应，须将身份证原件带至竞争性磋商现场备查。</w:t>
      </w:r>
    </w:p>
    <w:p>
      <w:pPr>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如为委托代理人参加项目竞争性磋商响应，无须将法定代表人身份证原件带至竞争性磋商现场备查，仅需提供本证明。</w:t>
      </w:r>
    </w:p>
    <w:p>
      <w:pPr>
        <w:snapToGrid w:val="0"/>
        <w:spacing w:line="360" w:lineRule="auto"/>
        <w:ind w:firstLine="482" w:firstLineChars="200"/>
        <w:jc w:val="center"/>
        <w:textAlignment w:val="baseline"/>
        <w:rPr>
          <w:rFonts w:hint="eastAsia" w:ascii="宋体" w:hAnsi="宋体" w:cs="宋体"/>
          <w:b/>
          <w:color w:val="auto"/>
          <w:sz w:val="24"/>
          <w:szCs w:val="24"/>
          <w:highlight w:val="none"/>
        </w:rPr>
      </w:pPr>
      <w:r>
        <w:rPr>
          <w:rFonts w:hint="eastAsia" w:ascii="宋体" w:hAnsi="宋体" w:cs="宋体"/>
          <w:b/>
          <w:bCs/>
          <w:color w:val="auto"/>
          <w:sz w:val="24"/>
          <w:szCs w:val="24"/>
          <w:highlight w:val="none"/>
        </w:rPr>
        <w:br w:type="page"/>
      </w:r>
      <w:r>
        <w:rPr>
          <w:rFonts w:hint="eastAsia" w:ascii="宋体" w:hAnsi="宋体" w:cs="宋体"/>
          <w:b/>
          <w:bCs/>
          <w:color w:val="auto"/>
          <w:sz w:val="28"/>
          <w:szCs w:val="28"/>
          <w:highlight w:val="none"/>
        </w:rPr>
        <w:t>2、授权委托书</w:t>
      </w:r>
    </w:p>
    <w:p>
      <w:pPr>
        <w:snapToGrid w:val="0"/>
        <w:spacing w:line="520" w:lineRule="exac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（如委托代理人参加磋商，须出示此证明）</w:t>
      </w:r>
    </w:p>
    <w:p>
      <w:pPr>
        <w:adjustRightInd w:val="0"/>
        <w:snapToGrid w:val="0"/>
        <w:spacing w:line="360" w:lineRule="auto"/>
        <w:jc w:val="left"/>
        <w:rPr>
          <w:rFonts w:hint="eastAsia" w:ascii="宋体" w:hAnsi="宋体" w:cs="宋体"/>
          <w:color w:val="auto"/>
          <w:sz w:val="24"/>
          <w:highlight w:val="none"/>
          <w:u w:val="single"/>
        </w:rPr>
      </w:pP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（采购人）      ： </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en-US" w:eastAsia="zh-CN"/>
        </w:rPr>
        <w:t>委托代理人</w:t>
      </w:r>
      <w:r>
        <w:rPr>
          <w:rFonts w:hint="eastAsia" w:ascii="宋体" w:hAnsi="宋体" w:cs="宋体"/>
          <w:color w:val="auto"/>
          <w:sz w:val="24"/>
          <w:highlight w:val="none"/>
        </w:rPr>
        <w:t>的姓名）代表我公司参加</w:t>
      </w:r>
      <w:r>
        <w:rPr>
          <w:rFonts w:hint="eastAsia" w:ascii="宋体" w:hAnsi="宋体" w:cs="宋体"/>
          <w:color w:val="auto"/>
          <w:sz w:val="24"/>
          <w:highlight w:val="none"/>
          <w:u w:val="single"/>
        </w:rPr>
        <w:t xml:space="preserve">   （竞争性磋商项目名称及项目编号</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项目的采购活动，全权处理一切与该采购项目有关的事务。其在办理上述事宜过程中所签署的所有文件我公司均予以承认。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委托代理人</w:t>
      </w:r>
      <w:r>
        <w:rPr>
          <w:rFonts w:hint="eastAsia" w:ascii="宋体" w:hAnsi="宋体" w:cs="宋体"/>
          <w:color w:val="auto"/>
          <w:sz w:val="24"/>
          <w:highlight w:val="none"/>
        </w:rPr>
        <w:t>无转委托权，特此委托。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auto"/>
          <w:sz w:val="24"/>
          <w:highlight w:val="none"/>
        </w:rPr>
      </w:pP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附：</w:t>
      </w:r>
      <w:r>
        <w:rPr>
          <w:rFonts w:hint="eastAsia" w:ascii="宋体" w:hAnsi="宋体" w:cs="宋体"/>
          <w:color w:val="auto"/>
          <w:sz w:val="24"/>
          <w:highlight w:val="none"/>
          <w:lang w:val="en-US" w:eastAsia="zh-CN"/>
        </w:rPr>
        <w:t>委托代理人</w:t>
      </w:r>
      <w:r>
        <w:rPr>
          <w:rFonts w:hint="eastAsia" w:ascii="宋体" w:hAnsi="宋体" w:cs="宋体"/>
          <w:color w:val="auto"/>
          <w:sz w:val="24"/>
          <w:highlight w:val="none"/>
        </w:rPr>
        <w:t>情况：</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姓名：</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年龄：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手机：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传真：</w:t>
      </w:r>
      <w:r>
        <w:rPr>
          <w:rFonts w:hint="eastAsia" w:ascii="宋体" w:hAnsi="宋体" w:cs="宋体"/>
          <w:color w:val="auto"/>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cs="宋体"/>
          <w:color w:val="auto"/>
          <w:sz w:val="24"/>
          <w:highlight w:val="none"/>
        </w:rPr>
      </w:pP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单位名称（公章）             </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法定代表人（签字或盖章）</w:t>
      </w:r>
    </w:p>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宋体" w:hAnsi="宋体" w:cs="宋体"/>
          <w:bCs/>
          <w:color w:val="auto"/>
          <w:sz w:val="24"/>
          <w:szCs w:val="24"/>
          <w:highlight w:val="none"/>
        </w:rPr>
      </w:pPr>
      <w:r>
        <w:rPr>
          <w:rFonts w:hint="eastAsia" w:ascii="宋体" w:hAnsi="宋体" w:cs="宋体"/>
          <w:color w:val="auto"/>
          <w:sz w:val="24"/>
          <w:highlight w:val="none"/>
          <w:lang w:val="en-US" w:eastAsia="zh-CN"/>
        </w:rPr>
        <w:t xml:space="preserve">日期：     </w:t>
      </w:r>
      <w:r>
        <w:rPr>
          <w:rFonts w:hint="eastAsia" w:ascii="宋体" w:hAnsi="宋体" w:cs="宋体"/>
          <w:color w:val="auto"/>
          <w:sz w:val="24"/>
          <w:highlight w:val="none"/>
        </w:rPr>
        <w:t xml:space="preserve">年   月   日  </w:t>
      </w:r>
    </w:p>
    <w:p>
      <w:pPr>
        <w:snapToGrid w:val="0"/>
        <w:spacing w:line="360" w:lineRule="auto"/>
        <w:ind w:firstLine="972" w:firstLineChars="405"/>
        <w:rPr>
          <w:rFonts w:hint="eastAsia" w:ascii="宋体" w:hAnsi="宋体" w:cs="宋体"/>
          <w:color w:val="auto"/>
          <w:sz w:val="24"/>
          <w:szCs w:val="24"/>
          <w:highlight w:val="none"/>
        </w:rPr>
      </w:pPr>
    </w:p>
    <w:tbl>
      <w:tblPr>
        <w:tblStyle w:val="18"/>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pPr>
              <w:snapToGrid w:val="0"/>
              <w:spacing w:line="420" w:lineRule="exact"/>
              <w:ind w:firstLine="424" w:firstLineChars="202"/>
              <w:jc w:val="left"/>
              <w:rPr>
                <w:rFonts w:hint="eastAsia" w:ascii="宋体" w:hAnsi="宋体" w:cs="宋体"/>
                <w:color w:val="auto"/>
                <w:szCs w:val="22"/>
                <w:highlight w:val="none"/>
              </w:rPr>
            </w:pPr>
          </w:p>
          <w:p>
            <w:pPr>
              <w:snapToGrid w:val="0"/>
              <w:spacing w:line="420" w:lineRule="exact"/>
              <w:jc w:val="center"/>
              <w:rPr>
                <w:rFonts w:hint="eastAsia" w:ascii="宋体" w:hAnsi="宋体" w:cs="宋体"/>
                <w:b/>
                <w:bCs/>
                <w:color w:val="auto"/>
                <w:szCs w:val="22"/>
                <w:highlight w:val="none"/>
              </w:rPr>
            </w:pPr>
            <w:r>
              <w:rPr>
                <w:rFonts w:hint="eastAsia" w:ascii="宋体" w:hAnsi="宋体" w:cs="宋体"/>
                <w:b/>
                <w:bCs/>
                <w:color w:val="auto"/>
                <w:kern w:val="0"/>
                <w:sz w:val="24"/>
                <w:szCs w:val="24"/>
                <w:highlight w:val="none"/>
              </w:rPr>
              <w:t>委托代理人身份证（正、反面）复印件</w:t>
            </w:r>
          </w:p>
          <w:p>
            <w:pPr>
              <w:snapToGrid w:val="0"/>
              <w:spacing w:line="420" w:lineRule="exact"/>
              <w:jc w:val="center"/>
              <w:rPr>
                <w:rFonts w:hint="eastAsia" w:ascii="宋体" w:hAnsi="宋体" w:cs="宋体"/>
                <w:b/>
                <w:bCs/>
                <w:color w:val="auto"/>
                <w:szCs w:val="22"/>
                <w:highlight w:val="none"/>
              </w:rPr>
            </w:pPr>
          </w:p>
          <w:p>
            <w:pPr>
              <w:snapToGrid w:val="0"/>
              <w:spacing w:line="420" w:lineRule="exact"/>
              <w:jc w:val="center"/>
              <w:rPr>
                <w:rFonts w:hint="eastAsia" w:ascii="宋体" w:hAnsi="宋体" w:cs="宋体"/>
                <w:b/>
                <w:bCs/>
                <w:color w:val="auto"/>
                <w:szCs w:val="22"/>
                <w:highlight w:val="none"/>
              </w:rPr>
            </w:pPr>
          </w:p>
          <w:p>
            <w:pPr>
              <w:snapToGrid w:val="0"/>
              <w:spacing w:line="420" w:lineRule="exact"/>
              <w:jc w:val="center"/>
              <w:rPr>
                <w:rFonts w:hint="eastAsia" w:ascii="宋体" w:hAnsi="宋体" w:cs="宋体"/>
                <w:color w:val="auto"/>
                <w:szCs w:val="22"/>
                <w:highlight w:val="none"/>
              </w:rPr>
            </w:pPr>
          </w:p>
          <w:p>
            <w:pPr>
              <w:snapToGrid w:val="0"/>
              <w:spacing w:line="420" w:lineRule="exact"/>
              <w:jc w:val="center"/>
              <w:rPr>
                <w:rFonts w:hint="eastAsia" w:ascii="宋体" w:hAnsi="宋体" w:cs="宋体"/>
                <w:color w:val="auto"/>
                <w:szCs w:val="22"/>
                <w:highlight w:val="none"/>
              </w:rPr>
            </w:pPr>
          </w:p>
        </w:tc>
      </w:tr>
    </w:tbl>
    <w:p>
      <w:pPr>
        <w:snapToGrid w:val="0"/>
        <w:spacing w:line="420" w:lineRule="exact"/>
        <w:jc w:val="center"/>
        <w:rPr>
          <w:rFonts w:hint="eastAsia" w:ascii="宋体" w:hAnsi="宋体" w:cs="宋体"/>
          <w:color w:val="auto"/>
          <w:highlight w:val="none"/>
        </w:rPr>
      </w:pPr>
    </w:p>
    <w:p>
      <w:pPr>
        <w:snapToGrid w:val="0"/>
        <w:spacing w:line="420" w:lineRule="exact"/>
        <w:ind w:firstLine="480" w:firstLineChars="200"/>
        <w:rPr>
          <w:rFonts w:hint="eastAsia" w:ascii="宋体" w:hAnsi="宋体" w:eastAsia="宋体" w:cs="宋体"/>
          <w:color w:val="auto"/>
          <w:sz w:val="24"/>
          <w:szCs w:val="24"/>
          <w:highlight w:val="none"/>
        </w:rPr>
        <w:sectPr>
          <w:pgSz w:w="11906" w:h="16838"/>
          <w:pgMar w:top="1440" w:right="1587" w:bottom="1440" w:left="1587" w:header="851" w:footer="737" w:gutter="0"/>
          <w:cols w:space="425" w:num="1"/>
          <w:docGrid w:type="lines" w:linePitch="312" w:charSpace="0"/>
        </w:sectPr>
      </w:pPr>
      <w:r>
        <w:rPr>
          <w:rFonts w:hint="eastAsia" w:ascii="宋体" w:hAnsi="宋体" w:cs="宋体"/>
          <w:color w:val="auto"/>
          <w:sz w:val="24"/>
          <w:szCs w:val="24"/>
          <w:highlight w:val="none"/>
        </w:rPr>
        <w:t>注：如为委托代理人参加项目竞争性磋商响应，须将身份证原件带至竞争性磋商现场备查。</w:t>
      </w:r>
    </w:p>
    <w:p>
      <w:pPr>
        <w:adjustRightInd w:val="0"/>
        <w:snapToGrid w:val="0"/>
        <w:spacing w:line="48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3、无在建工程承诺书</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南通市中天房地产开发有限公司</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我方已认真阅读了本项目的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文件，现就本次</w:t>
      </w:r>
      <w:r>
        <w:rPr>
          <w:rFonts w:hint="eastAsia" w:ascii="宋体" w:hAnsi="宋体" w:eastAsia="宋体" w:cs="宋体"/>
          <w:color w:val="auto"/>
          <w:sz w:val="24"/>
          <w:szCs w:val="24"/>
          <w:highlight w:val="none"/>
          <w:lang w:val="en-US" w:eastAsia="zh-CN"/>
        </w:rPr>
        <w:t>采购活动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rPr>
        <w:t>如下承诺：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1、我方拟派项目负责人：</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无在建工程，如果我方经</w:t>
      </w:r>
      <w:r>
        <w:rPr>
          <w:rFonts w:hint="eastAsia" w:ascii="宋体" w:hAnsi="宋体" w:eastAsia="宋体" w:cs="宋体"/>
          <w:color w:val="auto"/>
          <w:sz w:val="24"/>
          <w:szCs w:val="24"/>
          <w:highlight w:val="none"/>
          <w:lang w:val="en-US" w:eastAsia="zh-CN"/>
        </w:rPr>
        <w:t>采购人（评审小组）确定</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经</w:t>
      </w:r>
      <w:r>
        <w:rPr>
          <w:rFonts w:hint="eastAsia" w:ascii="宋体" w:hAnsi="宋体" w:eastAsia="宋体" w:cs="宋体"/>
          <w:color w:val="auto"/>
          <w:sz w:val="24"/>
          <w:szCs w:val="24"/>
          <w:highlight w:val="none"/>
        </w:rPr>
        <w:t>被他人举报并经核实，确认拟派项目负责人有在建工程，且不符合江苏省建设厅“苏建规字(2017) 1号”《省住房和城乡建设厅关于改革和完善房屋建筑和市政基础设施工程招标投标制度的实施意见》附件二《江苏省房屋建筑和市政基础设施工程施工招标资格审查办法》第十条第五款的规定，你方即可取消我方</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人资格。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.我方承诺在本次</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过程中无弄虚作假和串通投标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等违法、违规行为，并愿意承担因弄虚作假和串通投标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所引起的一切法律责任。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.我方承诺不向</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人或</w:t>
      </w:r>
      <w:r>
        <w:rPr>
          <w:rFonts w:hint="eastAsia" w:ascii="宋体" w:hAnsi="宋体" w:eastAsia="宋体" w:cs="宋体"/>
          <w:color w:val="auto"/>
          <w:sz w:val="24"/>
          <w:szCs w:val="24"/>
          <w:highlight w:val="none"/>
          <w:lang w:val="en-US" w:eastAsia="zh-CN"/>
        </w:rPr>
        <w:t>评审小组</w:t>
      </w:r>
      <w:r>
        <w:rPr>
          <w:rFonts w:hint="eastAsia" w:ascii="宋体" w:hAnsi="宋体" w:eastAsia="宋体" w:cs="宋体"/>
          <w:color w:val="auto"/>
          <w:sz w:val="24"/>
          <w:szCs w:val="24"/>
          <w:highlight w:val="none"/>
        </w:rPr>
        <w:t>成员或相关人员行贿，以牟取中标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.我方承诺不存在围标串标、借资质挂靠、恶意竞标等违法违规行为。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.如我方</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(1)我方承诺在收到</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通知书后，在</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文件规定的期限内与你方签订合同。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(2)我方承诺按照</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文件规定向你方递交履约担保。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我方若违反上述承诺内容，自愿接受取消</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资格、并作为不良行为记入本单位信用档案(公示)，受相关部门调查处理。</w:t>
      </w:r>
    </w:p>
    <w:p>
      <w:pPr>
        <w:keepNext w:val="0"/>
        <w:keepLines w:val="0"/>
        <w:pageBreakBefore w:val="0"/>
        <w:widowControl w:val="0"/>
        <w:tabs>
          <w:tab w:val="left" w:pos="2410"/>
        </w:tabs>
        <w:kinsoku/>
        <w:wordWrap/>
        <w:overflowPunct/>
        <w:topLinePunct w:val="0"/>
        <w:autoSpaceDE/>
        <w:autoSpaceDN/>
        <w:bidi w:val="0"/>
        <w:adjustRightInd/>
        <w:snapToGrid/>
        <w:spacing w:line="360" w:lineRule="auto"/>
        <w:ind w:right="0" w:rightChars="0" w:firstLine="3720" w:firstLineChars="155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tabs>
          <w:tab w:val="left" w:pos="2410"/>
        </w:tabs>
        <w:kinsoku/>
        <w:wordWrap/>
        <w:overflowPunct/>
        <w:topLinePunct w:val="0"/>
        <w:autoSpaceDE/>
        <w:autoSpaceDN/>
        <w:bidi w:val="0"/>
        <w:adjustRightInd/>
        <w:snapToGrid/>
        <w:spacing w:line="360" w:lineRule="auto"/>
        <w:ind w:right="0" w:rightChars="0" w:firstLine="3720" w:firstLineChars="15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tabs>
          <w:tab w:val="left" w:pos="2410"/>
          <w:tab w:val="left" w:pos="4320"/>
        </w:tabs>
        <w:kinsoku/>
        <w:wordWrap/>
        <w:overflowPunct/>
        <w:topLinePunct w:val="0"/>
        <w:autoSpaceDE/>
        <w:autoSpaceDN/>
        <w:bidi w:val="0"/>
        <w:adjustRightInd/>
        <w:snapToGrid/>
        <w:spacing w:line="360" w:lineRule="auto"/>
        <w:ind w:right="0" w:rightChars="0" w:firstLine="3720" w:firstLineChars="15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560" w:lineRule="exact"/>
        <w:ind w:firstLine="480" w:firstLineChars="200"/>
        <w:rPr>
          <w:rFonts w:hint="eastAsia" w:ascii="宋体" w:hAnsi="宋体" w:eastAsia="宋体" w:cs="宋体"/>
          <w:color w:val="auto"/>
          <w:sz w:val="24"/>
          <w:szCs w:val="24"/>
          <w:highlight w:val="none"/>
        </w:rPr>
      </w:pPr>
    </w:p>
    <w:p>
      <w:pPr>
        <w:tabs>
          <w:tab w:val="left" w:pos="3585"/>
        </w:tabs>
        <w:spacing w:line="500" w:lineRule="exact"/>
        <w:rPr>
          <w:rFonts w:hint="eastAsia" w:ascii="宋体" w:hAnsi="宋体" w:eastAsia="宋体" w:cs="宋体"/>
          <w:snapToGrid w:val="0"/>
          <w:color w:val="auto"/>
          <w:kern w:val="0"/>
          <w:sz w:val="28"/>
          <w:szCs w:val="28"/>
          <w:highlight w:val="none"/>
        </w:rPr>
      </w:pPr>
    </w:p>
    <w:p>
      <w:pPr>
        <w:widowControl/>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p>
      <w:pPr>
        <w:spacing w:line="360" w:lineRule="auto"/>
        <w:jc w:val="center"/>
        <w:rPr>
          <w:rFonts w:hint="eastAsia" w:ascii="宋体" w:hAnsi="宋体" w:eastAsia="宋体" w:cs="宋体"/>
          <w:b/>
          <w:bCs/>
          <w:color w:val="auto"/>
          <w:sz w:val="28"/>
          <w:szCs w:val="28"/>
          <w:highlight w:val="none"/>
        </w:rPr>
        <w:sectPr>
          <w:pgSz w:w="11906" w:h="16838"/>
          <w:pgMar w:top="1440" w:right="1587" w:bottom="1440" w:left="1587" w:header="851" w:footer="992" w:gutter="0"/>
          <w:cols w:space="425" w:num="1"/>
          <w:docGrid w:type="lines" w:linePitch="312" w:charSpace="0"/>
        </w:sectPr>
      </w:pPr>
    </w:p>
    <w:p>
      <w:pPr>
        <w:adjustRightInd w:val="0"/>
        <w:snapToGrid w:val="0"/>
        <w:spacing w:line="48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28"/>
          <w:szCs w:val="28"/>
          <w:highlight w:val="none"/>
        </w:rPr>
        <w:t>4、符合条件的声明函</w:t>
      </w:r>
    </w:p>
    <w:p>
      <w:pPr>
        <w:spacing w:line="5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我单位参加磋商响应活动。针对竞争性磋商文件规定做出如下声明：</w:t>
      </w:r>
    </w:p>
    <w:p>
      <w:pPr>
        <w:numPr>
          <w:ilvl w:val="0"/>
          <w:numId w:val="13"/>
        </w:numPr>
        <w:spacing w:line="520" w:lineRule="exact"/>
        <w:ind w:firstLine="482"/>
        <w:rPr>
          <w:rFonts w:hint="eastAsia" w:ascii="宋体" w:hAnsi="宋体" w:eastAsia="宋体" w:cs="宋体"/>
          <w:color w:val="auto"/>
          <w:sz w:val="24"/>
          <w:highlight w:val="none"/>
        </w:rPr>
      </w:pPr>
      <w:r>
        <w:rPr>
          <w:rFonts w:hint="eastAsia" w:ascii="宋体" w:hAnsi="宋体" w:eastAsia="宋体" w:cs="宋体"/>
          <w:bCs/>
          <w:color w:val="auto"/>
          <w:sz w:val="24"/>
          <w:highlight w:val="none"/>
        </w:rPr>
        <w:t>我单位具有独立承担民事责任的能力；</w:t>
      </w:r>
    </w:p>
    <w:p>
      <w:pPr>
        <w:numPr>
          <w:ilvl w:val="0"/>
          <w:numId w:val="13"/>
        </w:num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我单位具有良好的商业信誉和健全的财务会计制度；</w:t>
      </w:r>
    </w:p>
    <w:p>
      <w:pPr>
        <w:numPr>
          <w:ilvl w:val="0"/>
          <w:numId w:val="13"/>
        </w:num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我单位具有履行合同所必需的设备和专业技术能力；</w:t>
      </w:r>
    </w:p>
    <w:p>
      <w:pPr>
        <w:numPr>
          <w:ilvl w:val="0"/>
          <w:numId w:val="13"/>
        </w:num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我单位有依法缴纳税收和社会保障资金的良好记录；</w:t>
      </w:r>
    </w:p>
    <w:p>
      <w:pPr>
        <w:numPr>
          <w:ilvl w:val="0"/>
          <w:numId w:val="13"/>
        </w:num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我单位参加本次采购活动前三年内，在经营活动中没有重大违法记录。</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①供应商在参加本次采购活动前三年内因违法经营被禁止在一定期限内参加采购活动，期限届满的，可以参加本次采购活动。②“较大数额罚款”认定为200万元以上的罚款，法律、行政法规以及国务院有关部门明确规定相关领域“较大数额罚款”标准高于200万元的，从其规定。</w:t>
      </w:r>
    </w:p>
    <w:p>
      <w:pPr>
        <w:snapToGrid w:val="0"/>
        <w:spacing w:line="520" w:lineRule="exact"/>
        <w:ind w:firstLine="480" w:firstLineChars="200"/>
        <w:jc w:val="left"/>
        <w:outlineLvl w:val="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w:t>
      </w:r>
      <w:r>
        <w:rPr>
          <w:rFonts w:hint="eastAsia" w:ascii="宋体" w:hAnsi="宋体" w:eastAsia="宋体" w:cs="宋体"/>
          <w:color w:val="auto"/>
          <w:sz w:val="24"/>
          <w:highlight w:val="none"/>
        </w:rPr>
        <w:t>未被“信用中国”网站（www.creditchina.gov.cn）、“中国政府采购网”（www.ccgp.gov.cn）列入失信被执行人、重大税收违法案件当事人名单、政府采购严重违法失信行为记录名单；</w:t>
      </w:r>
    </w:p>
    <w:p>
      <w:pPr>
        <w:snapToGrid w:val="0"/>
        <w:spacing w:line="520" w:lineRule="exact"/>
        <w:ind w:firstLine="480" w:firstLineChars="200"/>
        <w:jc w:val="left"/>
        <w:outlineLvl w:val="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7、我单位满足法律、行政法规规定的其他条件。</w:t>
      </w:r>
    </w:p>
    <w:p>
      <w:pPr>
        <w:spacing w:line="500" w:lineRule="exact"/>
        <w:ind w:firstLine="482"/>
        <w:rPr>
          <w:rFonts w:hint="eastAsia" w:ascii="宋体" w:hAnsi="宋体" w:eastAsia="宋体" w:cs="宋体"/>
          <w:color w:val="auto"/>
          <w:sz w:val="24"/>
          <w:highlight w:val="none"/>
        </w:rPr>
      </w:pPr>
    </w:p>
    <w:p>
      <w:pPr>
        <w:tabs>
          <w:tab w:val="left" w:pos="840"/>
          <w:tab w:val="right" w:leader="dot" w:pos="9402"/>
        </w:tabs>
        <w:adjustRightInd w:val="0"/>
        <w:snapToGrid w:val="0"/>
        <w:spacing w:line="360" w:lineRule="auto"/>
        <w:jc w:val="left"/>
        <w:rPr>
          <w:rFonts w:hint="eastAsia" w:ascii="宋体" w:hAnsi="宋体" w:eastAsia="宋体" w:cs="宋体"/>
          <w:caps/>
          <w:color w:val="auto"/>
          <w:w w:val="80"/>
          <w:sz w:val="24"/>
          <w:highlight w:val="none"/>
        </w:rPr>
      </w:pPr>
    </w:p>
    <w:p>
      <w:pPr>
        <w:rPr>
          <w:rFonts w:hint="eastAsia" w:ascii="宋体" w:hAnsi="宋体" w:eastAsia="宋体" w:cs="宋体"/>
          <w:color w:val="auto"/>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：（公章）</w:t>
      </w:r>
    </w:p>
    <w:p>
      <w:pPr>
        <w:snapToGrid w:val="0"/>
        <w:spacing w:line="520" w:lineRule="exact"/>
        <w:jc w:val="both"/>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widowControl/>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napToGrid w:val="0"/>
        <w:spacing w:line="520" w:lineRule="exact"/>
        <w:ind w:firstLine="562" w:firstLineChars="200"/>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5、中小企业声明函（格式）</w:t>
      </w:r>
    </w:p>
    <w:p>
      <w:pPr>
        <w:spacing w:before="312" w:beforeLines="10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w:t>
      </w: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《政府采购促进中小企业发展管理办法》（财库﹝2020﹞46 号）的规定，本公司参加</w:t>
      </w:r>
      <w:r>
        <w:rPr>
          <w:rFonts w:hint="eastAsia" w:ascii="宋体" w:hAnsi="宋体" w:eastAsia="宋体" w:cs="宋体"/>
          <w:color w:val="auto"/>
          <w:sz w:val="24"/>
          <w:szCs w:val="24"/>
          <w:highlight w:val="none"/>
          <w:u w:val="single"/>
          <w:lang w:eastAsia="zh-CN"/>
        </w:rPr>
        <w:t>南通市中天房地产开发有限公司</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南通市新城小区66号附2号楼加装电梯及配套设施施工项目</w:t>
      </w:r>
      <w:r>
        <w:rPr>
          <w:rFonts w:hint="eastAsia" w:ascii="宋体" w:hAnsi="宋体" w:eastAsia="宋体" w:cs="宋体"/>
          <w:color w:val="auto"/>
          <w:sz w:val="24"/>
          <w:szCs w:val="24"/>
          <w:highlight w:val="none"/>
        </w:rPr>
        <w:t xml:space="preserve">采购活动，工程的施工单位为符合政策要求的中小企业。相关企业（含联合体中的中小企业、签订分包意向协议的中小企业）的具体情况如下： </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南通市新城小区66号附2号楼加装电梯及配套设施施工项目</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（采购文件中明确的所属行业）</w:t>
      </w:r>
      <w:r>
        <w:rPr>
          <w:rFonts w:hint="eastAsia" w:ascii="宋体" w:hAnsi="宋体" w:eastAsia="宋体" w:cs="宋体"/>
          <w:color w:val="auto"/>
          <w:sz w:val="24"/>
          <w:szCs w:val="24"/>
          <w:highlight w:val="none"/>
        </w:rPr>
        <w:t>；承</w:t>
      </w:r>
      <w:r>
        <w:rPr>
          <w:rFonts w:hint="eastAsia" w:ascii="宋体" w:hAnsi="宋体" w:eastAsia="宋体" w:cs="宋体"/>
          <w:color w:val="auto"/>
          <w:sz w:val="24"/>
          <w:szCs w:val="24"/>
          <w:highlight w:val="none"/>
          <w:lang w:val="en-US" w:eastAsia="zh-CN"/>
        </w:rPr>
        <w:t>建</w:t>
      </w:r>
      <w:r>
        <w:rPr>
          <w:rFonts w:hint="eastAsia" w:ascii="宋体" w:hAnsi="宋体" w:eastAsia="宋体" w:cs="宋体"/>
          <w:color w:val="auto"/>
          <w:sz w:val="24"/>
          <w:szCs w:val="24"/>
          <w:highlight w:val="none"/>
        </w:rPr>
        <w:t>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 xml:space="preserve"> 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 </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本企业对上述声明内容的真实性负责。如有虚假，将依法承担相应责任。 </w:t>
      </w:r>
    </w:p>
    <w:p>
      <w:pPr>
        <w:kinsoku w:val="0"/>
        <w:topLinePunct/>
        <w:snapToGrid w:val="0"/>
        <w:spacing w:line="500" w:lineRule="exact"/>
        <w:ind w:firstLine="4080" w:firstLineChars="17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竞争性磋商响应单位：（盖章）</w:t>
      </w:r>
    </w:p>
    <w:p>
      <w:pPr>
        <w:kinsoku w:val="0"/>
        <w:topLinePunct/>
        <w:snapToGrid w:val="0"/>
        <w:spacing w:line="500" w:lineRule="exact"/>
        <w:ind w:firstLine="4080" w:firstLineChars="17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法定代表人或委托代理人（签字或盖章）：</w:t>
      </w:r>
    </w:p>
    <w:p>
      <w:pPr>
        <w:kinsoku w:val="0"/>
        <w:topLinePunct/>
        <w:snapToGrid w:val="0"/>
        <w:spacing w:line="500" w:lineRule="exact"/>
        <w:ind w:firstLine="4080" w:firstLineChars="17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日</w:t>
      </w:r>
    </w:p>
    <w:p>
      <w:pPr>
        <w:snapToGrid w:val="0"/>
        <w:ind w:firstLine="420" w:firstLineChars="200"/>
        <w:textAlignment w:val="baseline"/>
        <w:rPr>
          <w:rFonts w:hint="eastAsia" w:ascii="宋体" w:hAnsi="宋体" w:eastAsia="宋体" w:cs="宋体"/>
          <w:color w:val="auto"/>
          <w:highlight w:val="none"/>
        </w:rPr>
      </w:pPr>
      <w:bookmarkStart w:id="205" w:name="_Hlk67609383"/>
    </w:p>
    <w:p>
      <w:pPr>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注：（1）</w:t>
      </w:r>
      <w:bookmarkStart w:id="206" w:name="_Hlk67486828"/>
      <w:r>
        <w:rPr>
          <w:rFonts w:hint="eastAsia" w:ascii="宋体" w:hAnsi="宋体" w:eastAsia="宋体" w:cs="宋体"/>
          <w:color w:val="auto"/>
          <w:highlight w:val="none"/>
        </w:rPr>
        <w:t>参照《政府采购促进中小企业发展管理办法》（财库﹝2020﹞46 号）的第四条，本次采购的 工程 项目，其响应供应商提供的 工程 符合：工信部联企业〔2011〕300号《关于印发中小企业划型标准规定的通知》中的中小企业“建筑业”类的划型标准规定的，将享受中小企业扶持政策。“建筑业”类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kinsoku/>
        <w:wordWrap/>
        <w:overflowPunct/>
        <w:topLinePunct w:val="0"/>
        <w:autoSpaceDE/>
        <w:autoSpaceDN/>
        <w:bidi w:val="0"/>
        <w:adjustRightInd/>
        <w:snapToGrid w:val="0"/>
        <w:spacing w:line="336" w:lineRule="auto"/>
        <w:ind w:firstLine="210" w:firstLineChars="1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本项目享受中小企业扶持政策的响应供应商一旦成交，因提供“中小企业声明函”的行为引发争议和影响本项目采购执行效率，应当按本项目采购单位或采购代理机构的通知，在2个工作日内提供供应商注册登记所在地的县级以上人民政府中小企业主管部门认定是小型、微型企业的证明原件，用以核对，逾期未提供的则视作提供的 “中小企业声明函”内容不实。</w:t>
      </w:r>
    </w:p>
    <w:p>
      <w:pPr>
        <w:keepNext w:val="0"/>
        <w:keepLines w:val="0"/>
        <w:pageBreakBefore w:val="0"/>
        <w:widowControl w:val="0"/>
        <w:kinsoku/>
        <w:wordWrap/>
        <w:overflowPunct/>
        <w:topLinePunct w:val="0"/>
        <w:autoSpaceDE/>
        <w:autoSpaceDN/>
        <w:bidi w:val="0"/>
        <w:adjustRightInd/>
        <w:snapToGrid w:val="0"/>
        <w:spacing w:line="336" w:lineRule="auto"/>
        <w:ind w:firstLine="210" w:firstLineChars="1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（3）若响应供应商</w:t>
      </w:r>
      <w:bookmarkStart w:id="207" w:name="_Hlk67172184"/>
      <w:r>
        <w:rPr>
          <w:rFonts w:hint="eastAsia" w:ascii="宋体" w:hAnsi="宋体" w:eastAsia="宋体" w:cs="宋体"/>
          <w:color w:val="auto"/>
          <w:highlight w:val="none"/>
        </w:rPr>
        <w:t>提供的 “中小企业声明函”内容不实</w:t>
      </w:r>
      <w:bookmarkEnd w:id="207"/>
      <w:r>
        <w:rPr>
          <w:rFonts w:hint="eastAsia" w:ascii="宋体" w:hAnsi="宋体" w:eastAsia="宋体" w:cs="宋体"/>
          <w:color w:val="auto"/>
          <w:highlight w:val="none"/>
        </w:rPr>
        <w:t>的，属于提供虚假材料谋取成交；响应供应商的该行为将报请采购监管的财政部门按《中华人民共和国政府采购法》第七十七条的规定处理并给予行政处罚。</w:t>
      </w:r>
      <w:bookmarkEnd w:id="205"/>
      <w:bookmarkEnd w:id="206"/>
    </w:p>
    <w:p>
      <w:pPr>
        <w:keepNext w:val="0"/>
        <w:keepLines w:val="0"/>
        <w:pageBreakBefore w:val="0"/>
        <w:widowControl w:val="0"/>
        <w:kinsoku/>
        <w:wordWrap/>
        <w:overflowPunct/>
        <w:topLinePunct w:val="0"/>
        <w:autoSpaceDE/>
        <w:autoSpaceDN/>
        <w:bidi w:val="0"/>
        <w:adjustRightInd/>
        <w:snapToGrid w:val="0"/>
        <w:spacing w:line="336" w:lineRule="auto"/>
        <w:ind w:firstLine="210" w:firstLineChars="1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（4）从业人员、营业收入、资产总额填报上一年度数据，无上一年度数据的新成立企业可不填报。</w:t>
      </w:r>
    </w:p>
    <w:p>
      <w:pPr>
        <w:snapToGrid w:val="0"/>
        <w:ind w:firstLine="281" w:firstLineChars="100"/>
        <w:textAlignment w:val="baseline"/>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br w:type="page"/>
      </w:r>
    </w:p>
    <w:p>
      <w:pPr>
        <w:autoSpaceDE w:val="0"/>
        <w:autoSpaceDN w:val="0"/>
        <w:spacing w:before="162"/>
        <w:jc w:val="center"/>
        <w:outlineLvl w:val="0"/>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8"/>
          <w:szCs w:val="28"/>
          <w:highlight w:val="none"/>
        </w:rPr>
        <w:t>6、残疾人福利性单位声明函</w:t>
      </w:r>
    </w:p>
    <w:p>
      <w:pPr>
        <w:spacing w:line="588" w:lineRule="exact"/>
        <w:ind w:firstLine="480" w:firstLineChars="200"/>
        <w:rPr>
          <w:rFonts w:hint="eastAsia" w:ascii="宋体" w:hAnsi="宋体" w:eastAsia="宋体" w:cs="宋体"/>
          <w:color w:val="auto"/>
          <w:sz w:val="24"/>
          <w:szCs w:val="24"/>
          <w:highlight w:val="none"/>
        </w:rPr>
      </w:pPr>
    </w:p>
    <w:p>
      <w:pPr>
        <w:spacing w:line="588"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中国残疾人联合会关于促进残疾人就业政府采购政策的通知》（财库〔2017〕141号）的规定，本单位为符合条件的残疾人福利性单位，且本单位参加单位的项目编号为</w:t>
      </w:r>
      <w:r>
        <w:rPr>
          <w:rFonts w:hint="eastAsia" w:ascii="宋体" w:hAnsi="宋体" w:eastAsia="宋体" w:cs="宋体"/>
          <w:color w:val="auto"/>
          <w:sz w:val="24"/>
          <w:szCs w:val="24"/>
          <w:highlight w:val="none"/>
          <w:u w:val="single"/>
          <w:lang w:val="en-US" w:eastAsia="zh-CN"/>
        </w:rPr>
        <w:t xml:space="preserve">  HSNT202411  </w:t>
      </w:r>
      <w:r>
        <w:rPr>
          <w:rFonts w:hint="eastAsia" w:ascii="宋体" w:hAnsi="宋体" w:eastAsia="宋体" w:cs="宋体"/>
          <w:color w:val="auto"/>
          <w:sz w:val="24"/>
          <w:szCs w:val="24"/>
          <w:highlight w:val="none"/>
        </w:rPr>
        <w:t>的项目采购活动由本单位承担工程。</w:t>
      </w:r>
    </w:p>
    <w:p>
      <w:pPr>
        <w:spacing w:line="588"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588" w:lineRule="exact"/>
        <w:ind w:firstLine="480" w:firstLineChars="200"/>
        <w:rPr>
          <w:rFonts w:hint="eastAsia" w:ascii="宋体" w:hAnsi="宋体" w:eastAsia="宋体" w:cs="宋体"/>
          <w:color w:val="auto"/>
          <w:sz w:val="24"/>
          <w:szCs w:val="24"/>
          <w:highlight w:val="none"/>
        </w:rPr>
      </w:pPr>
    </w:p>
    <w:p>
      <w:pPr>
        <w:spacing w:line="588" w:lineRule="exact"/>
        <w:ind w:firstLine="504" w:firstLineChars="200"/>
        <w:rPr>
          <w:rFonts w:hint="eastAsia" w:ascii="宋体" w:hAnsi="宋体" w:eastAsia="宋体" w:cs="宋体"/>
          <w:color w:val="auto"/>
          <w:spacing w:val="6"/>
          <w:sz w:val="24"/>
          <w:szCs w:val="24"/>
          <w:highlight w:val="none"/>
        </w:rPr>
      </w:pPr>
    </w:p>
    <w:p>
      <w:pPr>
        <w:spacing w:line="588" w:lineRule="exact"/>
        <w:ind w:firstLine="504" w:firstLineChars="200"/>
        <w:rPr>
          <w:rFonts w:hint="eastAsia" w:ascii="宋体" w:hAnsi="宋体" w:eastAsia="宋体" w:cs="宋体"/>
          <w:color w:val="auto"/>
          <w:spacing w:val="6"/>
          <w:sz w:val="24"/>
          <w:szCs w:val="24"/>
          <w:highlight w:val="none"/>
        </w:rPr>
      </w:pPr>
    </w:p>
    <w:p>
      <w:pPr>
        <w:spacing w:line="588" w:lineRule="exact"/>
        <w:ind w:firstLine="504" w:firstLineChars="200"/>
        <w:rPr>
          <w:rFonts w:hint="eastAsia" w:ascii="宋体" w:hAnsi="宋体" w:eastAsia="宋体" w:cs="宋体"/>
          <w:color w:val="auto"/>
          <w:spacing w:val="6"/>
          <w:sz w:val="24"/>
          <w:szCs w:val="24"/>
          <w:highlight w:val="none"/>
        </w:rPr>
      </w:pPr>
    </w:p>
    <w:p>
      <w:pPr>
        <w:kinsoku w:val="0"/>
        <w:topLinePunct/>
        <w:snapToGrid w:val="0"/>
        <w:spacing w:line="500" w:lineRule="exact"/>
        <w:ind w:firstLine="4080" w:firstLineChars="17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竞争性磋商响应单位：（盖章）</w:t>
      </w:r>
    </w:p>
    <w:p>
      <w:pPr>
        <w:kinsoku w:val="0"/>
        <w:topLinePunct/>
        <w:snapToGrid w:val="0"/>
        <w:spacing w:line="500" w:lineRule="exact"/>
        <w:ind w:firstLine="4080" w:firstLineChars="17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法定代表人或委托代理人（签字或盖章）：</w:t>
      </w:r>
    </w:p>
    <w:p>
      <w:pPr>
        <w:kinsoku w:val="0"/>
        <w:topLinePunct/>
        <w:snapToGrid w:val="0"/>
        <w:spacing w:line="500" w:lineRule="exact"/>
        <w:ind w:firstLine="4080" w:firstLineChars="17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日</w:t>
      </w:r>
    </w:p>
    <w:p>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p>
    <w:p>
      <w:pPr>
        <w:ind w:firstLine="42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7、监狱和戒毒企业证明材料</w:t>
      </w:r>
    </w:p>
    <w:p>
      <w:pPr>
        <w:snapToGrid w:val="0"/>
        <w:spacing w:line="420" w:lineRule="exact"/>
        <w:ind w:firstLine="495" w:firstLineChars="177"/>
        <w:rPr>
          <w:rFonts w:hint="eastAsia" w:ascii="宋体" w:hAnsi="宋体" w:eastAsia="宋体" w:cs="宋体"/>
          <w:color w:val="auto"/>
          <w:sz w:val="28"/>
          <w:szCs w:val="28"/>
          <w:highlight w:val="none"/>
        </w:rPr>
      </w:pPr>
    </w:p>
    <w:p>
      <w:pPr>
        <w:snapToGrid w:val="0"/>
        <w:spacing w:line="420" w:lineRule="exact"/>
        <w:ind w:firstLine="498" w:firstLineChars="177"/>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（格式自拟）</w:t>
      </w:r>
    </w:p>
    <w:p>
      <w:pPr>
        <w:snapToGrid w:val="0"/>
        <w:spacing w:line="420" w:lineRule="exact"/>
        <w:ind w:firstLine="495" w:firstLineChars="177"/>
        <w:rPr>
          <w:rFonts w:hint="eastAsia" w:ascii="宋体" w:hAnsi="宋体" w:eastAsia="宋体" w:cs="宋体"/>
          <w:color w:val="auto"/>
          <w:sz w:val="28"/>
          <w:szCs w:val="28"/>
          <w:highlight w:val="none"/>
        </w:rPr>
      </w:pPr>
    </w:p>
    <w:p>
      <w:pPr>
        <w:snapToGrid w:val="0"/>
        <w:spacing w:line="420" w:lineRule="exact"/>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snapToGrid w:val="0"/>
        <w:spacing w:line="420" w:lineRule="exact"/>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rPr>
          <w:rFonts w:hint="eastAsia" w:ascii="宋体" w:hAnsi="宋体" w:eastAsia="宋体" w:cs="宋体"/>
          <w:b/>
          <w:bCs/>
          <w:color w:val="auto"/>
          <w:sz w:val="28"/>
          <w:szCs w:val="28"/>
          <w:highlight w:val="none"/>
        </w:rPr>
      </w:pPr>
    </w:p>
    <w:p>
      <w:pPr>
        <w:snapToGrid w:val="0"/>
        <w:spacing w:line="360" w:lineRule="auto"/>
        <w:jc w:val="center"/>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、商务部分正负偏离表</w:t>
      </w:r>
    </w:p>
    <w:p>
      <w:pPr>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据实填写，表格不够自行添加）</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23"/>
        <w:gridCol w:w="2244"/>
        <w:gridCol w:w="1959"/>
        <w:gridCol w:w="2528"/>
        <w:gridCol w:w="13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采购</w:t>
            </w:r>
            <w:r>
              <w:rPr>
                <w:rFonts w:hint="eastAsia" w:ascii="宋体" w:hAnsi="宋体" w:eastAsia="宋体" w:cs="宋体"/>
                <w:color w:val="auto"/>
                <w:sz w:val="24"/>
                <w:szCs w:val="22"/>
                <w:highlight w:val="none"/>
              </w:rPr>
              <w:t>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响应</w:t>
            </w:r>
            <w:r>
              <w:rPr>
                <w:rFonts w:hint="eastAsia" w:ascii="宋体" w:hAnsi="宋体" w:eastAsia="宋体" w:cs="宋体"/>
                <w:color w:val="auto"/>
                <w:sz w:val="24"/>
                <w:szCs w:val="22"/>
                <w:highlight w:val="none"/>
              </w:rPr>
              <w:t>文件响应情况</w:t>
            </w:r>
          </w:p>
        </w:tc>
        <w:tc>
          <w:tcPr>
            <w:tcW w:w="778" w:type="pct"/>
            <w:tcBorders>
              <w:top w:val="single" w:color="auto" w:sz="12" w:space="0"/>
              <w:left w:val="single" w:color="auto" w:sz="6" w:space="0"/>
              <w:bottom w:val="single" w:color="auto" w:sz="6" w:space="0"/>
              <w:right w:val="single" w:color="auto" w:sz="12" w:space="0"/>
            </w:tcBorders>
          </w:tcPr>
          <w:p>
            <w:pPr>
              <w:spacing w:line="340" w:lineRule="exact"/>
              <w:jc w:val="center"/>
              <w:rPr>
                <w:rFonts w:hint="eastAsia" w:ascii="宋体" w:hAnsi="宋体" w:eastAsia="宋体" w:cs="宋体"/>
                <w:color w:val="auto"/>
                <w:sz w:val="24"/>
                <w:szCs w:val="22"/>
                <w:highlight w:val="none"/>
              </w:rPr>
            </w:pPr>
          </w:p>
          <w:p>
            <w:pPr>
              <w:spacing w:line="340" w:lineRule="exact"/>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4"/>
                <w:szCs w:val="22"/>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4"/>
                <w:szCs w:val="22"/>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4"/>
                <w:szCs w:val="22"/>
                <w:highlight w:val="none"/>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宋体" w:hAnsi="宋体" w:eastAsia="宋体" w:cs="宋体"/>
                <w:color w:val="auto"/>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4"/>
                <w:szCs w:val="22"/>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4"/>
                <w:szCs w:val="22"/>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4"/>
                <w:szCs w:val="22"/>
                <w:highlight w:val="none"/>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宋体" w:hAnsi="宋体" w:eastAsia="宋体" w:cs="宋体"/>
                <w:color w:val="auto"/>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4"/>
                <w:szCs w:val="22"/>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4"/>
                <w:szCs w:val="22"/>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4"/>
                <w:szCs w:val="22"/>
                <w:highlight w:val="none"/>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宋体" w:hAnsi="宋体" w:eastAsia="宋体" w:cs="宋体"/>
                <w:color w:val="auto"/>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4"/>
                <w:szCs w:val="22"/>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4"/>
                <w:szCs w:val="22"/>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4"/>
                <w:szCs w:val="22"/>
                <w:highlight w:val="none"/>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宋体" w:hAnsi="宋体" w:eastAsia="宋体" w:cs="宋体"/>
                <w:color w:val="auto"/>
                <w:sz w:val="24"/>
                <w:szCs w:val="22"/>
                <w:highlight w:val="none"/>
              </w:rPr>
            </w:pPr>
          </w:p>
        </w:tc>
      </w:tr>
    </w:tbl>
    <w:p>
      <w:pPr>
        <w:snapToGrid w:val="0"/>
        <w:spacing w:line="300" w:lineRule="auto"/>
        <w:contextualSpacing/>
        <w:rPr>
          <w:rFonts w:hint="eastAsia" w:ascii="宋体" w:hAnsi="宋体" w:eastAsia="宋体" w:cs="宋体"/>
          <w:b/>
          <w:color w:val="auto"/>
          <w:sz w:val="24"/>
          <w:szCs w:val="22"/>
          <w:highlight w:val="none"/>
        </w:rPr>
      </w:pPr>
    </w:p>
    <w:p>
      <w:pPr>
        <w:keepNext w:val="0"/>
        <w:keepLines w:val="0"/>
        <w:pageBreakBefore w:val="0"/>
        <w:kinsoku/>
        <w:wordWrap/>
        <w:overflowPunct/>
        <w:topLinePunct w:val="0"/>
        <w:bidi w:val="0"/>
        <w:adjustRightInd/>
        <w:snapToGrid/>
        <w:spacing w:line="360" w:lineRule="auto"/>
        <w:ind w:right="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pPr>
        <w:keepNext w:val="0"/>
        <w:keepLines w:val="0"/>
        <w:pageBreakBefore w:val="0"/>
        <w:kinsoku/>
        <w:wordWrap/>
        <w:overflowPunct/>
        <w:topLinePunct w:val="0"/>
        <w:bidi w:val="0"/>
        <w:adjustRightInd/>
        <w:snapToGrid/>
        <w:spacing w:line="360" w:lineRule="auto"/>
        <w:ind w:right="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提交的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文件的商务部分的要求，应逐条填列在偏离表中。</w:t>
      </w:r>
    </w:p>
    <w:p>
      <w:pPr>
        <w:keepNext w:val="0"/>
        <w:keepLines w:val="0"/>
        <w:pageBreakBefore w:val="0"/>
        <w:kinsoku/>
        <w:wordWrap/>
        <w:overflowPunct/>
        <w:topLinePunct w:val="0"/>
        <w:bidi w:val="0"/>
        <w:adjustRightInd/>
        <w:snapToGrid/>
        <w:spacing w:line="360" w:lineRule="auto"/>
        <w:ind w:right="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2.“偏离说明”一栏选择“正偏离”、“无偏离”、“负偏离”进行填写。正偏离、无偏离的确认和负偏离的是否响应</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文件，由</w:t>
      </w:r>
      <w:r>
        <w:rPr>
          <w:rFonts w:hint="eastAsia" w:ascii="宋体" w:hAnsi="宋体" w:eastAsia="宋体" w:cs="宋体"/>
          <w:color w:val="auto"/>
          <w:sz w:val="24"/>
          <w:szCs w:val="24"/>
          <w:highlight w:val="none"/>
          <w:lang w:val="en-US" w:eastAsia="zh-CN"/>
        </w:rPr>
        <w:t>评审小组</w:t>
      </w:r>
      <w:r>
        <w:rPr>
          <w:rFonts w:hint="eastAsia" w:ascii="宋体" w:hAnsi="宋体" w:eastAsia="宋体" w:cs="宋体"/>
          <w:color w:val="auto"/>
          <w:sz w:val="24"/>
          <w:szCs w:val="24"/>
          <w:highlight w:val="none"/>
        </w:rPr>
        <w:t>认定。</w:t>
      </w:r>
    </w:p>
    <w:p>
      <w:pPr>
        <w:keepNext w:val="0"/>
        <w:keepLines w:val="0"/>
        <w:pageBreakBefore w:val="0"/>
        <w:kinsoku/>
        <w:wordWrap/>
        <w:overflowPunct/>
        <w:topLinePunct w:val="0"/>
        <w:bidi w:val="0"/>
        <w:adjustRightInd/>
        <w:snapToGrid/>
        <w:spacing w:line="360" w:lineRule="auto"/>
        <w:ind w:right="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如果虚假响应，将被暂停参加相关政府采购活动。</w:t>
      </w:r>
    </w:p>
    <w:p>
      <w:pPr>
        <w:keepNext w:val="0"/>
        <w:keepLines w:val="0"/>
        <w:pageBreakBefore w:val="0"/>
        <w:kinsoku/>
        <w:wordWrap/>
        <w:overflowPunct/>
        <w:topLinePunct w:val="0"/>
        <w:bidi w:val="0"/>
        <w:adjustRightInd/>
        <w:snapToGrid/>
        <w:spacing w:line="360" w:lineRule="auto"/>
        <w:ind w:right="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4.供应商若提供其他增值服务，可以在表中自行据实填写。</w:t>
      </w:r>
    </w:p>
    <w:p>
      <w:pPr>
        <w:keepNext w:val="0"/>
        <w:keepLines w:val="0"/>
        <w:pageBreakBefore w:val="0"/>
        <w:kinsoku/>
        <w:wordWrap/>
        <w:overflowPunct/>
        <w:topLinePunct w:val="0"/>
        <w:bidi w:val="0"/>
        <w:adjustRightInd/>
        <w:snapToGrid/>
        <w:spacing w:line="360" w:lineRule="auto"/>
        <w:ind w:right="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5.本项目不接受负偏离。</w:t>
      </w:r>
    </w:p>
    <w:p>
      <w:pPr>
        <w:keepNext w:val="0"/>
        <w:keepLines w:val="0"/>
        <w:pageBreakBefore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val="en-US" w:eastAsia="zh-CN"/>
        </w:rPr>
        <w:t>供应商在此表中</w:t>
      </w:r>
      <w:r>
        <w:rPr>
          <w:rFonts w:hint="eastAsia" w:ascii="宋体" w:hAnsi="宋体" w:eastAsia="宋体" w:cs="宋体"/>
          <w:b/>
          <w:bCs/>
          <w:color w:val="auto"/>
          <w:sz w:val="24"/>
          <w:szCs w:val="24"/>
          <w:highlight w:val="none"/>
        </w:rPr>
        <w:t>未明示的内容均视同完全响应</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文件。</w:t>
      </w:r>
    </w:p>
    <w:p>
      <w:pPr>
        <w:keepNext w:val="0"/>
        <w:keepLines w:val="0"/>
        <w:pageBreakBefore w:val="0"/>
        <w:widowControl/>
        <w:kinsoku/>
        <w:wordWrap/>
        <w:overflowPunct/>
        <w:topLinePunct w:val="0"/>
        <w:autoSpaceDE w:val="0"/>
        <w:autoSpaceDN w:val="0"/>
        <w:bidi w:val="0"/>
        <w:adjustRightInd/>
        <w:snapToGrid/>
        <w:spacing w:line="360" w:lineRule="auto"/>
        <w:ind w:right="0"/>
        <w:jc w:val="left"/>
        <w:textAlignment w:val="auto"/>
        <w:rPr>
          <w:rFonts w:hint="eastAsia" w:ascii="宋体" w:hAnsi="宋体" w:eastAsia="宋体" w:cs="宋体"/>
          <w:color w:val="auto"/>
          <w:kern w:val="0"/>
          <w:sz w:val="24"/>
          <w:szCs w:val="24"/>
          <w:highlight w:val="none"/>
        </w:rPr>
      </w:pPr>
    </w:p>
    <w:p>
      <w:pPr>
        <w:keepNext w:val="0"/>
        <w:keepLines w:val="0"/>
        <w:pageBreakBefore w:val="0"/>
        <w:kinsoku/>
        <w:wordWrap/>
        <w:overflowPunct/>
        <w:topLinePunct w:val="0"/>
        <w:bidi w:val="0"/>
        <w:adjustRightInd/>
        <w:snapToGrid/>
        <w:spacing w:line="360" w:lineRule="auto"/>
        <w:ind w:right="0" w:firstLine="480" w:firstLineChars="200"/>
        <w:contextualSpacing/>
        <w:jc w:val="both"/>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adjustRightInd/>
        <w:snapToGrid/>
        <w:spacing w:line="360" w:lineRule="auto"/>
        <w:ind w:right="0"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w:t>
      </w:r>
      <w:r>
        <w:rPr>
          <w:rFonts w:hint="eastAsia" w:ascii="宋体" w:hAnsi="宋体" w:eastAsia="宋体" w:cs="宋体"/>
          <w:color w:val="auto"/>
          <w:sz w:val="24"/>
          <w:szCs w:val="24"/>
          <w:highlight w:val="none"/>
          <w:lang w:val="en-US" w:eastAsia="zh-CN"/>
        </w:rPr>
        <w:t>定代表</w:t>
      </w:r>
      <w:r>
        <w:rPr>
          <w:rFonts w:hint="eastAsia" w:ascii="宋体" w:hAnsi="宋体" w:eastAsia="宋体" w:cs="宋体"/>
          <w:color w:val="auto"/>
          <w:sz w:val="24"/>
          <w:szCs w:val="24"/>
          <w:highlight w:val="none"/>
        </w:rPr>
        <w:t>人或</w:t>
      </w:r>
      <w:r>
        <w:rPr>
          <w:rFonts w:hint="eastAsia" w:ascii="宋体" w:hAnsi="宋体" w:eastAsia="宋体" w:cs="宋体"/>
          <w:color w:val="auto"/>
          <w:sz w:val="24"/>
          <w:szCs w:val="24"/>
          <w:highlight w:val="none"/>
          <w:lang w:val="en-US" w:eastAsia="zh-CN"/>
        </w:rPr>
        <w:t>委托代理人</w:t>
      </w:r>
      <w:r>
        <w:rPr>
          <w:rFonts w:hint="eastAsia" w:ascii="宋体" w:hAnsi="宋体" w:eastAsia="宋体" w:cs="宋体"/>
          <w:color w:val="auto"/>
          <w:sz w:val="24"/>
          <w:szCs w:val="24"/>
          <w:highlight w:val="none"/>
        </w:rPr>
        <w:t>签字：</w:t>
      </w:r>
    </w:p>
    <w:p>
      <w:pPr>
        <w:keepNext w:val="0"/>
        <w:keepLines w:val="0"/>
        <w:pageBreakBefore w:val="0"/>
        <w:kinsoku/>
        <w:wordWrap/>
        <w:overflowPunct/>
        <w:topLinePunct w:val="0"/>
        <w:bidi w:val="0"/>
        <w:adjustRightInd/>
        <w:snapToGrid/>
        <w:spacing w:line="360" w:lineRule="auto"/>
        <w:ind w:right="0"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pPr>
        <w:keepNext w:val="0"/>
        <w:keepLines w:val="0"/>
        <w:pageBreakBefore w:val="0"/>
        <w:kinsoku/>
        <w:wordWrap/>
        <w:overflowPunct/>
        <w:topLinePunct w:val="0"/>
        <w:bidi w:val="0"/>
        <w:adjustRightInd/>
        <w:snapToGrid/>
        <w:spacing w:line="360" w:lineRule="auto"/>
        <w:ind w:right="0"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rPr>
        <w:t>：</w:t>
      </w:r>
    </w:p>
    <w:p>
      <w:pPr>
        <w:widowControl/>
        <w:autoSpaceDE w:val="0"/>
        <w:autoSpaceDN w:val="0"/>
        <w:jc w:val="left"/>
        <w:rPr>
          <w:rFonts w:hint="eastAsia" w:ascii="宋体" w:hAnsi="宋体" w:eastAsia="宋体" w:cs="宋体"/>
          <w:color w:val="auto"/>
          <w:kern w:val="0"/>
          <w:sz w:val="20"/>
          <w:szCs w:val="20"/>
          <w:highlight w:val="none"/>
        </w:rPr>
      </w:pPr>
    </w:p>
    <w:p>
      <w:pPr>
        <w:snapToGrid w:val="0"/>
        <w:spacing w:line="360" w:lineRule="auto"/>
        <w:jc w:val="center"/>
        <w:outlineLvl w:val="4"/>
        <w:rPr>
          <w:rFonts w:hint="eastAsia" w:ascii="宋体" w:hAnsi="宋体" w:eastAsia="宋体" w:cs="宋体"/>
          <w:b/>
          <w:color w:val="auto"/>
          <w:sz w:val="32"/>
          <w:szCs w:val="32"/>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、技术部分正负偏离表</w:t>
      </w:r>
    </w:p>
    <w:p>
      <w:pPr>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据实填写，表格不够自行添加）</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23"/>
        <w:gridCol w:w="2244"/>
        <w:gridCol w:w="1959"/>
        <w:gridCol w:w="2528"/>
        <w:gridCol w:w="13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采购</w:t>
            </w:r>
            <w:r>
              <w:rPr>
                <w:rFonts w:hint="eastAsia" w:ascii="宋体" w:hAnsi="宋体" w:eastAsia="宋体" w:cs="宋体"/>
                <w:color w:val="auto"/>
                <w:sz w:val="24"/>
                <w:szCs w:val="22"/>
                <w:highlight w:val="none"/>
              </w:rPr>
              <w:t>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响应</w:t>
            </w:r>
            <w:r>
              <w:rPr>
                <w:rFonts w:hint="eastAsia" w:ascii="宋体" w:hAnsi="宋体" w:eastAsia="宋体" w:cs="宋体"/>
                <w:color w:val="auto"/>
                <w:sz w:val="24"/>
                <w:szCs w:val="22"/>
                <w:highlight w:val="none"/>
              </w:rPr>
              <w:t>文件响应情况</w:t>
            </w:r>
          </w:p>
        </w:tc>
        <w:tc>
          <w:tcPr>
            <w:tcW w:w="778" w:type="pct"/>
            <w:tcBorders>
              <w:top w:val="single" w:color="auto" w:sz="12" w:space="0"/>
              <w:left w:val="single" w:color="auto" w:sz="6" w:space="0"/>
              <w:bottom w:val="single" w:color="auto" w:sz="6" w:space="0"/>
              <w:right w:val="single" w:color="auto" w:sz="12" w:space="0"/>
            </w:tcBorders>
          </w:tcPr>
          <w:p>
            <w:pPr>
              <w:spacing w:line="340" w:lineRule="exact"/>
              <w:jc w:val="center"/>
              <w:rPr>
                <w:rFonts w:hint="eastAsia" w:ascii="宋体" w:hAnsi="宋体" w:eastAsia="宋体" w:cs="宋体"/>
                <w:color w:val="auto"/>
                <w:sz w:val="24"/>
                <w:szCs w:val="22"/>
                <w:highlight w:val="none"/>
              </w:rPr>
            </w:pPr>
          </w:p>
          <w:p>
            <w:pPr>
              <w:spacing w:line="340" w:lineRule="exact"/>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4"/>
                <w:szCs w:val="22"/>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4"/>
                <w:szCs w:val="22"/>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4"/>
                <w:szCs w:val="22"/>
                <w:highlight w:val="none"/>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宋体" w:hAnsi="宋体" w:eastAsia="宋体" w:cs="宋体"/>
                <w:color w:val="auto"/>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4"/>
                <w:szCs w:val="22"/>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4"/>
                <w:szCs w:val="22"/>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4"/>
                <w:szCs w:val="22"/>
                <w:highlight w:val="none"/>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宋体" w:hAnsi="宋体" w:eastAsia="宋体" w:cs="宋体"/>
                <w:color w:val="auto"/>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4"/>
                <w:szCs w:val="22"/>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4"/>
                <w:szCs w:val="22"/>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4"/>
                <w:szCs w:val="22"/>
                <w:highlight w:val="none"/>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宋体" w:hAnsi="宋体" w:eastAsia="宋体" w:cs="宋体"/>
                <w:color w:val="auto"/>
                <w:sz w:val="24"/>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4"/>
                <w:szCs w:val="22"/>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4"/>
                <w:szCs w:val="22"/>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4"/>
                <w:szCs w:val="22"/>
                <w:highlight w:val="none"/>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宋体" w:hAnsi="宋体" w:eastAsia="宋体" w:cs="宋体"/>
                <w:color w:val="auto"/>
                <w:sz w:val="24"/>
                <w:szCs w:val="22"/>
                <w:highlight w:val="none"/>
              </w:rPr>
            </w:pPr>
          </w:p>
        </w:tc>
      </w:tr>
    </w:tbl>
    <w:p>
      <w:pPr>
        <w:keepNext w:val="0"/>
        <w:keepLines w:val="0"/>
        <w:pageBreakBefore w:val="0"/>
        <w:kinsoku/>
        <w:wordWrap/>
        <w:overflowPunct/>
        <w:topLinePunct w:val="0"/>
        <w:bidi w:val="0"/>
        <w:adjustRightInd/>
        <w:snapToGrid/>
        <w:spacing w:line="360" w:lineRule="auto"/>
        <w:ind w:right="0"/>
        <w:contextualSpacing/>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adjustRightInd/>
        <w:snapToGrid/>
        <w:spacing w:line="360" w:lineRule="auto"/>
        <w:ind w:right="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pPr>
        <w:keepNext w:val="0"/>
        <w:keepLines w:val="0"/>
        <w:pageBreakBefore w:val="0"/>
        <w:kinsoku/>
        <w:wordWrap/>
        <w:overflowPunct/>
        <w:topLinePunct w:val="0"/>
        <w:bidi w:val="0"/>
        <w:adjustRightInd/>
        <w:snapToGrid/>
        <w:spacing w:line="360" w:lineRule="auto"/>
        <w:ind w:right="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提交的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文件的商务部分的要求，应逐条填列在偏离表中。</w:t>
      </w:r>
    </w:p>
    <w:p>
      <w:pPr>
        <w:keepNext w:val="0"/>
        <w:keepLines w:val="0"/>
        <w:pageBreakBefore w:val="0"/>
        <w:kinsoku/>
        <w:wordWrap/>
        <w:overflowPunct/>
        <w:topLinePunct w:val="0"/>
        <w:bidi w:val="0"/>
        <w:adjustRightInd/>
        <w:snapToGrid/>
        <w:spacing w:line="360" w:lineRule="auto"/>
        <w:ind w:right="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2.“偏离说明”一栏选择“正偏离”、“无偏离”、“负偏离”进行填写。正偏离、无偏离的确认和负偏离的是否响应</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文件，由</w:t>
      </w:r>
      <w:r>
        <w:rPr>
          <w:rFonts w:hint="eastAsia" w:ascii="宋体" w:hAnsi="宋体" w:eastAsia="宋体" w:cs="宋体"/>
          <w:color w:val="auto"/>
          <w:sz w:val="24"/>
          <w:szCs w:val="24"/>
          <w:highlight w:val="none"/>
          <w:lang w:val="en-US" w:eastAsia="zh-CN"/>
        </w:rPr>
        <w:t>评审小组</w:t>
      </w:r>
      <w:r>
        <w:rPr>
          <w:rFonts w:hint="eastAsia" w:ascii="宋体" w:hAnsi="宋体" w:eastAsia="宋体" w:cs="宋体"/>
          <w:color w:val="auto"/>
          <w:sz w:val="24"/>
          <w:szCs w:val="24"/>
          <w:highlight w:val="none"/>
        </w:rPr>
        <w:t>认定。</w:t>
      </w:r>
    </w:p>
    <w:p>
      <w:pPr>
        <w:keepNext w:val="0"/>
        <w:keepLines w:val="0"/>
        <w:pageBreakBefore w:val="0"/>
        <w:kinsoku/>
        <w:wordWrap/>
        <w:overflowPunct/>
        <w:topLinePunct w:val="0"/>
        <w:bidi w:val="0"/>
        <w:adjustRightInd/>
        <w:snapToGrid/>
        <w:spacing w:line="360" w:lineRule="auto"/>
        <w:ind w:right="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如果虚假响应，将被暂停参加相关政府采购活动。</w:t>
      </w:r>
    </w:p>
    <w:p>
      <w:pPr>
        <w:keepNext w:val="0"/>
        <w:keepLines w:val="0"/>
        <w:pageBreakBefore w:val="0"/>
        <w:kinsoku/>
        <w:wordWrap/>
        <w:overflowPunct/>
        <w:topLinePunct w:val="0"/>
        <w:bidi w:val="0"/>
        <w:adjustRightInd/>
        <w:snapToGrid/>
        <w:spacing w:line="360" w:lineRule="auto"/>
        <w:ind w:right="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4.供应商若提供其他增值服务，可以在表中自行据实填写。</w:t>
      </w:r>
    </w:p>
    <w:p>
      <w:pPr>
        <w:keepNext w:val="0"/>
        <w:keepLines w:val="0"/>
        <w:pageBreakBefore w:val="0"/>
        <w:kinsoku/>
        <w:wordWrap/>
        <w:overflowPunct/>
        <w:topLinePunct w:val="0"/>
        <w:bidi w:val="0"/>
        <w:adjustRightInd/>
        <w:snapToGrid/>
        <w:spacing w:line="360" w:lineRule="auto"/>
        <w:ind w:right="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5.本项目不接受负偏离。</w:t>
      </w:r>
    </w:p>
    <w:p>
      <w:pPr>
        <w:keepNext w:val="0"/>
        <w:keepLines w:val="0"/>
        <w:pageBreakBefore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val="en-US" w:eastAsia="zh-CN"/>
        </w:rPr>
        <w:t>供应商在此表中</w:t>
      </w:r>
      <w:r>
        <w:rPr>
          <w:rFonts w:hint="eastAsia" w:ascii="宋体" w:hAnsi="宋体" w:eastAsia="宋体" w:cs="宋体"/>
          <w:b/>
          <w:bCs/>
          <w:color w:val="auto"/>
          <w:sz w:val="24"/>
          <w:szCs w:val="24"/>
          <w:highlight w:val="none"/>
        </w:rPr>
        <w:t>未明示的内容均视同完全响应</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文件。</w:t>
      </w:r>
    </w:p>
    <w:p>
      <w:pPr>
        <w:keepNext w:val="0"/>
        <w:keepLines w:val="0"/>
        <w:pageBreakBefore w:val="0"/>
        <w:widowControl/>
        <w:kinsoku/>
        <w:wordWrap/>
        <w:overflowPunct/>
        <w:topLinePunct w:val="0"/>
        <w:autoSpaceDE w:val="0"/>
        <w:autoSpaceDN w:val="0"/>
        <w:bidi w:val="0"/>
        <w:adjustRightInd/>
        <w:snapToGrid/>
        <w:spacing w:line="360" w:lineRule="auto"/>
        <w:ind w:right="0"/>
        <w:jc w:val="left"/>
        <w:textAlignment w:val="auto"/>
        <w:rPr>
          <w:rFonts w:hint="eastAsia" w:ascii="宋体" w:hAnsi="宋体" w:eastAsia="宋体" w:cs="宋体"/>
          <w:color w:val="auto"/>
          <w:kern w:val="0"/>
          <w:sz w:val="24"/>
          <w:szCs w:val="24"/>
          <w:highlight w:val="none"/>
        </w:rPr>
      </w:pPr>
    </w:p>
    <w:p>
      <w:pPr>
        <w:keepNext w:val="0"/>
        <w:keepLines w:val="0"/>
        <w:pageBreakBefore w:val="0"/>
        <w:kinsoku/>
        <w:wordWrap/>
        <w:overflowPunct/>
        <w:topLinePunct w:val="0"/>
        <w:bidi w:val="0"/>
        <w:adjustRightInd/>
        <w:snapToGrid/>
        <w:spacing w:line="360" w:lineRule="auto"/>
        <w:ind w:right="0" w:firstLine="480" w:firstLineChars="200"/>
        <w:contextualSpacing/>
        <w:jc w:val="both"/>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adjustRightInd/>
        <w:snapToGrid/>
        <w:spacing w:line="360" w:lineRule="auto"/>
        <w:ind w:right="0"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w:t>
      </w:r>
      <w:r>
        <w:rPr>
          <w:rFonts w:hint="eastAsia" w:ascii="宋体" w:hAnsi="宋体" w:eastAsia="宋体" w:cs="宋体"/>
          <w:color w:val="auto"/>
          <w:sz w:val="24"/>
          <w:szCs w:val="24"/>
          <w:highlight w:val="none"/>
          <w:lang w:val="en-US" w:eastAsia="zh-CN"/>
        </w:rPr>
        <w:t>定代表</w:t>
      </w:r>
      <w:r>
        <w:rPr>
          <w:rFonts w:hint="eastAsia" w:ascii="宋体" w:hAnsi="宋体" w:eastAsia="宋体" w:cs="宋体"/>
          <w:color w:val="auto"/>
          <w:sz w:val="24"/>
          <w:szCs w:val="24"/>
          <w:highlight w:val="none"/>
        </w:rPr>
        <w:t>人或</w:t>
      </w:r>
      <w:r>
        <w:rPr>
          <w:rFonts w:hint="eastAsia" w:ascii="宋体" w:hAnsi="宋体" w:eastAsia="宋体" w:cs="宋体"/>
          <w:color w:val="auto"/>
          <w:sz w:val="24"/>
          <w:szCs w:val="24"/>
          <w:highlight w:val="none"/>
          <w:lang w:val="en-US" w:eastAsia="zh-CN"/>
        </w:rPr>
        <w:t>委托代理人</w:t>
      </w:r>
      <w:r>
        <w:rPr>
          <w:rFonts w:hint="eastAsia" w:ascii="宋体" w:hAnsi="宋体" w:eastAsia="宋体" w:cs="宋体"/>
          <w:color w:val="auto"/>
          <w:sz w:val="24"/>
          <w:szCs w:val="24"/>
          <w:highlight w:val="none"/>
        </w:rPr>
        <w:t>签字：</w:t>
      </w:r>
    </w:p>
    <w:p>
      <w:pPr>
        <w:keepNext w:val="0"/>
        <w:keepLines w:val="0"/>
        <w:pageBreakBefore w:val="0"/>
        <w:kinsoku/>
        <w:wordWrap/>
        <w:overflowPunct/>
        <w:topLinePunct w:val="0"/>
        <w:bidi w:val="0"/>
        <w:adjustRightInd/>
        <w:snapToGrid/>
        <w:spacing w:line="360" w:lineRule="auto"/>
        <w:ind w:right="0"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pPr>
        <w:keepNext w:val="0"/>
        <w:keepLines w:val="0"/>
        <w:pageBreakBefore w:val="0"/>
        <w:kinsoku/>
        <w:wordWrap/>
        <w:overflowPunct/>
        <w:topLinePunct w:val="0"/>
        <w:bidi w:val="0"/>
        <w:adjustRightInd/>
        <w:snapToGrid/>
        <w:spacing w:line="360" w:lineRule="auto"/>
        <w:ind w:right="0"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rPr>
        <w:t>：</w:t>
      </w:r>
    </w:p>
    <w:p>
      <w:pPr>
        <w:rPr>
          <w:rFonts w:hint="eastAsia" w:ascii="宋体" w:hAnsi="宋体" w:eastAsia="宋体" w:cs="宋体"/>
          <w:color w:val="auto"/>
          <w:szCs w:val="22"/>
          <w:highlight w:val="none"/>
        </w:rPr>
      </w:pPr>
    </w:p>
    <w:p>
      <w:pPr>
        <w:widowControl/>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napToGrid w:val="0"/>
        <w:spacing w:line="520" w:lineRule="exact"/>
        <w:ind w:firstLine="562" w:firstLineChars="20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0</w:t>
      </w:r>
      <w:r>
        <w:rPr>
          <w:rFonts w:hint="eastAsia" w:ascii="宋体" w:hAnsi="宋体" w:eastAsia="宋体" w:cs="宋体"/>
          <w:b/>
          <w:bCs/>
          <w:color w:val="auto"/>
          <w:sz w:val="28"/>
          <w:szCs w:val="28"/>
          <w:highlight w:val="none"/>
        </w:rPr>
        <w:t>、竞争性磋商响应函（格式不得变动）</w:t>
      </w:r>
    </w:p>
    <w:p>
      <w:pPr>
        <w:snapToGrid w:val="0"/>
        <w:spacing w:line="520" w:lineRule="exact"/>
        <w:rPr>
          <w:rFonts w:hint="eastAsia" w:ascii="宋体" w:hAnsi="宋体" w:eastAsia="宋体" w:cs="宋体"/>
          <w:color w:val="auto"/>
          <w:sz w:val="24"/>
          <w:szCs w:val="24"/>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南通市中天房地产开发有限公司</w:t>
      </w:r>
      <w:r>
        <w:rPr>
          <w:rFonts w:hint="eastAsia" w:ascii="宋体" w:hAnsi="宋体" w:eastAsia="宋体" w:cs="宋体"/>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依据贵单位委托代理机构组织的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（磋商项目名称及项目编号)项目竞争性磋商的邀请，我方授权</w:t>
      </w:r>
      <w:r>
        <w:rPr>
          <w:rFonts w:hint="eastAsia" w:ascii="宋体" w:hAnsi="宋体" w:eastAsia="宋体" w:cs="宋体"/>
          <w:color w:val="auto"/>
          <w:sz w:val="24"/>
          <w:szCs w:val="24"/>
          <w:highlight w:val="none"/>
          <w:u w:val="single"/>
        </w:rPr>
        <w:t>（姓名）（职务）</w:t>
      </w:r>
      <w:r>
        <w:rPr>
          <w:rFonts w:hint="eastAsia" w:ascii="宋体" w:hAnsi="宋体" w:eastAsia="宋体" w:cs="宋体"/>
          <w:color w:val="auto"/>
          <w:sz w:val="24"/>
          <w:szCs w:val="24"/>
          <w:highlight w:val="none"/>
        </w:rPr>
        <w:t>为委托代理人全权代表参加该项目的磋商工作，全权处理本次竞争性磋商的有关事宜。同时，我公司声明如下：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1、同意并接受竞争性磋商文件的各项要求，遵守竞争性磋商文件中的各项规定，按竞争性磋商文件的要求提供报价。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2、我公司已经详细阅读了竞争性磋商文件的全部内容，我方已完全清晰理解竞争性磋商文件的要求，不存在任何含糊不清和误解之处，同意放弃对竞争性磋商文件所表述的内容提出异议和质疑的权利。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3、我公司已毫无保留地向贵方提供一切所需的证明材料。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4、我公司承诺在本次磋商响应中提供的一切文件，无论是原件还是复印件均真实有效，绝无任何虚假、伪造和夸大</w:t>
      </w:r>
      <w:r>
        <w:rPr>
          <w:rFonts w:hint="eastAsia" w:ascii="宋体" w:hAnsi="宋体" w:eastAsia="宋体" w:cs="宋体"/>
          <w:color w:val="auto"/>
          <w:sz w:val="24"/>
          <w:szCs w:val="24"/>
          <w:highlight w:val="none"/>
          <w:lang w:eastAsia="zh-CN"/>
        </w:rPr>
        <w:t>的成分</w:t>
      </w:r>
      <w:r>
        <w:rPr>
          <w:rFonts w:hint="eastAsia" w:ascii="宋体" w:hAnsi="宋体" w:eastAsia="宋体" w:cs="宋体"/>
          <w:color w:val="auto"/>
          <w:sz w:val="24"/>
          <w:szCs w:val="24"/>
          <w:highlight w:val="none"/>
        </w:rPr>
        <w:t>。否则，愿承担相应的后果和法律责任。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5、一旦成交，我方承诺无正当理由拒绝签订合同，将被贵方取消成交资格。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bCs/>
          <w:color w:val="auto"/>
          <w:sz w:val="24"/>
          <w:szCs w:val="24"/>
          <w:highlight w:val="none"/>
        </w:rPr>
        <w:t>一旦成交，我方将根据竞争性磋商文件的规定，严格履行合同规定的责任和义务，并保证在竞争性磋商文件中规定的时间期限内完成合同项目。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竞争性磋商响应单位：（加盖公章）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zh-CN"/>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日</w:t>
      </w:r>
    </w:p>
    <w:p>
      <w:pPr>
        <w:snapToGrid w:val="0"/>
        <w:spacing w:line="520" w:lineRule="exact"/>
        <w:jc w:val="center"/>
        <w:outlineLvl w:val="3"/>
        <w:rPr>
          <w:rFonts w:hint="eastAsia" w:ascii="宋体" w:hAnsi="宋体" w:eastAsia="宋体" w:cs="宋体"/>
          <w:b/>
          <w:bCs/>
          <w:color w:val="auto"/>
          <w:sz w:val="28"/>
          <w:szCs w:val="28"/>
          <w:highlight w:val="none"/>
        </w:rPr>
      </w:pPr>
    </w:p>
    <w:p>
      <w:pPr>
        <w:snapToGrid w:val="0"/>
        <w:spacing w:line="520" w:lineRule="exact"/>
        <w:jc w:val="center"/>
        <w:outlineLvl w:val="3"/>
        <w:rPr>
          <w:rFonts w:hint="eastAsia" w:ascii="宋体" w:hAnsi="宋体" w:eastAsia="宋体" w:cs="宋体"/>
          <w:b/>
          <w:bCs/>
          <w:color w:val="auto"/>
          <w:sz w:val="28"/>
          <w:szCs w:val="28"/>
          <w:highlight w:val="none"/>
        </w:rPr>
      </w:pPr>
    </w:p>
    <w:p>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8"/>
          <w:szCs w:val="28"/>
          <w:highlight w:val="none"/>
        </w:rPr>
        <w:br w:type="page"/>
      </w:r>
    </w:p>
    <w:p>
      <w:pPr>
        <w:numPr>
          <w:ilvl w:val="0"/>
          <w:numId w:val="0"/>
        </w:numPr>
        <w:snapToGrid w:val="0"/>
        <w:spacing w:line="500" w:lineRule="exact"/>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11、</w:t>
      </w:r>
      <w:r>
        <w:rPr>
          <w:rFonts w:hint="eastAsia" w:ascii="宋体" w:hAnsi="宋体" w:eastAsia="宋体" w:cs="宋体"/>
          <w:b/>
          <w:color w:val="auto"/>
          <w:sz w:val="28"/>
          <w:szCs w:val="28"/>
          <w:highlight w:val="none"/>
        </w:rPr>
        <w:t>磋商响应报价总表</w:t>
      </w:r>
    </w:p>
    <w:p>
      <w:pPr>
        <w:widowControl w:val="0"/>
        <w:numPr>
          <w:ilvl w:val="0"/>
          <w:numId w:val="0"/>
        </w:numPr>
        <w:snapToGrid w:val="0"/>
        <w:spacing w:line="500" w:lineRule="exact"/>
        <w:jc w:val="center"/>
        <w:outlineLvl w:val="2"/>
        <w:rPr>
          <w:rFonts w:hint="eastAsia" w:ascii="宋体" w:hAnsi="宋体" w:eastAsia="宋体" w:cs="宋体"/>
          <w:b/>
          <w:color w:val="auto"/>
          <w:sz w:val="24"/>
          <w:szCs w:val="24"/>
          <w:highlight w:val="none"/>
        </w:rPr>
      </w:pPr>
    </w:p>
    <w:p>
      <w:pPr>
        <w:widowControl w:val="0"/>
        <w:numPr>
          <w:ilvl w:val="0"/>
          <w:numId w:val="0"/>
        </w:numPr>
        <w:snapToGrid w:val="0"/>
        <w:spacing w:line="500" w:lineRule="exact"/>
        <w:jc w:val="center"/>
        <w:outlineLvl w:val="2"/>
        <w:rPr>
          <w:rFonts w:hint="eastAsia" w:ascii="宋体" w:hAnsi="宋体" w:eastAsia="宋体" w:cs="宋体"/>
          <w:b/>
          <w:color w:val="auto"/>
          <w:sz w:val="24"/>
          <w:szCs w:val="24"/>
          <w:highlight w:val="none"/>
        </w:rPr>
      </w:pPr>
    </w:p>
    <w:tbl>
      <w:tblPr>
        <w:tblStyle w:val="18"/>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ign w:val="center"/>
          </w:tcPr>
          <w:p>
            <w:pPr>
              <w:keepNext w:val="0"/>
              <w:keepLines w:val="0"/>
              <w:pageBreakBefore w:val="0"/>
              <w:widowControl w:val="0"/>
              <w:kinsoku w:val="0"/>
              <w:wordWrap/>
              <w:overflowPunct/>
              <w:topLinePunct/>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5997" w:type="dxa"/>
            <w:noWrap/>
            <w:vAlign w:val="center"/>
          </w:tcPr>
          <w:p>
            <w:pPr>
              <w:keepNext w:val="0"/>
              <w:keepLines w:val="0"/>
              <w:pageBreakBefore w:val="0"/>
              <w:widowControl w:val="0"/>
              <w:kinsoku w:val="0"/>
              <w:wordWrap/>
              <w:overflowPunct/>
              <w:topLinePunct/>
              <w:autoSpaceDE/>
              <w:autoSpaceDN/>
              <w:bidi w:val="0"/>
              <w:adjustRightInd/>
              <w:snapToGrid/>
              <w:spacing w:line="240" w:lineRule="auto"/>
              <w:textAlignment w:val="auto"/>
              <w:rPr>
                <w:rFonts w:hint="eastAsia" w:ascii="宋体" w:hAnsi="宋体" w:eastAsia="宋体" w:cs="宋体"/>
                <w:strike/>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ign w:val="center"/>
          </w:tcPr>
          <w:p>
            <w:pPr>
              <w:keepNext w:val="0"/>
              <w:keepLines w:val="0"/>
              <w:pageBreakBefore w:val="0"/>
              <w:widowControl w:val="0"/>
              <w:kinsoku w:val="0"/>
              <w:wordWrap/>
              <w:overflowPunct/>
              <w:topLinePunct/>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5997" w:type="dxa"/>
            <w:noWrap/>
            <w:vAlign w:val="center"/>
          </w:tcPr>
          <w:p>
            <w:pPr>
              <w:keepNext w:val="0"/>
              <w:keepLines w:val="0"/>
              <w:pageBreakBefore w:val="0"/>
              <w:widowControl w:val="0"/>
              <w:kinsoku w:val="0"/>
              <w:wordWrap/>
              <w:overflowPunct/>
              <w:topLinePunct/>
              <w:autoSpaceDE/>
              <w:autoSpaceDN/>
              <w:bidi w:val="0"/>
              <w:adjustRightInd/>
              <w:snapToGrid/>
              <w:spacing w:line="240" w:lineRule="auto"/>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2756" w:type="dxa"/>
            <w:vMerge w:val="restart"/>
            <w:noWrap/>
            <w:vAlign w:val="center"/>
          </w:tcPr>
          <w:p>
            <w:pPr>
              <w:keepNext w:val="0"/>
              <w:keepLines w:val="0"/>
              <w:pageBreakBefore w:val="0"/>
              <w:widowControl w:val="0"/>
              <w:kinsoku w:val="0"/>
              <w:wordWrap/>
              <w:overflowPunct/>
              <w:topLinePunct/>
              <w:autoSpaceDE/>
              <w:autoSpaceDN/>
              <w:bidi w:val="0"/>
              <w:adjustRightInd/>
              <w:snapToGrid/>
              <w:spacing w:line="24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第1轮磋商</w:t>
            </w:r>
            <w:r>
              <w:rPr>
                <w:rFonts w:hint="eastAsia" w:ascii="宋体" w:hAnsi="宋体" w:eastAsia="宋体" w:cs="宋体"/>
                <w:color w:val="auto"/>
                <w:kern w:val="0"/>
                <w:sz w:val="24"/>
                <w:highlight w:val="none"/>
                <w:lang w:val="en-US" w:eastAsia="zh-CN"/>
              </w:rPr>
              <w:t>总价</w:t>
            </w:r>
            <w:r>
              <w:rPr>
                <w:rFonts w:hint="eastAsia" w:ascii="宋体" w:hAnsi="宋体" w:eastAsia="宋体" w:cs="宋体"/>
                <w:color w:val="auto"/>
                <w:kern w:val="0"/>
                <w:sz w:val="24"/>
                <w:highlight w:val="none"/>
              </w:rPr>
              <w:t>报价</w:t>
            </w:r>
          </w:p>
          <w:p>
            <w:pPr>
              <w:keepNext w:val="0"/>
              <w:keepLines w:val="0"/>
              <w:pageBreakBefore w:val="0"/>
              <w:widowControl w:val="0"/>
              <w:kinsoku w:val="0"/>
              <w:wordWrap/>
              <w:overflowPunct/>
              <w:topLinePunct/>
              <w:autoSpaceDE/>
              <w:autoSpaceDN/>
              <w:bidi w:val="0"/>
              <w:adjustRightInd/>
              <w:snapToGrid/>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rPr>
              <w:t>（首次）</w:t>
            </w:r>
          </w:p>
        </w:tc>
        <w:tc>
          <w:tcPr>
            <w:tcW w:w="5997" w:type="dxa"/>
            <w:noWrap/>
            <w:vAlign w:val="center"/>
          </w:tcPr>
          <w:p>
            <w:pPr>
              <w:keepNext w:val="0"/>
              <w:keepLines w:val="0"/>
              <w:pageBreakBefore w:val="0"/>
              <w:widowControl w:val="0"/>
              <w:kinsoku w:val="0"/>
              <w:wordWrap/>
              <w:overflowPunct/>
              <w:topLinePunct/>
              <w:autoSpaceDE/>
              <w:autoSpaceDN/>
              <w:bidi w:val="0"/>
              <w:adjustRightInd/>
              <w:snapToGrid/>
              <w:spacing w:line="5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lang w:val="en-US" w:eastAsia="zh-CN"/>
              </w:rPr>
              <w:t>总价：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元</w:t>
            </w:r>
          </w:p>
          <w:p>
            <w:pPr>
              <w:keepNext w:val="0"/>
              <w:keepLines w:val="0"/>
              <w:pageBreakBefore w:val="0"/>
              <w:widowControl w:val="0"/>
              <w:kinsoku w:val="0"/>
              <w:wordWrap/>
              <w:overflowPunct/>
              <w:topLinePunct/>
              <w:autoSpaceDE/>
              <w:autoSpaceDN/>
              <w:bidi w:val="0"/>
              <w:adjustRightInd/>
              <w:snapToGrid/>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人民币大写：</w:t>
            </w:r>
            <w:r>
              <w:rPr>
                <w:rFonts w:hint="eastAsia" w:ascii="宋体" w:hAnsi="宋体" w:eastAsia="宋体" w:cs="宋体"/>
                <w:color w:val="auto"/>
                <w:sz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2756" w:type="dxa"/>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第2轮磋商</w:t>
            </w:r>
            <w:r>
              <w:rPr>
                <w:rFonts w:hint="eastAsia" w:ascii="宋体" w:hAnsi="宋体" w:eastAsia="宋体" w:cs="宋体"/>
                <w:color w:val="auto"/>
                <w:kern w:val="0"/>
                <w:sz w:val="24"/>
                <w:highlight w:val="none"/>
                <w:lang w:val="en-US" w:eastAsia="zh-CN"/>
              </w:rPr>
              <w:t>总价</w:t>
            </w:r>
            <w:r>
              <w:rPr>
                <w:rFonts w:hint="eastAsia" w:ascii="宋体" w:hAnsi="宋体" w:eastAsia="宋体" w:cs="宋体"/>
                <w:color w:val="auto"/>
                <w:kern w:val="0"/>
                <w:sz w:val="24"/>
                <w:highlight w:val="none"/>
              </w:rPr>
              <w:t>报价</w:t>
            </w:r>
          </w:p>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（最终）</w:t>
            </w:r>
          </w:p>
          <w:p>
            <w:pPr>
              <w:keepNext w:val="0"/>
              <w:keepLines w:val="0"/>
              <w:pageBreakBefore w:val="0"/>
              <w:widowControl w:val="0"/>
              <w:kinsoku w:val="0"/>
              <w:wordWrap/>
              <w:overflowPunct/>
              <w:topLinePunct/>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rPr>
              <w:t>磋商现场填写</w:t>
            </w:r>
          </w:p>
        </w:tc>
        <w:tc>
          <w:tcPr>
            <w:tcW w:w="5997" w:type="dxa"/>
            <w:noWrap/>
            <w:vAlign w:val="center"/>
          </w:tcPr>
          <w:p>
            <w:pPr>
              <w:keepNext w:val="0"/>
              <w:keepLines w:val="0"/>
              <w:pageBreakBefore w:val="0"/>
              <w:widowControl w:val="0"/>
              <w:kinsoku w:val="0"/>
              <w:wordWrap/>
              <w:overflowPunct/>
              <w:topLinePunct/>
              <w:autoSpaceDE/>
              <w:autoSpaceDN/>
              <w:bidi w:val="0"/>
              <w:adjustRightInd/>
              <w:snapToGrid/>
              <w:spacing w:line="5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lang w:val="en-US" w:eastAsia="zh-CN"/>
              </w:rPr>
              <w:t>总价：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元</w:t>
            </w:r>
          </w:p>
          <w:p>
            <w:pPr>
              <w:keepNext w:val="0"/>
              <w:keepLines w:val="0"/>
              <w:pageBreakBefore w:val="0"/>
              <w:widowControl w:val="0"/>
              <w:kinsoku w:val="0"/>
              <w:wordWrap/>
              <w:overflowPunct/>
              <w:topLinePunct/>
              <w:autoSpaceDE/>
              <w:autoSpaceDN/>
              <w:bidi w:val="0"/>
              <w:adjustRightInd/>
              <w:snapToGrid/>
              <w:spacing w:line="5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人民币大写：</w:t>
            </w:r>
            <w:r>
              <w:rPr>
                <w:rFonts w:hint="eastAsia" w:ascii="宋体" w:hAnsi="宋体" w:eastAsia="宋体" w:cs="宋体"/>
                <w:color w:val="auto"/>
                <w:sz w:val="24"/>
                <w:highlight w:val="none"/>
                <w:u w:val="single"/>
                <w:lang w:val="en-US" w:eastAsia="zh-CN"/>
              </w:rPr>
              <w:t xml:space="preserve">        </w:t>
            </w:r>
          </w:p>
        </w:tc>
      </w:tr>
    </w:tbl>
    <w:p>
      <w:pPr>
        <w:widowControl w:val="0"/>
        <w:numPr>
          <w:ilvl w:val="0"/>
          <w:numId w:val="0"/>
        </w:numPr>
        <w:snapToGrid w:val="0"/>
        <w:spacing w:line="500" w:lineRule="exact"/>
        <w:jc w:val="center"/>
        <w:outlineLvl w:val="2"/>
        <w:rPr>
          <w:rFonts w:hint="eastAsia" w:ascii="宋体" w:hAnsi="宋体" w:eastAsia="宋体" w:cs="宋体"/>
          <w:b/>
          <w:color w:val="auto"/>
          <w:sz w:val="24"/>
          <w:szCs w:val="24"/>
          <w:highlight w:val="none"/>
        </w:rPr>
      </w:pPr>
    </w:p>
    <w:p>
      <w:pPr>
        <w:kinsoku w:val="0"/>
        <w:topLinePunct/>
        <w:snapToGrid w:val="0"/>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竞争性磋商响应单位：（盖章）</w:t>
      </w:r>
    </w:p>
    <w:p>
      <w:pPr>
        <w:kinsoku w:val="0"/>
        <w:topLinePunct/>
        <w:snapToGrid w:val="0"/>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w:t>
      </w:r>
      <w:r>
        <w:rPr>
          <w:rFonts w:hint="eastAsia" w:ascii="宋体" w:hAnsi="宋体" w:eastAsia="宋体" w:cs="宋体"/>
          <w:color w:val="auto"/>
          <w:sz w:val="24"/>
          <w:highlight w:val="none"/>
          <w:lang w:val="en-US" w:eastAsia="zh-CN"/>
        </w:rPr>
        <w:t>委托代理人</w:t>
      </w:r>
      <w:r>
        <w:rPr>
          <w:rFonts w:hint="eastAsia" w:ascii="宋体" w:hAnsi="宋体" w:eastAsia="宋体" w:cs="宋体"/>
          <w:color w:val="auto"/>
          <w:sz w:val="24"/>
          <w:highlight w:val="none"/>
        </w:rPr>
        <w:t>（签字或盖章）：</w:t>
      </w:r>
    </w:p>
    <w:p>
      <w:pPr>
        <w:kinsoku w:val="0"/>
        <w:topLinePunct/>
        <w:snapToGrid w:val="0"/>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snapToGrid w:val="0"/>
        <w:spacing w:line="48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w:t>
      </w:r>
    </w:p>
    <w:p>
      <w:pPr>
        <w:snapToGrid w:val="0"/>
        <w:spacing w:line="48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（1）本表为格式表，不得自行改动，必须提供。</w:t>
      </w:r>
    </w:p>
    <w:p>
      <w:pPr>
        <w:snapToGrid w:val="0"/>
        <w:spacing w:line="480" w:lineRule="exact"/>
        <w:ind w:firstLine="482" w:firstLineChars="200"/>
        <w:jc w:val="left"/>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第2轮磋商总价报价（最终）</w:t>
      </w:r>
      <w:r>
        <w:rPr>
          <w:rFonts w:hint="eastAsia" w:ascii="宋体" w:hAnsi="宋体" w:eastAsia="宋体" w:cs="宋体"/>
          <w:b/>
          <w:bCs/>
          <w:color w:val="auto"/>
          <w:sz w:val="24"/>
          <w:highlight w:val="none"/>
        </w:rPr>
        <w:t>将在</w:t>
      </w:r>
      <w:r>
        <w:rPr>
          <w:rFonts w:hint="eastAsia" w:ascii="宋体" w:hAnsi="宋体" w:eastAsia="宋体" w:cs="宋体"/>
          <w:b/>
          <w:bCs/>
          <w:color w:val="auto"/>
          <w:sz w:val="24"/>
          <w:highlight w:val="none"/>
          <w:lang w:val="en-US" w:eastAsia="zh-CN"/>
        </w:rPr>
        <w:t>磋商</w:t>
      </w:r>
      <w:r>
        <w:rPr>
          <w:rFonts w:hint="eastAsia" w:ascii="宋体" w:hAnsi="宋体" w:eastAsia="宋体" w:cs="宋体"/>
          <w:b/>
          <w:bCs/>
          <w:color w:val="auto"/>
          <w:sz w:val="24"/>
          <w:highlight w:val="none"/>
        </w:rPr>
        <w:t>现场填写，响应文件密封提交时只需填写</w:t>
      </w:r>
      <w:r>
        <w:rPr>
          <w:rFonts w:hint="eastAsia" w:ascii="宋体" w:hAnsi="宋体" w:eastAsia="宋体" w:cs="宋体"/>
          <w:b/>
          <w:bCs/>
          <w:color w:val="auto"/>
          <w:sz w:val="24"/>
          <w:highlight w:val="none"/>
          <w:lang w:val="en-US" w:eastAsia="zh-CN"/>
        </w:rPr>
        <w:t>第1轮磋商总价报价（首次）</w:t>
      </w:r>
      <w:r>
        <w:rPr>
          <w:rFonts w:hint="eastAsia" w:ascii="宋体" w:hAnsi="宋体" w:eastAsia="宋体" w:cs="宋体"/>
          <w:b/>
          <w:bCs/>
          <w:color w:val="auto"/>
          <w:sz w:val="24"/>
          <w:highlight w:val="none"/>
        </w:rPr>
        <w:t>。</w:t>
      </w:r>
    </w:p>
    <w:p>
      <w:pPr>
        <w:snapToGrid w:val="0"/>
        <w:spacing w:line="480" w:lineRule="exact"/>
        <w:ind w:firstLine="482" w:firstLineChars="200"/>
        <w:jc w:val="left"/>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（3）结算时已标价工程量清单中单价以第2轮磋商总价报价（最终）与第1轮磋商总价报价（首次）的下浮比例进行同比例下浮，具体计算公式如下：</w:t>
      </w:r>
    </w:p>
    <w:p>
      <w:pPr>
        <w:snapToGrid w:val="0"/>
        <w:spacing w:line="480" w:lineRule="exact"/>
        <w:ind w:firstLine="482" w:firstLineChars="200"/>
        <w:jc w:val="left"/>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最终单价=首次单价*（1-下浮率）</w:t>
      </w:r>
    </w:p>
    <w:p>
      <w:pPr>
        <w:snapToGrid w:val="0"/>
        <w:spacing w:line="480" w:lineRule="exact"/>
        <w:ind w:firstLine="482" w:firstLineChars="200"/>
        <w:jc w:val="left"/>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下浮率=[1-最后报价总价/首次报价总价]*100%</w:t>
      </w:r>
    </w:p>
    <w:p>
      <w:pPr>
        <w:snapToGrid w:val="0"/>
        <w:spacing w:line="480" w:lineRule="exact"/>
        <w:ind w:firstLine="482" w:firstLineChars="200"/>
        <w:jc w:val="left"/>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计算下浮率时，不可竞争费的费率、其他相关费率、暂列金、暂估价不参加计算下浮。</w:t>
      </w:r>
    </w:p>
    <w:p>
      <w:pPr>
        <w:snapToGrid w:val="0"/>
        <w:spacing w:line="480" w:lineRule="exact"/>
        <w:ind w:firstLine="482" w:firstLineChars="200"/>
        <w:jc w:val="left"/>
        <w:outlineLvl w:val="9"/>
        <w:rPr>
          <w:rFonts w:hint="eastAsia" w:ascii="宋体" w:hAnsi="宋体" w:eastAsia="宋体" w:cs="宋体"/>
          <w:b/>
          <w:bCs/>
          <w:color w:val="auto"/>
          <w:sz w:val="24"/>
          <w:highlight w:val="none"/>
          <w:lang w:val="en-US" w:eastAsia="zh-CN"/>
        </w:rPr>
        <w:sectPr>
          <w:footerReference r:id="rId5" w:type="default"/>
          <w:pgSz w:w="11907" w:h="16839"/>
          <w:pgMar w:top="1418" w:right="1588" w:bottom="1418" w:left="1588" w:header="851" w:footer="851" w:gutter="0"/>
          <w:pgBorders>
            <w:top w:val="none" w:sz="0" w:space="0"/>
            <w:left w:val="none" w:sz="0" w:space="0"/>
            <w:bottom w:val="none" w:sz="0" w:space="0"/>
            <w:right w:val="none" w:sz="0" w:space="0"/>
          </w:pgBorders>
          <w:cols w:space="720" w:num="1"/>
          <w:docGrid w:linePitch="286" w:charSpace="0"/>
        </w:sectPr>
      </w:pPr>
      <w:r>
        <w:rPr>
          <w:rFonts w:hint="eastAsia" w:ascii="宋体" w:hAnsi="宋体" w:eastAsia="宋体" w:cs="宋体"/>
          <w:b/>
          <w:bCs/>
          <w:color w:val="auto"/>
          <w:sz w:val="24"/>
          <w:highlight w:val="none"/>
          <w:lang w:val="en-US" w:eastAsia="zh-CN"/>
        </w:rPr>
        <w:t>（4）第2轮磋商总价报价（最终）不得高于各自供应商第1轮磋商总价报价（首次），否则作无效响应处理。</w:t>
      </w:r>
    </w:p>
    <w:p>
      <w:pPr>
        <w:rPr>
          <w:rFonts w:hint="eastAsia" w:ascii="宋体" w:hAnsi="宋体" w:eastAsia="宋体" w:cs="宋体"/>
          <w:b/>
          <w:bCs/>
          <w:color w:val="auto"/>
          <w:highlight w:val="none"/>
        </w:rPr>
      </w:pPr>
    </w:p>
    <w:p>
      <w:pPr>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14、已标价工程量清单</w:t>
      </w:r>
    </w:p>
    <w:p>
      <w:pPr>
        <w:snapToGrid w:val="0"/>
        <w:spacing w:line="360" w:lineRule="auto"/>
        <w:ind w:firstLine="420" w:firstLineChars="200"/>
        <w:rPr>
          <w:rFonts w:hint="eastAsia" w:ascii="宋体" w:hAnsi="宋体" w:eastAsia="宋体" w:cs="宋体"/>
          <w:color w:val="auto"/>
          <w:highlight w:val="none"/>
        </w:rPr>
      </w:pP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已标价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pPr>
        <w:jc w:val="center"/>
        <w:rPr>
          <w:rFonts w:hint="eastAsia" w:ascii="宋体" w:hAnsi="宋体" w:eastAsia="宋体" w:cs="宋体"/>
          <w:b/>
          <w:bCs/>
          <w:color w:val="auto"/>
          <w:highlight w:val="none"/>
        </w:rPr>
      </w:pPr>
    </w:p>
    <w:p>
      <w:pPr>
        <w:jc w:val="center"/>
        <w:rPr>
          <w:rFonts w:hint="eastAsia" w:ascii="宋体" w:hAnsi="宋体" w:eastAsia="宋体" w:cs="宋体"/>
          <w:b/>
          <w:bCs/>
          <w:color w:val="auto"/>
          <w:highlight w:val="none"/>
        </w:rPr>
      </w:pPr>
    </w:p>
    <w:p>
      <w:pPr>
        <w:jc w:val="center"/>
        <w:rPr>
          <w:rFonts w:hint="eastAsia" w:ascii="宋体" w:hAnsi="宋体" w:eastAsia="宋体" w:cs="宋体"/>
          <w:b/>
          <w:bCs/>
          <w:color w:val="auto"/>
          <w:highlight w:val="none"/>
        </w:rPr>
      </w:pPr>
    </w:p>
    <w:p>
      <w:pPr>
        <w:jc w:val="center"/>
        <w:rPr>
          <w:rFonts w:hint="eastAsia" w:ascii="宋体" w:hAnsi="宋体" w:eastAsia="宋体" w:cs="宋体"/>
          <w:b/>
          <w:bCs/>
          <w:color w:val="auto"/>
          <w:highlight w:val="none"/>
        </w:rPr>
      </w:pPr>
    </w:p>
    <w:p>
      <w:pPr>
        <w:jc w:val="center"/>
        <w:rPr>
          <w:rFonts w:hint="eastAsia" w:ascii="宋体" w:hAnsi="宋体" w:eastAsia="宋体" w:cs="宋体"/>
          <w:b/>
          <w:bCs/>
          <w:color w:val="auto"/>
          <w:highlight w:val="none"/>
        </w:rPr>
      </w:pPr>
    </w:p>
    <w:p>
      <w:pPr>
        <w:jc w:val="center"/>
        <w:rPr>
          <w:rFonts w:hint="eastAsia" w:ascii="宋体" w:hAnsi="宋体" w:eastAsia="宋体" w:cs="宋体"/>
          <w:b/>
          <w:bCs/>
          <w:color w:val="auto"/>
          <w:highlight w:val="none"/>
        </w:rPr>
      </w:pPr>
    </w:p>
    <w:p>
      <w:pPr>
        <w:jc w:val="center"/>
        <w:rPr>
          <w:rFonts w:hint="eastAsia" w:ascii="宋体" w:hAnsi="宋体" w:eastAsia="宋体" w:cs="宋体"/>
          <w:b/>
          <w:bCs/>
          <w:color w:val="auto"/>
          <w:highlight w:val="none"/>
        </w:rPr>
      </w:pPr>
    </w:p>
    <w:p>
      <w:pPr>
        <w:jc w:val="center"/>
        <w:rPr>
          <w:rFonts w:hint="eastAsia" w:ascii="宋体" w:hAnsi="宋体" w:eastAsia="宋体" w:cs="宋体"/>
          <w:b/>
          <w:bCs/>
          <w:color w:val="auto"/>
          <w:highlight w:val="none"/>
        </w:rPr>
      </w:pPr>
    </w:p>
    <w:p>
      <w:pPr>
        <w:jc w:val="center"/>
        <w:rPr>
          <w:rFonts w:hint="eastAsia" w:ascii="宋体" w:hAnsi="宋体" w:eastAsia="宋体" w:cs="宋体"/>
          <w:b/>
          <w:bCs/>
          <w:color w:val="auto"/>
          <w:highlight w:val="none"/>
        </w:rPr>
      </w:pPr>
    </w:p>
    <w:p>
      <w:pPr>
        <w:jc w:val="center"/>
        <w:rPr>
          <w:rFonts w:hint="eastAsia" w:ascii="宋体" w:hAnsi="宋体" w:eastAsia="宋体" w:cs="宋体"/>
          <w:b/>
          <w:bCs/>
          <w:color w:val="auto"/>
          <w:highlight w:val="none"/>
        </w:rPr>
      </w:pPr>
    </w:p>
    <w:p>
      <w:pPr>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pPr>
        <w:jc w:val="center"/>
        <w:rPr>
          <w:rFonts w:hint="eastAsia" w:ascii="宋体" w:hAnsi="宋体" w:eastAsia="宋体" w:cs="宋体"/>
          <w:b/>
          <w:bCs/>
          <w:color w:val="auto"/>
          <w:w w:val="80"/>
          <w:sz w:val="44"/>
          <w:szCs w:val="44"/>
          <w:highlight w:val="none"/>
          <w:lang w:val="en-US" w:eastAsia="zh-CN"/>
        </w:rPr>
      </w:pPr>
      <w:r>
        <w:rPr>
          <w:rFonts w:hint="eastAsia" w:ascii="宋体" w:hAnsi="宋体" w:eastAsia="宋体" w:cs="宋体"/>
          <w:b/>
          <w:bCs/>
          <w:color w:val="auto"/>
          <w:w w:val="80"/>
          <w:sz w:val="44"/>
          <w:szCs w:val="44"/>
          <w:highlight w:val="none"/>
          <w:lang w:val="en-US" w:eastAsia="zh-CN"/>
        </w:rPr>
        <w:t xml:space="preserve">第九章 </w:t>
      </w:r>
      <w:r>
        <w:rPr>
          <w:rFonts w:hint="eastAsia" w:ascii="宋体" w:hAnsi="宋体" w:eastAsia="宋体" w:cs="宋体"/>
          <w:b/>
          <w:bCs/>
          <w:color w:val="auto"/>
          <w:w w:val="80"/>
          <w:sz w:val="44"/>
          <w:szCs w:val="44"/>
          <w:highlight w:val="none"/>
        </w:rPr>
        <w:t>工程量清单</w:t>
      </w:r>
    </w:p>
    <w:p>
      <w:pPr>
        <w:jc w:val="center"/>
        <w:rPr>
          <w:rFonts w:hint="eastAsia" w:ascii="宋体" w:hAnsi="宋体" w:eastAsia="宋体" w:cs="宋体"/>
          <w:b/>
          <w:bCs/>
          <w:color w:val="auto"/>
          <w:highlight w:val="none"/>
        </w:rPr>
      </w:pPr>
    </w:p>
    <w:p>
      <w:pPr>
        <w:pageBreakBefore w:val="0"/>
        <w:widowControl/>
        <w:shd w:val="clear" w:color="auto" w:fill="FFFFFF"/>
        <w:kinsoku/>
        <w:wordWrap/>
        <w:overflowPunct/>
        <w:topLinePunct w:val="0"/>
        <w:autoSpaceDE/>
        <w:autoSpaceDN/>
        <w:bidi w:val="0"/>
        <w:adjustRightInd/>
        <w:snapToGrid/>
        <w:spacing w:line="360" w:lineRule="auto"/>
        <w:jc w:val="center"/>
        <w:textAlignment w:val="baseline"/>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工程量清单及图纸等内容详见采购公告附件</w:t>
      </w:r>
    </w:p>
    <w:p>
      <w:pPr>
        <w:jc w:val="center"/>
        <w:rPr>
          <w:rFonts w:hint="eastAsia" w:ascii="宋体" w:hAnsi="宋体" w:eastAsia="宋体" w:cs="宋体"/>
          <w:b/>
          <w:bCs/>
          <w:color w:val="auto"/>
          <w:highlight w:val="none"/>
        </w:rPr>
      </w:pPr>
    </w:p>
    <w:p>
      <w:pPr>
        <w:jc w:val="center"/>
        <w:rPr>
          <w:rFonts w:hint="eastAsia" w:ascii="宋体" w:hAnsi="宋体" w:eastAsia="宋体" w:cs="宋体"/>
          <w:b/>
          <w:bCs/>
          <w:color w:val="auto"/>
          <w:highlight w:val="none"/>
        </w:rPr>
      </w:pPr>
    </w:p>
    <w:p>
      <w:pPr>
        <w:jc w:val="center"/>
        <w:rPr>
          <w:rFonts w:hint="eastAsia" w:ascii="宋体" w:hAnsi="宋体" w:eastAsia="宋体" w:cs="宋体"/>
          <w:b/>
          <w:bCs/>
          <w:color w:val="auto"/>
          <w:highlight w:val="none"/>
        </w:rPr>
      </w:pPr>
    </w:p>
    <w:p>
      <w:pPr>
        <w:jc w:val="center"/>
        <w:rPr>
          <w:rFonts w:hint="eastAsia" w:ascii="宋体" w:hAnsi="宋体" w:eastAsia="宋体" w:cs="宋体"/>
          <w:b/>
          <w:bCs/>
          <w:color w:val="auto"/>
          <w:highlight w:val="none"/>
        </w:rPr>
      </w:pPr>
    </w:p>
    <w:p>
      <w:pPr>
        <w:jc w:val="center"/>
        <w:rPr>
          <w:rFonts w:hint="eastAsia" w:ascii="宋体" w:hAnsi="宋体" w:eastAsia="宋体" w:cs="宋体"/>
          <w:color w:val="auto"/>
          <w:highlight w:val="none"/>
        </w:rPr>
      </w:pPr>
      <w:r>
        <w:rPr>
          <w:rFonts w:hint="eastAsia" w:ascii="宋体" w:hAnsi="宋体" w:eastAsia="宋体" w:cs="宋体"/>
          <w:b/>
          <w:bCs/>
          <w:color w:val="auto"/>
          <w:highlight w:val="none"/>
        </w:rPr>
        <w:t>……全文结束……</w:t>
      </w:r>
    </w:p>
    <w:p>
      <w:bookmarkStart w:id="208" w:name="_GoBack"/>
      <w:bookmarkEnd w:id="208"/>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25345"/>
      <w:docPartObj>
        <w:docPartGallery w:val="autotext"/>
      </w:docPartObj>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tabs>
        <w:tab w:val="center" w:pos="4559"/>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2C348"/>
    <w:multiLevelType w:val="singleLevel"/>
    <w:tmpl w:val="88E2C348"/>
    <w:lvl w:ilvl="0" w:tentative="0">
      <w:start w:val="1"/>
      <w:numFmt w:val="decimal"/>
      <w:lvlText w:val="7.%1"/>
      <w:lvlJc w:val="left"/>
      <w:pPr>
        <w:tabs>
          <w:tab w:val="left" w:pos="420"/>
        </w:tabs>
        <w:ind w:left="425" w:leftChars="0" w:hanging="425" w:firstLineChars="0"/>
      </w:pPr>
      <w:rPr>
        <w:rFonts w:hint="default"/>
      </w:rPr>
    </w:lvl>
  </w:abstractNum>
  <w:abstractNum w:abstractNumId="1">
    <w:nsid w:val="CFA3E640"/>
    <w:multiLevelType w:val="singleLevel"/>
    <w:tmpl w:val="CFA3E640"/>
    <w:lvl w:ilvl="0" w:tentative="0">
      <w:start w:val="3"/>
      <w:numFmt w:val="chineseCounting"/>
      <w:suff w:val="space"/>
      <w:lvlText w:val="第%1章"/>
      <w:lvlJc w:val="left"/>
      <w:rPr>
        <w:rFonts w:hint="eastAsia"/>
      </w:rPr>
    </w:lvl>
  </w:abstractNum>
  <w:abstractNum w:abstractNumId="2">
    <w:nsid w:val="E2895CEA"/>
    <w:multiLevelType w:val="singleLevel"/>
    <w:tmpl w:val="E2895CEA"/>
    <w:lvl w:ilvl="0" w:tentative="0">
      <w:start w:val="1"/>
      <w:numFmt w:val="decimal"/>
      <w:suff w:val="space"/>
      <w:lvlText w:val="%1."/>
      <w:lvlJc w:val="left"/>
    </w:lvl>
  </w:abstractNum>
  <w:abstractNum w:abstractNumId="3">
    <w:nsid w:val="EA508C4A"/>
    <w:multiLevelType w:val="singleLevel"/>
    <w:tmpl w:val="EA508C4A"/>
    <w:lvl w:ilvl="0" w:tentative="0">
      <w:start w:val="2"/>
      <w:numFmt w:val="decimal"/>
      <w:suff w:val="space"/>
      <w:lvlText w:val="%1）"/>
      <w:lvlJc w:val="left"/>
    </w:lvl>
  </w:abstractNum>
  <w:abstractNum w:abstractNumId="4">
    <w:nsid w:val="0000003D"/>
    <w:multiLevelType w:val="multilevel"/>
    <w:tmpl w:val="0000003D"/>
    <w:lvl w:ilvl="0" w:tentative="0">
      <w:start w:val="1"/>
      <w:numFmt w:val="chineseCountingThousand"/>
      <w:pStyle w:val="2"/>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5">
    <w:nsid w:val="1655D05D"/>
    <w:multiLevelType w:val="singleLevel"/>
    <w:tmpl w:val="1655D05D"/>
    <w:lvl w:ilvl="0" w:tentative="0">
      <w:start w:val="2"/>
      <w:numFmt w:val="decimal"/>
      <w:suff w:val="nothing"/>
      <w:lvlText w:val="%1、"/>
      <w:lvlJc w:val="left"/>
    </w:lvl>
  </w:abstractNum>
  <w:abstractNum w:abstractNumId="6">
    <w:nsid w:val="1A46F240"/>
    <w:multiLevelType w:val="singleLevel"/>
    <w:tmpl w:val="1A46F240"/>
    <w:lvl w:ilvl="0" w:tentative="0">
      <w:start w:val="8"/>
      <w:numFmt w:val="decimal"/>
      <w:suff w:val="space"/>
      <w:lvlText w:val="%1."/>
      <w:lvlJc w:val="left"/>
    </w:lvl>
  </w:abstractNum>
  <w:abstractNum w:abstractNumId="7">
    <w:nsid w:val="2BEC13FA"/>
    <w:multiLevelType w:val="singleLevel"/>
    <w:tmpl w:val="2BEC13FA"/>
    <w:lvl w:ilvl="0" w:tentative="0">
      <w:start w:val="1"/>
      <w:numFmt w:val="decimal"/>
      <w:lvlText w:val="21.%1 "/>
      <w:lvlJc w:val="left"/>
      <w:pPr>
        <w:tabs>
          <w:tab w:val="left" w:pos="420"/>
        </w:tabs>
        <w:ind w:left="425" w:leftChars="0" w:hanging="425" w:firstLineChars="0"/>
      </w:pPr>
      <w:rPr>
        <w:rFonts w:hint="default"/>
      </w:rPr>
    </w:lvl>
  </w:abstractNum>
  <w:abstractNum w:abstractNumId="8">
    <w:nsid w:val="2C0DFDC2"/>
    <w:multiLevelType w:val="singleLevel"/>
    <w:tmpl w:val="2C0DFDC2"/>
    <w:lvl w:ilvl="0" w:tentative="0">
      <w:start w:val="1"/>
      <w:numFmt w:val="decimal"/>
      <w:suff w:val="nothing"/>
      <w:lvlText w:val="%1、"/>
      <w:lvlJc w:val="left"/>
    </w:lvl>
  </w:abstractNum>
  <w:abstractNum w:abstractNumId="9">
    <w:nsid w:val="2F1ED7B0"/>
    <w:multiLevelType w:val="singleLevel"/>
    <w:tmpl w:val="2F1ED7B0"/>
    <w:lvl w:ilvl="0" w:tentative="0">
      <w:start w:val="1"/>
      <w:numFmt w:val="decimal"/>
      <w:pStyle w:val="11"/>
      <w:lvlText w:val="%1."/>
      <w:lvlJc w:val="left"/>
      <w:pPr>
        <w:tabs>
          <w:tab w:val="left" w:pos="2040"/>
        </w:tabs>
        <w:ind w:left="2040" w:hanging="360"/>
      </w:pPr>
    </w:lvl>
  </w:abstractNum>
  <w:abstractNum w:abstractNumId="10">
    <w:nsid w:val="5A0F3AED"/>
    <w:multiLevelType w:val="singleLevel"/>
    <w:tmpl w:val="5A0F3AED"/>
    <w:lvl w:ilvl="0" w:tentative="0">
      <w:start w:val="1"/>
      <w:numFmt w:val="decimal"/>
      <w:suff w:val="nothing"/>
      <w:lvlText w:val="%1、"/>
      <w:lvlJc w:val="left"/>
    </w:lvl>
  </w:abstractNum>
  <w:abstractNum w:abstractNumId="11">
    <w:nsid w:val="68F50015"/>
    <w:multiLevelType w:val="singleLevel"/>
    <w:tmpl w:val="68F50015"/>
    <w:lvl w:ilvl="0" w:tentative="0">
      <w:start w:val="1"/>
      <w:numFmt w:val="decimal"/>
      <w:suff w:val="nothing"/>
      <w:lvlText w:val="%1、"/>
      <w:lvlJc w:val="left"/>
    </w:lvl>
  </w:abstractNum>
  <w:abstractNum w:abstractNumId="12">
    <w:nsid w:val="6F1A29ED"/>
    <w:multiLevelType w:val="singleLevel"/>
    <w:tmpl w:val="6F1A29ED"/>
    <w:lvl w:ilvl="0" w:tentative="0">
      <w:start w:val="1"/>
      <w:numFmt w:val="chineseCounting"/>
      <w:suff w:val="nothing"/>
      <w:lvlText w:val="%1、"/>
      <w:lvlJc w:val="left"/>
      <w:rPr>
        <w:rFonts w:hint="eastAsia"/>
      </w:rPr>
    </w:lvl>
  </w:abstractNum>
  <w:num w:numId="1">
    <w:abstractNumId w:val="4"/>
  </w:num>
  <w:num w:numId="2">
    <w:abstractNumId w:val="9"/>
  </w:num>
  <w:num w:numId="3">
    <w:abstractNumId w:val="10"/>
  </w:num>
  <w:num w:numId="4">
    <w:abstractNumId w:val="8"/>
  </w:num>
  <w:num w:numId="5">
    <w:abstractNumId w:val="5"/>
  </w:num>
  <w:num w:numId="6">
    <w:abstractNumId w:val="1"/>
  </w:num>
  <w:num w:numId="7">
    <w:abstractNumId w:val="3"/>
  </w:num>
  <w:num w:numId="8">
    <w:abstractNumId w:val="0"/>
  </w:num>
  <w:num w:numId="9">
    <w:abstractNumId w:val="6"/>
  </w:num>
  <w:num w:numId="10">
    <w:abstractNumId w:val="7"/>
  </w:num>
  <w:num w:numId="11">
    <w:abstractNumId w:val="12"/>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OGFhZTVkNDEwMDI1ZTIwOTEzNTNiMDY2MDJlNmMifQ=="/>
  </w:docVars>
  <w:rsids>
    <w:rsidRoot w:val="67DF7A98"/>
    <w:rsid w:val="08E60307"/>
    <w:rsid w:val="16094BE4"/>
    <w:rsid w:val="29DB63AD"/>
    <w:rsid w:val="2BF501D3"/>
    <w:rsid w:val="384E4371"/>
    <w:rsid w:val="43596017"/>
    <w:rsid w:val="4448414C"/>
    <w:rsid w:val="4940652C"/>
    <w:rsid w:val="5B822296"/>
    <w:rsid w:val="67DF7A98"/>
    <w:rsid w:val="7500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3">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cs="Arial"/>
      <w:b/>
      <w:bCs/>
      <w:kern w:val="0"/>
      <w:sz w:val="32"/>
      <w:szCs w:val="32"/>
    </w:rPr>
  </w:style>
  <w:style w:type="character" w:default="1" w:styleId="20">
    <w:name w:val="Default Paragraph Font"/>
    <w:semiHidden/>
    <w:uiPriority w:val="0"/>
  </w:style>
  <w:style w:type="table" w:default="1" w:styleId="18">
    <w:name w:val="Normal Table"/>
    <w:autoRedefine/>
    <w:semiHidden/>
    <w:uiPriority w:val="0"/>
    <w:tblPr>
      <w:tblCellMar>
        <w:top w:w="0" w:type="dxa"/>
        <w:left w:w="108" w:type="dxa"/>
        <w:bottom w:w="0" w:type="dxa"/>
        <w:right w:w="108" w:type="dxa"/>
      </w:tblCellMar>
    </w:tblPr>
  </w:style>
  <w:style w:type="paragraph" w:styleId="4">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5">
    <w:name w:val="Body Text"/>
    <w:basedOn w:val="1"/>
    <w:next w:val="6"/>
    <w:qFormat/>
    <w:uiPriority w:val="0"/>
    <w:rPr>
      <w:kern w:val="0"/>
    </w:rPr>
  </w:style>
  <w:style w:type="paragraph" w:customStyle="1" w:styleId="6">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7">
    <w:name w:val="Body Text Indent"/>
    <w:basedOn w:val="1"/>
    <w:next w:val="8"/>
    <w:qFormat/>
    <w:uiPriority w:val="0"/>
    <w:pPr>
      <w:spacing w:after="156"/>
      <w:ind w:firstLine="480"/>
    </w:pPr>
    <w:rPr>
      <w:sz w:val="24"/>
      <w:szCs w:val="24"/>
    </w:rPr>
  </w:style>
  <w:style w:type="paragraph" w:styleId="8">
    <w:name w:val="envelope return"/>
    <w:basedOn w:val="1"/>
    <w:qFormat/>
    <w:uiPriority w:val="0"/>
    <w:pPr>
      <w:snapToGrid w:val="0"/>
    </w:pPr>
    <w:rPr>
      <w:rFonts w:ascii="Arial" w:hAnsi="Arial" w:cs="Arial"/>
    </w:rPr>
  </w:style>
  <w:style w:type="paragraph" w:styleId="9">
    <w:name w:val="toc 3"/>
    <w:basedOn w:val="1"/>
    <w:next w:val="1"/>
    <w:semiHidden/>
    <w:qFormat/>
    <w:uiPriority w:val="99"/>
    <w:pPr>
      <w:ind w:left="420"/>
      <w:jc w:val="left"/>
    </w:pPr>
    <w:rPr>
      <w:i/>
      <w:iCs/>
      <w:sz w:val="20"/>
      <w:szCs w:val="20"/>
    </w:rPr>
  </w:style>
  <w:style w:type="paragraph" w:styleId="10">
    <w:name w:val="Plain Text"/>
    <w:basedOn w:val="1"/>
    <w:next w:val="11"/>
    <w:qFormat/>
    <w:uiPriority w:val="0"/>
    <w:rPr>
      <w:rFonts w:ascii="宋体" w:hAnsi="Courier New" w:cs="宋体"/>
      <w:kern w:val="0"/>
    </w:rPr>
  </w:style>
  <w:style w:type="paragraph" w:styleId="11">
    <w:name w:val="List Number 5"/>
    <w:basedOn w:val="1"/>
    <w:uiPriority w:val="0"/>
    <w:pPr>
      <w:numPr>
        <w:ilvl w:val="0"/>
        <w:numId w:val="2"/>
      </w:numPr>
    </w:p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15">
    <w:name w:val="Body Text Indent 3"/>
    <w:basedOn w:val="1"/>
    <w:next w:val="4"/>
    <w:qFormat/>
    <w:uiPriority w:val="0"/>
    <w:pPr>
      <w:spacing w:after="120"/>
      <w:ind w:left="420" w:leftChars="200"/>
    </w:pPr>
    <w:rPr>
      <w:kern w:val="0"/>
      <w:sz w:val="16"/>
      <w:szCs w:val="16"/>
    </w:rPr>
  </w:style>
  <w:style w:type="paragraph" w:styleId="16">
    <w:name w:val="Body Text First Indent"/>
    <w:basedOn w:val="5"/>
    <w:qFormat/>
    <w:uiPriority w:val="0"/>
    <w:pPr>
      <w:spacing w:line="360" w:lineRule="auto"/>
      <w:ind w:firstLine="482"/>
    </w:pPr>
  </w:style>
  <w:style w:type="paragraph" w:styleId="17">
    <w:name w:val="Body Text First Indent 2"/>
    <w:basedOn w:val="7"/>
    <w:next w:val="15"/>
    <w:qFormat/>
    <w:uiPriority w:val="99"/>
    <w:pPr>
      <w:ind w:firstLine="420" w:firstLineChars="200"/>
    </w:pPr>
    <w:rPr>
      <w:sz w:val="21"/>
      <w:szCs w:val="21"/>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普通正文"/>
    <w:basedOn w:val="1"/>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2024-05-07T06:56:00Z</dcterms:created>
  <dc:creator>梧桐那么伤</dc:creator>
  <cp:lastModifiedBy>梧桐那么伤</cp:lastModifiedBy>
  <dcterms:modified xsi:type="dcterms:W3CDTF">2024-05-07T06:57:30Z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BA65A41D98A34F32B270944BDDB2772F_11</vt:lpwstr>
  </property>
</Properties>
</file>