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8D" w:rsidRPr="00AD2E8D" w:rsidRDefault="00AD2E8D" w:rsidP="00AD2E8D">
      <w:pPr>
        <w:tabs>
          <w:tab w:val="left" w:pos="5325"/>
        </w:tabs>
        <w:spacing w:line="440" w:lineRule="exact"/>
        <w:contextualSpacing/>
        <w:rPr>
          <w:rFonts w:ascii="方正黑体_GBK" w:eastAsia="方正黑体_GBK" w:hAnsi="微软雅黑" w:hint="eastAsia"/>
          <w:color w:val="000000"/>
          <w:sz w:val="32"/>
          <w:szCs w:val="36"/>
          <w:bdr w:val="none" w:sz="0" w:space="0" w:color="auto" w:frame="1"/>
        </w:rPr>
      </w:pPr>
      <w:r w:rsidRPr="00AD2E8D">
        <w:rPr>
          <w:rFonts w:ascii="方正黑体_GBK" w:eastAsia="方正黑体_GBK" w:hAnsi="微软雅黑" w:hint="eastAsia"/>
          <w:color w:val="000000"/>
          <w:sz w:val="32"/>
          <w:szCs w:val="36"/>
          <w:bdr w:val="none" w:sz="0" w:space="0" w:color="auto" w:frame="1"/>
        </w:rPr>
        <w:t>附件1</w:t>
      </w:r>
    </w:p>
    <w:p w:rsidR="00AD2E8D" w:rsidRDefault="00AD2E8D" w:rsidP="00AD2E8D">
      <w:pPr>
        <w:tabs>
          <w:tab w:val="left" w:pos="5325"/>
        </w:tabs>
        <w:spacing w:line="440" w:lineRule="exact"/>
        <w:contextualSpacing/>
        <w:jc w:val="center"/>
        <w:rPr>
          <w:rFonts w:ascii="方正小标宋_GBK" w:eastAsia="方正小标宋_GBK" w:hAnsi="微软雅黑" w:hint="eastAsia"/>
          <w:color w:val="000000"/>
          <w:sz w:val="36"/>
          <w:szCs w:val="36"/>
          <w:bdr w:val="none" w:sz="0" w:space="0" w:color="auto" w:frame="1"/>
        </w:rPr>
      </w:pPr>
    </w:p>
    <w:p w:rsidR="00AD2E8D" w:rsidRPr="00DA4BC0" w:rsidRDefault="00AD2E8D" w:rsidP="00AD2E8D">
      <w:pPr>
        <w:tabs>
          <w:tab w:val="left" w:pos="5325"/>
        </w:tabs>
        <w:spacing w:line="440" w:lineRule="exact"/>
        <w:contextualSpacing/>
        <w:jc w:val="center"/>
        <w:rPr>
          <w:rFonts w:ascii="方正小标宋_GBK" w:eastAsia="方正小标宋_GBK" w:hAnsi="宋体"/>
          <w:sz w:val="36"/>
          <w:szCs w:val="36"/>
        </w:rPr>
      </w:pPr>
      <w:r w:rsidRPr="00DA4BC0">
        <w:rPr>
          <w:rFonts w:ascii="方正小标宋_GBK" w:eastAsia="方正小标宋_GBK" w:hAnsi="微软雅黑" w:hint="eastAsia"/>
          <w:color w:val="000000"/>
          <w:sz w:val="36"/>
          <w:szCs w:val="36"/>
          <w:bdr w:val="none" w:sz="0" w:space="0" w:color="auto" w:frame="1"/>
        </w:rPr>
        <w:t>会议中心</w:t>
      </w:r>
      <w:proofErr w:type="gramStart"/>
      <w:r w:rsidRPr="00DA4BC0">
        <w:rPr>
          <w:rFonts w:ascii="方正小标宋_GBK" w:eastAsia="方正小标宋_GBK" w:hAnsi="微软雅黑" w:hint="eastAsia"/>
          <w:color w:val="000000"/>
          <w:sz w:val="36"/>
          <w:szCs w:val="36"/>
          <w:bdr w:val="none" w:sz="0" w:space="0" w:color="auto" w:frame="1"/>
        </w:rPr>
        <w:t>屋顶环</w:t>
      </w:r>
      <w:proofErr w:type="gramEnd"/>
      <w:r w:rsidRPr="00DA4BC0">
        <w:rPr>
          <w:rFonts w:ascii="方正小标宋_GBK" w:eastAsia="方正小标宋_GBK" w:hAnsi="微软雅黑" w:hint="eastAsia"/>
          <w:color w:val="000000"/>
          <w:sz w:val="36"/>
          <w:szCs w:val="36"/>
          <w:bdr w:val="none" w:sz="0" w:space="0" w:color="auto" w:frame="1"/>
        </w:rPr>
        <w:t>氧地坪漆工程</w:t>
      </w:r>
      <w:r w:rsidRPr="00DA4BC0">
        <w:rPr>
          <w:rFonts w:ascii="方正小标宋_GBK" w:eastAsia="方正小标宋_GBK" w:hAnsi="宋体" w:hint="eastAsia"/>
          <w:sz w:val="36"/>
          <w:szCs w:val="36"/>
        </w:rPr>
        <w:t>招标文件</w:t>
      </w:r>
    </w:p>
    <w:p w:rsidR="00AD2E8D" w:rsidRPr="001A3FC0" w:rsidRDefault="00AD2E8D" w:rsidP="00AD2E8D">
      <w:pPr>
        <w:tabs>
          <w:tab w:val="left" w:pos="5325"/>
        </w:tabs>
        <w:spacing w:line="440" w:lineRule="exact"/>
        <w:ind w:firstLineChars="200" w:firstLine="562"/>
        <w:contextualSpacing/>
        <w:rPr>
          <w:rFonts w:ascii="方正仿宋_GBK" w:eastAsia="方正仿宋_GBK" w:hAnsi="宋体"/>
          <w:b/>
          <w:sz w:val="28"/>
          <w:szCs w:val="28"/>
        </w:rPr>
      </w:pP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一、项目概况</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本次采购项目为南通市行政中心会议中心</w:t>
      </w:r>
      <w:proofErr w:type="gramStart"/>
      <w:r w:rsidRPr="001A3FC0">
        <w:rPr>
          <w:rFonts w:ascii="方正仿宋_GBK" w:eastAsia="方正仿宋_GBK" w:hAnsi="宋体" w:hint="eastAsia"/>
          <w:sz w:val="28"/>
          <w:szCs w:val="28"/>
        </w:rPr>
        <w:t>屋顶环</w:t>
      </w:r>
      <w:proofErr w:type="gramEnd"/>
      <w:r w:rsidRPr="001A3FC0">
        <w:rPr>
          <w:rFonts w:ascii="方正仿宋_GBK" w:eastAsia="方正仿宋_GBK" w:hAnsi="宋体" w:hint="eastAsia"/>
          <w:sz w:val="28"/>
          <w:szCs w:val="28"/>
        </w:rPr>
        <w:t>氧地坪漆工程。项目整体面积约为1700平方米。</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本项目最高限价为18.57万元，由承建方</w:t>
      </w:r>
      <w:bookmarkStart w:id="0" w:name="_GoBack"/>
      <w:bookmarkEnd w:id="0"/>
      <w:r w:rsidRPr="001A3FC0">
        <w:rPr>
          <w:rFonts w:ascii="方正仿宋_GBK" w:eastAsia="方正仿宋_GBK" w:hAnsi="宋体" w:hint="eastAsia"/>
          <w:sz w:val="28"/>
          <w:szCs w:val="28"/>
        </w:rPr>
        <w:t>包工包料组织施工，工期</w:t>
      </w:r>
      <w:r>
        <w:rPr>
          <w:rFonts w:ascii="方正仿宋_GBK" w:eastAsia="方正仿宋_GBK" w:hAnsi="宋体" w:hint="eastAsia"/>
          <w:sz w:val="28"/>
          <w:szCs w:val="28"/>
        </w:rPr>
        <w:t>6</w:t>
      </w:r>
      <w:r w:rsidRPr="001A3FC0">
        <w:rPr>
          <w:rFonts w:ascii="方正仿宋_GBK" w:eastAsia="方正仿宋_GBK" w:hAnsi="宋体" w:hint="eastAsia"/>
          <w:sz w:val="28"/>
          <w:szCs w:val="28"/>
        </w:rPr>
        <w:t>0个日历天。</w:t>
      </w: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二、投标供应商资格要求</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具有独立承担民事责任的能力；具有良好的商业信誉和健全的财务会计制度；具有履行合同所必需的设备和专业技术能力；有依法缴纳税收和社会保障资金的良好记录；参加本次政府采购招标活动前三年内，在经营活动中没有重大违法记录；</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2、建筑装修装饰工程专业承包二级及以上资质；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3、项目经理具备相应的注册建造师二级及以上资质；</w:t>
      </w: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三、付款方式</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签订合同后</w:t>
      </w:r>
      <w:proofErr w:type="gramStart"/>
      <w:r w:rsidRPr="001A3FC0">
        <w:rPr>
          <w:rFonts w:ascii="方正仿宋_GBK" w:eastAsia="方正仿宋_GBK" w:hAnsi="宋体" w:hint="eastAsia"/>
          <w:sz w:val="28"/>
          <w:szCs w:val="28"/>
        </w:rPr>
        <w:t>付合同</w:t>
      </w:r>
      <w:proofErr w:type="gramEnd"/>
      <w:r w:rsidRPr="001A3FC0">
        <w:rPr>
          <w:rFonts w:ascii="方正仿宋_GBK" w:eastAsia="方正仿宋_GBK" w:hAnsi="宋体" w:hint="eastAsia"/>
          <w:sz w:val="28"/>
          <w:szCs w:val="28"/>
        </w:rPr>
        <w:t>价的30%；工程验收合格后</w:t>
      </w:r>
      <w:proofErr w:type="gramStart"/>
      <w:r w:rsidRPr="001A3FC0">
        <w:rPr>
          <w:rFonts w:ascii="方正仿宋_GBK" w:eastAsia="方正仿宋_GBK" w:hAnsi="宋体" w:hint="eastAsia"/>
          <w:sz w:val="28"/>
          <w:szCs w:val="28"/>
        </w:rPr>
        <w:t>付合同</w:t>
      </w:r>
      <w:proofErr w:type="gramEnd"/>
      <w:r w:rsidRPr="001A3FC0">
        <w:rPr>
          <w:rFonts w:ascii="方正仿宋_GBK" w:eastAsia="方正仿宋_GBK" w:hAnsi="宋体" w:hint="eastAsia"/>
          <w:sz w:val="28"/>
          <w:szCs w:val="28"/>
        </w:rPr>
        <w:t>价的50%；</w:t>
      </w:r>
      <w:r w:rsidRPr="001A3FC0">
        <w:rPr>
          <w:rFonts w:ascii="方正仿宋_GBK" w:eastAsia="方正仿宋_GBK" w:hint="eastAsia"/>
          <w:bCs/>
          <w:snapToGrid w:val="0"/>
          <w:sz w:val="28"/>
          <w:szCs w:val="28"/>
        </w:rPr>
        <w:t>工程竣工结算审计后</w:t>
      </w:r>
      <w:r w:rsidRPr="001A3FC0">
        <w:rPr>
          <w:rFonts w:ascii="方正仿宋_GBK" w:eastAsia="方正仿宋_GBK" w:hAnsi="宋体" w:hint="eastAsia"/>
          <w:sz w:val="28"/>
          <w:szCs w:val="28"/>
        </w:rPr>
        <w:t>付 15 %；余额5%作为保修金，自工程竣工验收合格之日起满5年后10日内付清。</w:t>
      </w: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四、项目施工技术及安全要求</w:t>
      </w:r>
    </w:p>
    <w:p w:rsidR="00AD2E8D" w:rsidRPr="001A3FC0" w:rsidRDefault="00AD2E8D" w:rsidP="00AD2E8D">
      <w:pPr>
        <w:shd w:val="clear" w:color="auto" w:fill="FFFFFF"/>
        <w:spacing w:line="440" w:lineRule="exact"/>
        <w:ind w:firstLineChars="200" w:firstLine="562"/>
        <w:contextualSpacing/>
        <w:rPr>
          <w:rFonts w:ascii="方正仿宋_GBK" w:eastAsia="方正仿宋_GBK" w:hAnsi="宋体"/>
          <w:sz w:val="28"/>
          <w:szCs w:val="28"/>
        </w:rPr>
      </w:pPr>
      <w:r w:rsidRPr="001A3FC0">
        <w:rPr>
          <w:rFonts w:ascii="方正仿宋_GBK" w:eastAsia="方正仿宋_GBK" w:hAnsi="宋体" w:hint="eastAsia"/>
          <w:b/>
          <w:sz w:val="28"/>
          <w:szCs w:val="28"/>
        </w:rPr>
        <w:t>1、</w:t>
      </w:r>
      <w:proofErr w:type="gramStart"/>
      <w:r w:rsidRPr="001A3FC0">
        <w:rPr>
          <w:rFonts w:ascii="方正仿宋_GBK" w:eastAsia="方正仿宋_GBK" w:hAnsi="宋体" w:hint="eastAsia"/>
          <w:b/>
          <w:sz w:val="28"/>
          <w:szCs w:val="28"/>
        </w:rPr>
        <w:t>签定</w:t>
      </w:r>
      <w:proofErr w:type="gramEnd"/>
      <w:r w:rsidRPr="001A3FC0">
        <w:rPr>
          <w:rFonts w:ascii="方正仿宋_GBK" w:eastAsia="方正仿宋_GBK" w:hAnsi="宋体" w:hint="eastAsia"/>
          <w:b/>
          <w:sz w:val="28"/>
          <w:szCs w:val="28"/>
        </w:rPr>
        <w:t>合同日期：</w:t>
      </w:r>
      <w:r w:rsidRPr="001A3FC0">
        <w:rPr>
          <w:rFonts w:ascii="方正仿宋_GBK" w:eastAsia="方正仿宋_GBK" w:hAnsi="宋体" w:hint="eastAsia"/>
          <w:sz w:val="28"/>
          <w:szCs w:val="28"/>
        </w:rPr>
        <w:t xml:space="preserve">自成交通知书发出之日起 5 </w:t>
      </w:r>
      <w:proofErr w:type="gramStart"/>
      <w:r w:rsidRPr="001A3FC0">
        <w:rPr>
          <w:rFonts w:ascii="方正仿宋_GBK" w:eastAsia="方正仿宋_GBK" w:hAnsi="宋体" w:hint="eastAsia"/>
          <w:sz w:val="28"/>
          <w:szCs w:val="28"/>
        </w:rPr>
        <w:t>个</w:t>
      </w:r>
      <w:proofErr w:type="gramEnd"/>
      <w:r w:rsidRPr="001A3FC0">
        <w:rPr>
          <w:rFonts w:ascii="方正仿宋_GBK" w:eastAsia="方正仿宋_GBK" w:hAnsi="宋体" w:hint="eastAsia"/>
          <w:sz w:val="28"/>
          <w:szCs w:val="28"/>
        </w:rPr>
        <w:t>工作日内按时签约。</w:t>
      </w:r>
    </w:p>
    <w:p w:rsidR="00AD2E8D" w:rsidRPr="001A3FC0" w:rsidRDefault="00AD2E8D" w:rsidP="00AD2E8D">
      <w:pPr>
        <w:shd w:val="clear" w:color="auto" w:fill="FFFFFF"/>
        <w:spacing w:line="440" w:lineRule="exact"/>
        <w:ind w:firstLineChars="200" w:firstLine="562"/>
        <w:contextualSpacing/>
        <w:rPr>
          <w:rFonts w:ascii="方正仿宋_GBK" w:eastAsia="方正仿宋_GBK" w:hAnsi="宋体"/>
          <w:sz w:val="28"/>
          <w:szCs w:val="28"/>
        </w:rPr>
      </w:pPr>
      <w:r w:rsidRPr="001A3FC0">
        <w:rPr>
          <w:rFonts w:ascii="方正仿宋_GBK" w:eastAsia="方正仿宋_GBK" w:hAnsi="宋体" w:hint="eastAsia"/>
          <w:b/>
          <w:sz w:val="28"/>
          <w:szCs w:val="28"/>
        </w:rPr>
        <w:t>2、施工时间：</w:t>
      </w:r>
      <w:r w:rsidRPr="001A3FC0">
        <w:rPr>
          <w:rFonts w:ascii="方正仿宋_GBK" w:eastAsia="方正仿宋_GBK" w:hAnsi="宋体" w:hint="eastAsia"/>
          <w:sz w:val="28"/>
          <w:szCs w:val="28"/>
        </w:rPr>
        <w:t>自合同</w:t>
      </w:r>
      <w:proofErr w:type="gramStart"/>
      <w:r w:rsidRPr="001A3FC0">
        <w:rPr>
          <w:rFonts w:ascii="方正仿宋_GBK" w:eastAsia="方正仿宋_GBK" w:hAnsi="宋体" w:hint="eastAsia"/>
          <w:sz w:val="28"/>
          <w:szCs w:val="28"/>
        </w:rPr>
        <w:t>签定</w:t>
      </w:r>
      <w:proofErr w:type="gramEnd"/>
      <w:r w:rsidRPr="001A3FC0">
        <w:rPr>
          <w:rFonts w:ascii="方正仿宋_GBK" w:eastAsia="方正仿宋_GBK" w:hAnsi="宋体" w:hint="eastAsia"/>
          <w:sz w:val="28"/>
          <w:szCs w:val="28"/>
        </w:rPr>
        <w:t>并通知入场之日起</w:t>
      </w:r>
      <w:r>
        <w:rPr>
          <w:rFonts w:ascii="方正仿宋_GBK" w:eastAsia="方正仿宋_GBK" w:hAnsi="宋体" w:hint="eastAsia"/>
          <w:sz w:val="28"/>
          <w:szCs w:val="28"/>
        </w:rPr>
        <w:t>60</w:t>
      </w:r>
      <w:r w:rsidRPr="001A3FC0">
        <w:rPr>
          <w:rFonts w:ascii="方正仿宋_GBK" w:eastAsia="方正仿宋_GBK" w:hAnsi="宋体" w:hint="eastAsia"/>
          <w:sz w:val="28"/>
          <w:szCs w:val="28"/>
        </w:rPr>
        <w:t>天内完成。</w:t>
      </w:r>
    </w:p>
    <w:p w:rsidR="00AD2E8D" w:rsidRPr="001A3FC0" w:rsidRDefault="00AD2E8D" w:rsidP="00AD2E8D">
      <w:pPr>
        <w:shd w:val="clear" w:color="auto" w:fill="FFFFFF"/>
        <w:spacing w:line="440" w:lineRule="exact"/>
        <w:ind w:firstLineChars="200" w:firstLine="562"/>
        <w:contextualSpacing/>
        <w:rPr>
          <w:rFonts w:ascii="方正仿宋_GBK" w:eastAsia="方正仿宋_GBK" w:hAnsi="宋体"/>
          <w:b/>
          <w:sz w:val="28"/>
          <w:szCs w:val="28"/>
        </w:rPr>
      </w:pPr>
      <w:r w:rsidRPr="001A3FC0">
        <w:rPr>
          <w:rFonts w:ascii="方正仿宋_GBK" w:eastAsia="方正仿宋_GBK" w:hAnsi="宋体" w:hint="eastAsia"/>
          <w:b/>
          <w:sz w:val="28"/>
          <w:szCs w:val="28"/>
        </w:rPr>
        <w:t>3、施工地点：南通市行政中心大院内</w:t>
      </w:r>
    </w:p>
    <w:p w:rsidR="00AD2E8D" w:rsidRPr="001A3FC0" w:rsidRDefault="00AD2E8D" w:rsidP="00AD2E8D">
      <w:pPr>
        <w:shd w:val="clear" w:color="auto" w:fill="FFFFFF"/>
        <w:spacing w:line="440" w:lineRule="exact"/>
        <w:ind w:firstLineChars="200" w:firstLine="562"/>
        <w:contextualSpacing/>
        <w:rPr>
          <w:rFonts w:ascii="方正仿宋_GBK" w:eastAsia="方正仿宋_GBK" w:hAnsi="宋体"/>
          <w:b/>
          <w:sz w:val="28"/>
          <w:szCs w:val="28"/>
        </w:rPr>
      </w:pPr>
      <w:r w:rsidRPr="001A3FC0">
        <w:rPr>
          <w:rFonts w:ascii="方正仿宋_GBK" w:eastAsia="方正仿宋_GBK" w:hAnsi="宋体" w:hint="eastAsia"/>
          <w:b/>
          <w:sz w:val="28"/>
          <w:szCs w:val="28"/>
        </w:rPr>
        <w:t>4、技术及安全要求</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（1）严格按中华人民共和国建设部颁发的有关标准、规范及省、市有关规定施工。</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（2）按市文明工地的标准布置施工现场，精心组织施工。确保零安全事故。</w:t>
      </w:r>
    </w:p>
    <w:p w:rsidR="00AD2E8D" w:rsidRPr="001A3FC0" w:rsidRDefault="00AD2E8D" w:rsidP="00AD2E8D">
      <w:pPr>
        <w:tabs>
          <w:tab w:val="left" w:pos="5325"/>
        </w:tabs>
        <w:spacing w:line="440" w:lineRule="exact"/>
        <w:ind w:firstLineChars="200" w:firstLine="560"/>
        <w:rPr>
          <w:rFonts w:ascii="方正仿宋_GBK" w:eastAsia="方正仿宋_GBK" w:hAnsi="宋体"/>
          <w:b/>
          <w:sz w:val="28"/>
          <w:szCs w:val="28"/>
        </w:rPr>
      </w:pPr>
      <w:r w:rsidRPr="00A15EB6">
        <w:rPr>
          <w:rFonts w:ascii="方正黑体_GBK" w:eastAsia="方正黑体_GBK" w:hAnsi="宋体" w:hint="eastAsia"/>
          <w:sz w:val="28"/>
          <w:szCs w:val="28"/>
        </w:rPr>
        <w:lastRenderedPageBreak/>
        <w:t>五、验收要求：</w:t>
      </w:r>
      <w:r w:rsidRPr="001A3FC0">
        <w:rPr>
          <w:rFonts w:ascii="方正仿宋_GBK" w:eastAsia="方正仿宋_GBK" w:hAnsi="宋体" w:hint="eastAsia"/>
          <w:sz w:val="28"/>
          <w:szCs w:val="28"/>
        </w:rPr>
        <w:t>在接到供应商以书面形式提出验收申请后，在5个工作日内及时组织相关专业技术人员，必要时邀请质检等部门共同参与验收，并出具验收报告，作为支付货款的依据。</w:t>
      </w: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六、施工工艺及工程量清单（详见附件）</w:t>
      </w: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七、报价范围</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1、报价范围：为完成工程量清单内容所必须的附属工程、临时工程、措施项目、材料、机械、劳务及所需的全部费用；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2、材料价格及工程取费标准按提供的工程量清单要求，参照国家及江苏省、南通市有关规定编制；</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3、报价中不可竞争费均按国家及省市相关规定执行；</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4、主要材料品牌要求</w:t>
      </w:r>
    </w:p>
    <w:tbl>
      <w:tblPr>
        <w:tblW w:w="0" w:type="auto"/>
        <w:jc w:val="center"/>
        <w:tblLayout w:type="fixed"/>
        <w:tblLook w:val="0000" w:firstRow="0" w:lastRow="0" w:firstColumn="0" w:lastColumn="0" w:noHBand="0" w:noVBand="0"/>
      </w:tblPr>
      <w:tblGrid>
        <w:gridCol w:w="570"/>
        <w:gridCol w:w="2985"/>
        <w:gridCol w:w="4500"/>
      </w:tblGrid>
      <w:tr w:rsidR="00AD2E8D" w:rsidRPr="001A3FC0" w:rsidTr="00F00EBF">
        <w:trPr>
          <w:trHeight w:val="810"/>
          <w:jc w:val="center"/>
        </w:trPr>
        <w:tc>
          <w:tcPr>
            <w:tcW w:w="570"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sz w:val="28"/>
                <w:szCs w:val="28"/>
              </w:rPr>
            </w:pPr>
            <w:r w:rsidRPr="001A3FC0">
              <w:rPr>
                <w:rFonts w:ascii="方正仿宋_GBK" w:eastAsia="方正仿宋_GBK" w:hAnsi="宋体" w:cs="Times New Roman" w:hint="eastAsia"/>
                <w:sz w:val="28"/>
                <w:szCs w:val="28"/>
              </w:rPr>
              <w:t>序</w:t>
            </w:r>
            <w:r w:rsidRPr="001A3FC0">
              <w:rPr>
                <w:rFonts w:ascii="方正仿宋_GBK" w:eastAsia="方正仿宋_GBK" w:hAnsi="宋体" w:cs="Times New Roman" w:hint="eastAsia"/>
                <w:sz w:val="28"/>
                <w:szCs w:val="28"/>
              </w:rPr>
              <w:br/>
              <w:t>号</w:t>
            </w:r>
          </w:p>
        </w:tc>
        <w:tc>
          <w:tcPr>
            <w:tcW w:w="2985" w:type="dxa"/>
            <w:tcBorders>
              <w:top w:val="single" w:sz="4" w:space="0" w:color="000000"/>
              <w:left w:val="nil"/>
              <w:bottom w:val="single" w:sz="4" w:space="0" w:color="auto"/>
              <w:right w:val="single" w:sz="4" w:space="0" w:color="000000"/>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r w:rsidRPr="001A3FC0">
              <w:rPr>
                <w:rFonts w:ascii="方正仿宋_GBK" w:eastAsia="方正仿宋_GBK" w:hAnsi="宋体" w:cs="Times New Roman" w:hint="eastAsia"/>
                <w:sz w:val="28"/>
                <w:szCs w:val="28"/>
              </w:rPr>
              <w:t>材料名称</w:t>
            </w:r>
          </w:p>
        </w:tc>
        <w:tc>
          <w:tcPr>
            <w:tcW w:w="4500" w:type="dxa"/>
            <w:tcBorders>
              <w:top w:val="single" w:sz="4" w:space="0" w:color="000000"/>
              <w:left w:val="nil"/>
              <w:bottom w:val="single" w:sz="4" w:space="0" w:color="auto"/>
              <w:right w:val="single" w:sz="4" w:space="0" w:color="000000"/>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r w:rsidRPr="001A3FC0">
              <w:rPr>
                <w:rFonts w:ascii="方正仿宋_GBK" w:eastAsia="方正仿宋_GBK" w:hAnsi="宋体" w:cs="Times New Roman" w:hint="eastAsia"/>
                <w:color w:val="000000"/>
                <w:sz w:val="28"/>
                <w:szCs w:val="28"/>
              </w:rPr>
              <w:t>品牌</w:t>
            </w:r>
          </w:p>
        </w:tc>
      </w:tr>
      <w:tr w:rsidR="00AD2E8D" w:rsidRPr="001A3FC0" w:rsidTr="00F00EBF">
        <w:trPr>
          <w:trHeight w:val="499"/>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r w:rsidRPr="001A3FC0">
              <w:rPr>
                <w:rFonts w:ascii="方正仿宋_GBK" w:eastAsia="方正仿宋_GBK" w:hAnsi="宋体" w:cs="Times New Roman" w:hint="eastAsia"/>
                <w:color w:val="000000"/>
                <w:sz w:val="28"/>
                <w:szCs w:val="28"/>
              </w:rPr>
              <w:t>1</w:t>
            </w: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r w:rsidRPr="001A3FC0">
              <w:rPr>
                <w:rFonts w:ascii="方正仿宋_GBK" w:eastAsia="方正仿宋_GBK" w:hAnsi="宋体" w:cs="Times New Roman" w:hint="eastAsia"/>
                <w:color w:val="000000"/>
                <w:sz w:val="28"/>
                <w:szCs w:val="28"/>
              </w:rPr>
              <w:t>环氧地坪漆</w:t>
            </w: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迈强（上海）、富贵</w:t>
            </w:r>
            <w:proofErr w:type="gramStart"/>
            <w:r>
              <w:rPr>
                <w:rFonts w:ascii="方正仿宋_GBK" w:eastAsia="方正仿宋_GBK" w:hAnsi="宋体" w:cs="Times New Roman" w:hint="eastAsia"/>
                <w:color w:val="000000"/>
                <w:sz w:val="28"/>
                <w:szCs w:val="28"/>
              </w:rPr>
              <w:t>鑫</w:t>
            </w:r>
            <w:proofErr w:type="gramEnd"/>
            <w:r>
              <w:rPr>
                <w:rFonts w:ascii="方正仿宋_GBK" w:eastAsia="方正仿宋_GBK" w:hAnsi="宋体" w:cs="Times New Roman" w:hint="eastAsia"/>
                <w:color w:val="000000"/>
                <w:sz w:val="28"/>
                <w:szCs w:val="28"/>
              </w:rPr>
              <w:t>（广东）、锦锐（上海）</w:t>
            </w:r>
          </w:p>
        </w:tc>
      </w:tr>
      <w:tr w:rsidR="00AD2E8D" w:rsidRPr="001A3FC0" w:rsidTr="00F00EBF">
        <w:trPr>
          <w:trHeight w:val="494"/>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2</w:t>
            </w: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防水材料</w:t>
            </w: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r>
              <w:rPr>
                <w:rFonts w:ascii="方正仿宋_GBK" w:eastAsia="方正仿宋_GBK" w:hAnsi="宋体" w:cs="Times New Roman" w:hint="eastAsia"/>
                <w:color w:val="000000"/>
                <w:sz w:val="28"/>
                <w:szCs w:val="28"/>
              </w:rPr>
              <w:t xml:space="preserve">东方雨虹、西卡、禹王 </w:t>
            </w:r>
          </w:p>
        </w:tc>
      </w:tr>
      <w:tr w:rsidR="00AD2E8D" w:rsidRPr="001A3FC0" w:rsidTr="00F00EBF">
        <w:trPr>
          <w:trHeight w:val="494"/>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r>
      <w:tr w:rsidR="00AD2E8D" w:rsidRPr="001A3FC0" w:rsidTr="00F00EBF">
        <w:trPr>
          <w:trHeight w:val="499"/>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r>
      <w:tr w:rsidR="00AD2E8D" w:rsidRPr="001A3FC0" w:rsidTr="00F00EBF">
        <w:trPr>
          <w:trHeight w:val="499"/>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r>
      <w:tr w:rsidR="00AD2E8D" w:rsidRPr="001A3FC0" w:rsidTr="00F00EBF">
        <w:trPr>
          <w:trHeight w:val="499"/>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r>
      <w:tr w:rsidR="00AD2E8D" w:rsidRPr="001A3FC0" w:rsidTr="00F00EBF">
        <w:trPr>
          <w:trHeight w:val="499"/>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r>
      <w:tr w:rsidR="00AD2E8D" w:rsidRPr="001A3FC0" w:rsidTr="00F00EBF">
        <w:trPr>
          <w:trHeight w:val="499"/>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r>
      <w:tr w:rsidR="00AD2E8D" w:rsidRPr="001A3FC0" w:rsidTr="00F00EBF">
        <w:trPr>
          <w:trHeight w:val="499"/>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c>
          <w:tcPr>
            <w:tcW w:w="2985"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rPr>
                <w:rFonts w:ascii="方正仿宋_GBK" w:eastAsia="方正仿宋_GBK" w:hAnsi="宋体" w:cs="Times New Roman"/>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shd w:val="clear" w:color="000000" w:fill="FFFFFF"/>
            <w:vAlign w:val="center"/>
          </w:tcPr>
          <w:p w:rsidR="00AD2E8D" w:rsidRPr="001A3FC0" w:rsidRDefault="00AD2E8D" w:rsidP="00F00EBF">
            <w:pPr>
              <w:spacing w:after="0"/>
              <w:jc w:val="center"/>
              <w:rPr>
                <w:rFonts w:ascii="方正仿宋_GBK" w:eastAsia="方正仿宋_GBK" w:hAnsi="宋体" w:cs="Times New Roman"/>
                <w:color w:val="000000"/>
                <w:sz w:val="28"/>
                <w:szCs w:val="28"/>
              </w:rPr>
            </w:pPr>
          </w:p>
        </w:tc>
      </w:tr>
    </w:tbl>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5、报价注意事项：</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供应商应充分自行组织勘察本项目的现场施工条件及现有建筑物、构筑物的现状情况，充分预见可能发生的一切额外费用（包括施工期和实际施工面积），且在上班时间注意噪音污染和扬尘，精心编制施工方案。供应商有义务对相关建筑物实际维修面积及工程量清单进行检查复核,若发现漏项、少算、错算，应在投标前以书面形式提</w:t>
      </w:r>
      <w:r w:rsidRPr="001A3FC0">
        <w:rPr>
          <w:rFonts w:ascii="方正仿宋_GBK" w:eastAsia="方正仿宋_GBK" w:hAnsi="宋体" w:hint="eastAsia"/>
          <w:sz w:val="28"/>
          <w:szCs w:val="28"/>
        </w:rPr>
        <w:lastRenderedPageBreak/>
        <w:t>出。否则，视为该工程量清单已被供应商认可，在工程竣工结算时不作调整。</w:t>
      </w: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八、价格文件即工程量清单计价格式应由下列内容组成：</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 、封面</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2 、投标总价</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3 、工程项目总价表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4 、单项工程费汇总表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5 、单位工程费汇总表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6 、分部分项工程量清单计价表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7 、措施项目清单计价表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8 、其他项目清单计价表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9、 零星工作项目计价表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10、 分部分项工程量清单综合单价分析表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11、 措施项目</w:t>
      </w:r>
      <w:proofErr w:type="gramStart"/>
      <w:r w:rsidRPr="001A3FC0">
        <w:rPr>
          <w:rFonts w:ascii="方正仿宋_GBK" w:eastAsia="方正仿宋_GBK" w:hAnsi="宋体" w:hint="eastAsia"/>
          <w:sz w:val="28"/>
          <w:szCs w:val="28"/>
        </w:rPr>
        <w:t>费分析</w:t>
      </w:r>
      <w:proofErr w:type="gramEnd"/>
      <w:r w:rsidRPr="001A3FC0">
        <w:rPr>
          <w:rFonts w:ascii="方正仿宋_GBK" w:eastAsia="方正仿宋_GBK" w:hAnsi="宋体" w:hint="eastAsia"/>
          <w:sz w:val="28"/>
          <w:szCs w:val="28"/>
        </w:rPr>
        <w:t>表</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12 、主要材料设备价格表（</w:t>
      </w:r>
      <w:proofErr w:type="gramStart"/>
      <w:r w:rsidRPr="001A3FC0">
        <w:rPr>
          <w:rFonts w:ascii="方正仿宋_GBK" w:eastAsia="方正仿宋_GBK" w:hAnsi="宋体" w:hint="eastAsia"/>
          <w:sz w:val="28"/>
          <w:szCs w:val="28"/>
        </w:rPr>
        <w:t>乙供材料设备表</w:t>
      </w:r>
      <w:proofErr w:type="gramEnd"/>
      <w:r w:rsidRPr="001A3FC0">
        <w:rPr>
          <w:rFonts w:ascii="方正仿宋_GBK" w:eastAsia="方正仿宋_GBK" w:hAnsi="宋体" w:hint="eastAsia"/>
          <w:sz w:val="28"/>
          <w:szCs w:val="28"/>
        </w:rPr>
        <w:t>）</w:t>
      </w:r>
    </w:p>
    <w:p w:rsidR="00AD2E8D" w:rsidRPr="00A15EB6" w:rsidRDefault="00AD2E8D" w:rsidP="00AD2E8D">
      <w:pPr>
        <w:tabs>
          <w:tab w:val="left" w:pos="5325"/>
        </w:tabs>
        <w:spacing w:line="440" w:lineRule="exact"/>
        <w:ind w:firstLineChars="200" w:firstLine="560"/>
        <w:contextualSpacing/>
        <w:rPr>
          <w:rFonts w:ascii="方正黑体_GBK" w:eastAsia="方正黑体_GBK" w:hAnsi="宋体"/>
          <w:sz w:val="28"/>
          <w:szCs w:val="28"/>
        </w:rPr>
      </w:pPr>
      <w:r w:rsidRPr="00A15EB6">
        <w:rPr>
          <w:rFonts w:ascii="方正黑体_GBK" w:eastAsia="方正黑体_GBK" w:hAnsi="宋体" w:hint="eastAsia"/>
          <w:sz w:val="28"/>
          <w:szCs w:val="28"/>
        </w:rPr>
        <w:t>九、工程质保期</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1、质量保修期</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根据《建设工程质量管理条例》及有关规定，约定本工程的质量保修期为</w:t>
      </w:r>
      <w:r w:rsidRPr="00AD2E8D">
        <w:rPr>
          <w:rFonts w:ascii="方正仿宋_GBK" w:eastAsia="方正仿宋_GBK" w:hAnsi="宋体" w:hint="eastAsia"/>
          <w:color w:val="000000" w:themeColor="text1"/>
          <w:sz w:val="28"/>
          <w:szCs w:val="28"/>
        </w:rPr>
        <w:t>五</w:t>
      </w:r>
      <w:r w:rsidRPr="001A3FC0">
        <w:rPr>
          <w:rFonts w:ascii="方正仿宋_GBK" w:eastAsia="方正仿宋_GBK" w:hAnsi="宋体" w:hint="eastAsia"/>
          <w:sz w:val="28"/>
          <w:szCs w:val="28"/>
        </w:rPr>
        <w:t>年。</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2、工程质量保修范围和内容</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 xml:space="preserve">承包人在质量保修期内，按照有关法律、法规、规章的管理规定和双方约定，承担本工程质量保修责任。 </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3、质量保修责任</w:t>
      </w:r>
    </w:p>
    <w:p w:rsidR="00AD2E8D" w:rsidRPr="001A3FC0" w:rsidRDefault="00AD2E8D" w:rsidP="00AD2E8D">
      <w:pPr>
        <w:shd w:val="clear" w:color="auto" w:fill="FFFFFF"/>
        <w:spacing w:line="440" w:lineRule="exact"/>
        <w:ind w:firstLineChars="200" w:firstLine="560"/>
        <w:contextualSpacing/>
        <w:rPr>
          <w:rFonts w:ascii="方正仿宋_GBK" w:eastAsia="方正仿宋_GBK" w:hAnsi="宋体"/>
          <w:sz w:val="28"/>
          <w:szCs w:val="28"/>
        </w:rPr>
      </w:pPr>
      <w:r w:rsidRPr="001A3FC0">
        <w:rPr>
          <w:rFonts w:ascii="方正仿宋_GBK" w:eastAsia="方正仿宋_GBK" w:hAnsi="宋体" w:hint="eastAsia"/>
          <w:sz w:val="28"/>
          <w:szCs w:val="28"/>
        </w:rPr>
        <w:t>属于保修范围、内容的项目，承包人应当在接到保修通知之日起1天内派人保修。承包人不在约定期限内派人保修的，发包人可以委托他人修理（费用由承包人承担）。</w:t>
      </w:r>
    </w:p>
    <w:p w:rsidR="007320BB" w:rsidRDefault="00AD2E8D" w:rsidP="00AD2E8D">
      <w:r w:rsidRPr="001A3FC0">
        <w:rPr>
          <w:rFonts w:ascii="方正仿宋_GBK" w:eastAsia="方正仿宋_GBK" w:hAnsi="宋体" w:hint="eastAsia"/>
          <w:sz w:val="28"/>
          <w:szCs w:val="28"/>
        </w:rPr>
        <w:t>发生紧急抢修事故的，承包人在接到事故通知后，应当立即到达事故现场抢修。</w:t>
      </w:r>
    </w:p>
    <w:sectPr w:rsidR="00732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8D"/>
    <w:rsid w:val="007320BB"/>
    <w:rsid w:val="00AD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8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8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夏鑫</dc:creator>
  <cp:lastModifiedBy>夏鑫</cp:lastModifiedBy>
  <cp:revision>1</cp:revision>
  <dcterms:created xsi:type="dcterms:W3CDTF">2019-04-10T01:37:00Z</dcterms:created>
  <dcterms:modified xsi:type="dcterms:W3CDTF">2019-04-10T01:38:00Z</dcterms:modified>
</cp:coreProperties>
</file>