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78BEA4">
      <w:pPr>
        <w:tabs>
          <w:tab w:val="left" w:pos="6300"/>
        </w:tabs>
        <w:snapToGrid w:val="0"/>
        <w:spacing w:line="300" w:lineRule="auto"/>
        <w:jc w:val="center"/>
        <w:rPr>
          <w:rFonts w:hint="eastAsia" w:ascii="宋体" w:hAnsi="宋体" w:eastAsia="宋体" w:cs="宋体"/>
          <w:w w:val="80"/>
          <w:sz w:val="44"/>
          <w:szCs w:val="44"/>
          <w:lang w:eastAsia="zh-CN"/>
        </w:rPr>
      </w:pPr>
    </w:p>
    <w:p w14:paraId="0F243BE7">
      <w:pPr>
        <w:pStyle w:val="10"/>
        <w:rPr>
          <w:sz w:val="11"/>
          <w:szCs w:val="11"/>
        </w:rPr>
      </w:pPr>
    </w:p>
    <w:p w14:paraId="51A82939">
      <w:pPr>
        <w:shd w:val="clear"/>
        <w:spacing w:line="560" w:lineRule="exact"/>
        <w:ind w:right="-197" w:rightChars="-94"/>
        <w:jc w:val="center"/>
        <w:rPr>
          <w:rFonts w:hint="eastAsia" w:ascii="宋体" w:hAnsi="宋体" w:eastAsia="宋体" w:cs="宋体"/>
          <w:b/>
          <w:bCs/>
          <w:snapToGrid/>
          <w:kern w:val="2"/>
          <w:sz w:val="44"/>
          <w:szCs w:val="44"/>
          <w:lang w:eastAsia="zh-CN"/>
        </w:rPr>
      </w:pPr>
      <w:r>
        <w:rPr>
          <w:rFonts w:hint="eastAsia" w:ascii="宋体" w:hAnsi="宋体" w:eastAsia="宋体" w:cs="宋体"/>
          <w:b/>
          <w:bCs/>
          <w:snapToGrid/>
          <w:kern w:val="2"/>
          <w:sz w:val="44"/>
          <w:szCs w:val="44"/>
          <w:lang w:eastAsia="zh-CN"/>
        </w:rPr>
        <w:t>南通市政务中心食堂服务中心设备</w:t>
      </w:r>
    </w:p>
    <w:p w14:paraId="4DEEF4CA">
      <w:pPr>
        <w:shd w:val="clear"/>
        <w:spacing w:line="560" w:lineRule="exact"/>
        <w:ind w:right="-197" w:rightChars="-94"/>
        <w:jc w:val="center"/>
        <w:rPr>
          <w:rFonts w:hint="eastAsia" w:ascii="宋体" w:hAnsi="宋体" w:eastAsia="宋体" w:cs="宋体"/>
          <w:b/>
          <w:color w:val="000000"/>
          <w:sz w:val="44"/>
          <w:szCs w:val="44"/>
          <w:lang w:eastAsia="zh-CN"/>
        </w:rPr>
      </w:pPr>
      <w:r>
        <w:rPr>
          <w:rFonts w:hint="eastAsia" w:ascii="宋体" w:hAnsi="宋体" w:eastAsia="宋体" w:cs="宋体"/>
          <w:b/>
          <w:bCs/>
          <w:snapToGrid/>
          <w:kern w:val="2"/>
          <w:sz w:val="44"/>
          <w:szCs w:val="44"/>
          <w:lang w:eastAsia="zh-CN"/>
        </w:rPr>
        <w:t>采购项目（二次）</w:t>
      </w:r>
    </w:p>
    <w:p w14:paraId="18471D59">
      <w:pPr>
        <w:tabs>
          <w:tab w:val="left" w:pos="6300"/>
        </w:tabs>
        <w:snapToGrid w:val="0"/>
        <w:spacing w:line="300" w:lineRule="auto"/>
        <w:jc w:val="center"/>
        <w:rPr>
          <w:rFonts w:ascii="宋体" w:hAnsi="宋体" w:eastAsia="宋体" w:cs="宋体"/>
          <w:b/>
          <w:w w:val="80"/>
          <w:sz w:val="56"/>
          <w:szCs w:val="56"/>
        </w:rPr>
      </w:pPr>
    </w:p>
    <w:p w14:paraId="647AE464">
      <w:pPr>
        <w:tabs>
          <w:tab w:val="left" w:pos="6300"/>
        </w:tabs>
        <w:snapToGrid w:val="0"/>
        <w:spacing w:line="300" w:lineRule="auto"/>
        <w:jc w:val="center"/>
        <w:rPr>
          <w:rFonts w:ascii="宋体" w:hAnsi="宋体" w:eastAsia="宋体" w:cs="宋体"/>
          <w:w w:val="80"/>
          <w:sz w:val="84"/>
        </w:rPr>
      </w:pPr>
    </w:p>
    <w:p w14:paraId="6F05D8C4">
      <w:pPr>
        <w:pStyle w:val="2"/>
      </w:pPr>
    </w:p>
    <w:p w14:paraId="2F570ABA">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4A8D8D28">
      <w:pPr>
        <w:pStyle w:val="81"/>
        <w:spacing w:line="312" w:lineRule="auto"/>
        <w:jc w:val="center"/>
        <w:rPr>
          <w:rFonts w:hint="default" w:ascii="宋体" w:hAnsi="宋体" w:cs="宋体"/>
          <w:b/>
          <w:bCs/>
          <w:sz w:val="44"/>
          <w:szCs w:val="44"/>
          <w:highlight w:val="yellow"/>
        </w:rPr>
      </w:pPr>
    </w:p>
    <w:p w14:paraId="0F10CF72">
      <w:pPr>
        <w:pStyle w:val="81"/>
        <w:spacing w:line="312" w:lineRule="auto"/>
        <w:jc w:val="center"/>
        <w:rPr>
          <w:rFonts w:hint="eastAsia" w:eastAsia="宋体"/>
          <w:b/>
          <w:snapToGrid w:val="0"/>
          <w:color w:val="000000"/>
          <w:sz w:val="36"/>
          <w:szCs w:val="44"/>
          <w:lang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eastAsia="zh-CN"/>
        </w:rPr>
        <w:t>ZZNT2025030</w:t>
      </w:r>
    </w:p>
    <w:p w14:paraId="414AEE51">
      <w:pPr>
        <w:pStyle w:val="81"/>
        <w:spacing w:line="312" w:lineRule="auto"/>
        <w:jc w:val="both"/>
        <w:rPr>
          <w:rStyle w:val="96"/>
          <w:rFonts w:hint="default" w:ascii="宋体" w:hAnsi="宋体" w:eastAsia="宋体" w:cs="宋体"/>
          <w:sz w:val="30"/>
        </w:rPr>
      </w:pPr>
    </w:p>
    <w:p w14:paraId="0B60946A">
      <w:pPr>
        <w:pStyle w:val="81"/>
        <w:spacing w:line="312" w:lineRule="auto"/>
        <w:jc w:val="center"/>
        <w:rPr>
          <w:rStyle w:val="96"/>
          <w:rFonts w:hint="default" w:ascii="宋体" w:hAnsi="宋体" w:eastAsia="宋体" w:cs="宋体"/>
          <w:sz w:val="30"/>
        </w:rPr>
      </w:pPr>
    </w:p>
    <w:p w14:paraId="4F75A426">
      <w:pPr>
        <w:pStyle w:val="81"/>
        <w:spacing w:line="312" w:lineRule="auto"/>
        <w:jc w:val="center"/>
        <w:rPr>
          <w:rStyle w:val="96"/>
          <w:rFonts w:hint="default" w:ascii="宋体" w:hAnsi="宋体" w:eastAsia="宋体" w:cs="宋体"/>
          <w:sz w:val="30"/>
        </w:rPr>
      </w:pPr>
    </w:p>
    <w:p w14:paraId="162EA2F3">
      <w:pPr>
        <w:pStyle w:val="81"/>
        <w:spacing w:line="312" w:lineRule="auto"/>
        <w:jc w:val="center"/>
        <w:rPr>
          <w:rStyle w:val="96"/>
          <w:rFonts w:hint="default" w:ascii="宋体" w:hAnsi="宋体" w:eastAsia="宋体" w:cs="宋体"/>
          <w:sz w:val="30"/>
        </w:rPr>
      </w:pPr>
    </w:p>
    <w:p w14:paraId="6DB480FB"/>
    <w:p w14:paraId="4DBF2D1D"/>
    <w:p w14:paraId="29878877">
      <w:pPr>
        <w:pStyle w:val="81"/>
        <w:spacing w:line="312" w:lineRule="auto"/>
        <w:jc w:val="center"/>
        <w:rPr>
          <w:rStyle w:val="96"/>
          <w:rFonts w:hint="default" w:ascii="宋体" w:hAnsi="宋体" w:eastAsia="宋体" w:cs="宋体"/>
          <w:sz w:val="30"/>
        </w:rPr>
      </w:pPr>
    </w:p>
    <w:p w14:paraId="2B4FF76A"/>
    <w:p w14:paraId="43D58E0B"/>
    <w:p w14:paraId="37586C3F">
      <w:pPr>
        <w:pStyle w:val="81"/>
        <w:spacing w:line="312" w:lineRule="auto"/>
        <w:jc w:val="center"/>
        <w:rPr>
          <w:rStyle w:val="96"/>
          <w:rFonts w:hint="default" w:ascii="宋体" w:hAnsi="宋体" w:eastAsia="宋体" w:cs="宋体"/>
          <w:snapToGrid w:val="0"/>
          <w:sz w:val="28"/>
        </w:rPr>
      </w:pPr>
    </w:p>
    <w:p w14:paraId="4CCBB0CC">
      <w:pPr>
        <w:spacing w:line="480" w:lineRule="auto"/>
        <w:ind w:firstLine="2520" w:firstLineChars="900"/>
        <w:rPr>
          <w:rStyle w:val="96"/>
          <w:rFonts w:ascii="宋体" w:hAnsi="宋体" w:eastAsia="宋体" w:cs="宋体"/>
          <w:sz w:val="28"/>
        </w:rPr>
      </w:pPr>
      <w:r>
        <w:rPr>
          <w:rStyle w:val="96"/>
          <w:rFonts w:hint="eastAsia" w:ascii="宋体" w:hAnsi="宋体" w:eastAsia="宋体" w:cs="宋体"/>
          <w:sz w:val="28"/>
        </w:rPr>
        <w:t>采购单位：南通市机关事务管理局</w:t>
      </w:r>
    </w:p>
    <w:p w14:paraId="19FFD04B">
      <w:pPr>
        <w:tabs>
          <w:tab w:val="left" w:pos="1050"/>
          <w:tab w:val="right" w:leader="dot" w:pos="9402"/>
        </w:tabs>
        <w:spacing w:line="480" w:lineRule="auto"/>
        <w:ind w:firstLine="2520" w:firstLineChars="900"/>
        <w:rPr>
          <w:rStyle w:val="96"/>
          <w:rFonts w:hint="eastAsia" w:ascii="宋体" w:hAnsi="宋体" w:eastAsia="宋体" w:cs="宋体"/>
          <w:sz w:val="28"/>
          <w:lang w:eastAsia="zh-CN"/>
        </w:rPr>
      </w:pPr>
      <w:r>
        <w:rPr>
          <w:rStyle w:val="96"/>
          <w:rFonts w:hint="eastAsia" w:ascii="宋体" w:hAnsi="宋体" w:eastAsia="宋体" w:cs="宋体"/>
          <w:sz w:val="28"/>
        </w:rPr>
        <w:t>代理机构：</w:t>
      </w:r>
      <w:r>
        <w:rPr>
          <w:rStyle w:val="96"/>
          <w:rFonts w:hint="eastAsia" w:ascii="宋体" w:hAnsi="宋体" w:eastAsia="宋体" w:cs="宋体"/>
          <w:sz w:val="28"/>
          <w:lang w:eastAsia="zh-CN"/>
        </w:rPr>
        <w:t>中证房地产评估造价集团有限公司</w:t>
      </w:r>
    </w:p>
    <w:p w14:paraId="3BBD8F70">
      <w:pPr>
        <w:tabs>
          <w:tab w:val="left" w:pos="1050"/>
          <w:tab w:val="right" w:leader="dot" w:pos="9402"/>
        </w:tabs>
        <w:spacing w:line="480" w:lineRule="auto"/>
        <w:ind w:firstLine="2520" w:firstLineChars="900"/>
        <w:rPr>
          <w:rFonts w:ascii="宋体" w:hAnsi="宋体" w:eastAsia="宋体" w:cs="宋体"/>
          <w:b/>
          <w:bCs/>
          <w:sz w:val="44"/>
        </w:rPr>
      </w:pPr>
      <w:r>
        <w:rPr>
          <w:rStyle w:val="96"/>
          <w:rFonts w:ascii="宋体" w:hAnsi="宋体" w:eastAsia="宋体" w:cs="宋体"/>
          <w:sz w:val="28"/>
        </w:rPr>
        <w:t>日    期：二0</w:t>
      </w:r>
      <w:r>
        <w:rPr>
          <w:rStyle w:val="96"/>
          <w:rFonts w:hint="eastAsia" w:ascii="宋体" w:hAnsi="宋体" w:eastAsia="宋体" w:cs="宋体"/>
          <w:sz w:val="28"/>
        </w:rPr>
        <w:t>二</w:t>
      </w:r>
      <w:r>
        <w:rPr>
          <w:rStyle w:val="96"/>
          <w:rFonts w:hint="eastAsia" w:ascii="宋体" w:hAnsi="宋体" w:eastAsia="宋体" w:cs="宋体"/>
          <w:sz w:val="28"/>
          <w:lang w:eastAsia="zh-CN"/>
        </w:rPr>
        <w:t>五</w:t>
      </w:r>
      <w:r>
        <w:rPr>
          <w:rStyle w:val="96"/>
          <w:rFonts w:ascii="宋体" w:hAnsi="宋体" w:eastAsia="宋体" w:cs="宋体"/>
          <w:sz w:val="28"/>
        </w:rPr>
        <w:t>年</w:t>
      </w:r>
      <w:r>
        <w:rPr>
          <w:rStyle w:val="96"/>
          <w:rFonts w:hint="eastAsia" w:ascii="宋体" w:hAnsi="宋体" w:eastAsia="宋体" w:cs="宋体"/>
          <w:sz w:val="28"/>
          <w:lang w:eastAsia="zh-CN"/>
        </w:rPr>
        <w:t>三</w:t>
      </w:r>
      <w:r>
        <w:rPr>
          <w:rStyle w:val="96"/>
          <w:rFonts w:ascii="宋体" w:hAnsi="宋体" w:eastAsia="宋体" w:cs="宋体"/>
          <w:sz w:val="28"/>
        </w:rPr>
        <w:t>月</w:t>
      </w:r>
      <w:r>
        <w:rPr>
          <w:rFonts w:hint="eastAsia" w:ascii="宋体" w:hAnsi="宋体" w:eastAsia="宋体" w:cs="宋体"/>
          <w:b/>
          <w:bCs/>
          <w:sz w:val="44"/>
        </w:rPr>
        <w:br w:type="page"/>
      </w:r>
    </w:p>
    <w:p w14:paraId="7D860CA6">
      <w:pPr>
        <w:spacing w:line="360" w:lineRule="auto"/>
        <w:jc w:val="center"/>
        <w:rPr>
          <w:rFonts w:ascii="宋体" w:hAnsi="宋体" w:eastAsia="宋体" w:cs="宋体"/>
          <w:b/>
          <w:bCs/>
          <w:sz w:val="32"/>
          <w:szCs w:val="32"/>
        </w:rPr>
      </w:pPr>
    </w:p>
    <w:p w14:paraId="56928042">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3707A942">
      <w:pPr>
        <w:spacing w:line="360" w:lineRule="auto"/>
        <w:rPr>
          <w:rFonts w:ascii="宋体" w:hAnsi="宋体" w:eastAsia="宋体" w:cs="宋体"/>
          <w:sz w:val="28"/>
        </w:rPr>
      </w:pPr>
    </w:p>
    <w:p w14:paraId="51968991">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第一部分  采购邀请</w:t>
      </w:r>
    </w:p>
    <w:p w14:paraId="492D938B">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 xml:space="preserve">第二部分  </w:t>
      </w:r>
      <w:r>
        <w:rPr>
          <w:rFonts w:hint="eastAsia" w:ascii="宋体" w:hAnsi="宋体" w:eastAsia="宋体" w:cs="宋体"/>
          <w:kern w:val="2"/>
          <w:sz w:val="32"/>
          <w:szCs w:val="32"/>
          <w:lang w:bidi="ar"/>
        </w:rPr>
        <w:t>磋商须知</w:t>
      </w:r>
    </w:p>
    <w:p w14:paraId="1C29DE14">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第三部分</w:t>
      </w:r>
      <w:r>
        <w:rPr>
          <w:rFonts w:hint="eastAsia" w:ascii="宋体" w:hAnsi="宋体" w:eastAsia="宋体" w:cs="宋体"/>
          <w:kern w:val="2"/>
          <w:sz w:val="32"/>
          <w:szCs w:val="32"/>
          <w:lang w:bidi="ar"/>
        </w:rPr>
        <w:t xml:space="preserve">  项目需求</w:t>
      </w:r>
    </w:p>
    <w:p w14:paraId="6D430163">
      <w:pPr>
        <w:spacing w:line="1000" w:lineRule="exact"/>
        <w:rPr>
          <w:rFonts w:ascii="宋体" w:hAnsi="宋体" w:eastAsia="宋体" w:cs="宋体"/>
          <w:sz w:val="32"/>
          <w:szCs w:val="32"/>
        </w:rPr>
      </w:pPr>
      <w:r>
        <w:rPr>
          <w:rFonts w:hint="eastAsia" w:ascii="宋体" w:hAnsi="宋体" w:eastAsia="宋体" w:cs="宋体"/>
          <w:bCs/>
          <w:kern w:val="2"/>
          <w:sz w:val="32"/>
          <w:szCs w:val="32"/>
          <w:lang w:bidi="ar"/>
        </w:rPr>
        <w:t>第四部分</w:t>
      </w:r>
      <w:r>
        <w:rPr>
          <w:rFonts w:hint="eastAsia" w:ascii="宋体" w:hAnsi="宋体" w:eastAsia="宋体" w:cs="宋体"/>
          <w:kern w:val="2"/>
          <w:sz w:val="32"/>
          <w:szCs w:val="32"/>
          <w:lang w:bidi="ar"/>
        </w:rPr>
        <w:t xml:space="preserve">  评审方法和评审标准</w:t>
      </w:r>
    </w:p>
    <w:p w14:paraId="6E9FB994">
      <w:pPr>
        <w:spacing w:line="1000" w:lineRule="exact"/>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合同条款</w:t>
      </w:r>
    </w:p>
    <w:p w14:paraId="186B8CBF">
      <w:pPr>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7BCD33EF">
      <w:pPr>
        <w:snapToGrid w:val="0"/>
        <w:spacing w:line="1000" w:lineRule="exact"/>
        <w:rPr>
          <w:rFonts w:ascii="宋体" w:hAnsi="宋体" w:eastAsia="宋体" w:cs="宋体"/>
          <w:kern w:val="2"/>
          <w:sz w:val="32"/>
          <w:szCs w:val="32"/>
          <w:lang w:val="zh-CN" w:bidi="ar"/>
        </w:rPr>
      </w:pPr>
      <w:r>
        <w:rPr>
          <w:rFonts w:hint="eastAsia" w:ascii="宋体" w:hAnsi="宋体" w:eastAsia="宋体" w:cs="宋体"/>
          <w:kern w:val="2"/>
          <w:sz w:val="32"/>
          <w:szCs w:val="32"/>
          <w:lang w:val="zh-CN" w:bidi="ar"/>
        </w:rPr>
        <w:t>第</w:t>
      </w:r>
      <w:r>
        <w:rPr>
          <w:rFonts w:hint="eastAsia" w:ascii="宋体" w:hAnsi="宋体" w:eastAsia="宋体" w:cs="宋体"/>
          <w:kern w:val="2"/>
          <w:sz w:val="32"/>
          <w:szCs w:val="32"/>
          <w:lang w:bidi="ar"/>
        </w:rPr>
        <w:t>七</w:t>
      </w:r>
      <w:r>
        <w:rPr>
          <w:rFonts w:hint="eastAsia" w:ascii="宋体" w:hAnsi="宋体" w:eastAsia="宋体" w:cs="宋体"/>
          <w:bCs/>
          <w:kern w:val="2"/>
          <w:sz w:val="32"/>
          <w:szCs w:val="32"/>
          <w:lang w:bidi="ar"/>
        </w:rPr>
        <w:t>部分</w:t>
      </w:r>
      <w:r>
        <w:rPr>
          <w:rFonts w:hint="eastAsia" w:ascii="宋体" w:hAnsi="宋体" w:eastAsia="宋体" w:cs="宋体"/>
          <w:kern w:val="2"/>
          <w:sz w:val="32"/>
          <w:szCs w:val="32"/>
          <w:lang w:val="zh-CN" w:bidi="ar"/>
        </w:rPr>
        <w:t xml:space="preserve">  工程量清单</w:t>
      </w:r>
    </w:p>
    <w:p w14:paraId="4ECFD9C8">
      <w:pPr>
        <w:pStyle w:val="5"/>
        <w:rPr>
          <w:sz w:val="18"/>
          <w:szCs w:val="18"/>
          <w:lang w:val="zh-CN" w:bidi="ar"/>
        </w:rPr>
        <w:sectPr>
          <w:headerReference r:id="rId4" w:type="first"/>
          <w:footerReference r:id="rId6" w:type="first"/>
          <w:headerReference r:id="rId3" w:type="default"/>
          <w:footerReference r:id="rId5"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066F7B9A">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第一部分  </w:t>
      </w:r>
      <w:bookmarkEnd w:id="0"/>
      <w:r>
        <w:rPr>
          <w:rFonts w:hint="eastAsia" w:ascii="宋体" w:hAnsi="宋体" w:eastAsia="宋体" w:cs="宋体"/>
          <w:b/>
          <w:bCs/>
          <w:snapToGrid/>
          <w:w w:val="80"/>
          <w:kern w:val="2"/>
          <w:sz w:val="44"/>
          <w:szCs w:val="44"/>
        </w:rPr>
        <w:t>采购邀请</w:t>
      </w:r>
    </w:p>
    <w:p w14:paraId="0E13C1A4">
      <w:pPr>
        <w:pStyle w:val="2"/>
        <w:snapToGrid w:val="0"/>
        <w:spacing w:after="0" w:line="360" w:lineRule="auto"/>
        <w:ind w:left="0" w:leftChars="0" w:firstLine="480"/>
      </w:pPr>
      <w:r>
        <w:rPr>
          <w:rFonts w:hint="eastAsia" w:ascii="宋体" w:hAnsi="宋体" w:cs="宋体"/>
          <w:sz w:val="24"/>
        </w:rPr>
        <w:t>受南通市机关事务管理局的委托，</w:t>
      </w:r>
      <w:r>
        <w:rPr>
          <w:rFonts w:hint="eastAsia" w:ascii="宋体" w:hAnsi="宋体" w:cs="宋体"/>
          <w:sz w:val="24"/>
          <w:lang w:eastAsia="zh-CN"/>
        </w:rPr>
        <w:t>中证房地产评估造价集团有限公司</w:t>
      </w:r>
      <w:r>
        <w:rPr>
          <w:rFonts w:hint="eastAsia" w:ascii="宋体" w:hAnsi="宋体" w:cs="宋体"/>
          <w:sz w:val="24"/>
        </w:rPr>
        <w:t>就</w:t>
      </w:r>
      <w:r>
        <w:rPr>
          <w:rFonts w:hint="eastAsia" w:ascii="宋体" w:hAnsi="宋体" w:cs="宋体"/>
          <w:sz w:val="24"/>
          <w:lang w:eastAsia="zh-CN"/>
        </w:rPr>
        <w:t>南通市政务中心食堂服务中心设备采购项目（二次）</w:t>
      </w:r>
      <w:r>
        <w:rPr>
          <w:rFonts w:hint="eastAsia" w:ascii="宋体" w:hAnsi="宋体" w:cs="宋体"/>
          <w:sz w:val="24"/>
        </w:rPr>
        <w:t>（项目编号：</w:t>
      </w:r>
      <w:r>
        <w:rPr>
          <w:rFonts w:hint="eastAsia" w:ascii="宋体" w:hAnsi="宋体" w:cs="宋体"/>
          <w:sz w:val="24"/>
          <w:lang w:eastAsia="zh-CN"/>
        </w:rPr>
        <w:t>ZZNT2025030</w:t>
      </w:r>
      <w:r>
        <w:rPr>
          <w:rFonts w:hint="eastAsia" w:ascii="宋体" w:hAnsi="宋体" w:cs="宋体"/>
          <w:sz w:val="24"/>
        </w:rPr>
        <w:t>）进行竞争性磋商采购，欢迎符合条件的供应商参加磋商。</w:t>
      </w:r>
    </w:p>
    <w:tbl>
      <w:tblPr>
        <w:tblStyle w:val="88"/>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0D91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7643C45C">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21325C77">
            <w:pPr>
              <w:pStyle w:val="8"/>
              <w:snapToGrid w:val="0"/>
              <w:spacing w:before="0" w:after="0" w:line="360" w:lineRule="auto"/>
              <w:ind w:firstLine="480" w:firstLineChars="200"/>
            </w:pPr>
            <w:r>
              <w:rPr>
                <w:rFonts w:hint="eastAsia" w:ascii="宋体" w:hAnsi="宋体" w:eastAsia="宋体" w:cs="宋体"/>
                <w:b w:val="0"/>
                <w:bCs w:val="0"/>
                <w:sz w:val="24"/>
                <w:lang w:eastAsia="zh-CN"/>
              </w:rPr>
              <w:t>南通市政务中心食堂服务中心设备采购项目（二次）</w:t>
            </w:r>
            <w:r>
              <w:rPr>
                <w:rFonts w:hint="eastAsia" w:ascii="宋体" w:hAnsi="宋体" w:eastAsia="宋体" w:cs="宋体"/>
                <w:b w:val="0"/>
                <w:bCs w:val="0"/>
                <w:sz w:val="24"/>
              </w:rPr>
              <w:t>的潜在供应商应在“南通市机关事务管理局</w:t>
            </w:r>
            <w:r>
              <w:rPr>
                <w:rFonts w:ascii="宋体" w:hAnsi="宋体" w:eastAsia="宋体" w:cs="宋体"/>
                <w:b w:val="0"/>
                <w:bCs w:val="0"/>
                <w:sz w:val="24"/>
              </w:rPr>
              <w:t>→</w:t>
            </w:r>
            <w:r>
              <w:rPr>
                <w:rFonts w:hint="eastAsia" w:ascii="宋体" w:hAnsi="宋体" w:eastAsia="宋体" w:cs="宋体"/>
                <w:b w:val="0"/>
                <w:bCs w:val="0"/>
                <w:sz w:val="24"/>
              </w:rPr>
              <w:t>公告公示</w:t>
            </w:r>
            <w:r>
              <w:rPr>
                <w:rFonts w:ascii="宋体" w:hAnsi="宋体" w:eastAsia="宋体" w:cs="宋体"/>
                <w:b w:val="0"/>
                <w:bCs w:val="0"/>
                <w:sz w:val="24"/>
              </w:rPr>
              <w:t>”</w:t>
            </w:r>
            <w:r>
              <w:rPr>
                <w:rFonts w:hint="eastAsia" w:ascii="宋体" w:hAnsi="宋体" w:eastAsia="宋体" w:cs="宋体"/>
                <w:b w:val="0"/>
                <w:bCs w:val="0"/>
                <w:sz w:val="24"/>
              </w:rPr>
              <w:t>栏获取采购文件，并于</w:t>
            </w:r>
            <w:r>
              <w:rPr>
                <w:rFonts w:ascii="宋体" w:hAnsi="宋体" w:eastAsia="宋体" w:cs="宋体"/>
                <w:b/>
                <w:bCs/>
                <w:sz w:val="24"/>
              </w:rPr>
              <w:t>202</w:t>
            </w:r>
            <w:r>
              <w:rPr>
                <w:rFonts w:hint="eastAsia" w:ascii="宋体" w:hAnsi="宋体" w:eastAsia="宋体" w:cs="宋体"/>
                <w:b/>
                <w:bCs/>
                <w:sz w:val="24"/>
                <w:lang w:val="en-US" w:eastAsia="zh-CN"/>
              </w:rPr>
              <w:t>5</w:t>
            </w:r>
            <w:r>
              <w:rPr>
                <w:rFonts w:hint="eastAsia" w:ascii="宋体" w:hAnsi="宋体" w:eastAsia="宋体" w:cs="宋体"/>
                <w:b/>
                <w:bCs/>
                <w:sz w:val="24"/>
              </w:rPr>
              <w:t>年</w:t>
            </w:r>
            <w:r>
              <w:rPr>
                <w:rFonts w:hint="eastAsia" w:ascii="宋体" w:hAnsi="宋体" w:eastAsia="宋体" w:cs="宋体"/>
                <w:b/>
                <w:bCs/>
                <w:sz w:val="24"/>
                <w:lang w:val="en-US" w:eastAsia="zh-CN"/>
              </w:rPr>
              <w:t>4</w:t>
            </w:r>
            <w:r>
              <w:rPr>
                <w:rFonts w:hint="eastAsia" w:ascii="宋体" w:hAnsi="宋体" w:eastAsia="宋体" w:cs="宋体"/>
                <w:b/>
                <w:bCs/>
                <w:sz w:val="24"/>
              </w:rPr>
              <w:t>月</w:t>
            </w:r>
            <w:r>
              <w:rPr>
                <w:rFonts w:hint="eastAsia" w:ascii="宋体" w:hAnsi="宋体" w:eastAsia="宋体" w:cs="宋体"/>
                <w:b/>
                <w:bCs/>
                <w:sz w:val="24"/>
                <w:lang w:val="en-US" w:eastAsia="zh-CN"/>
              </w:rPr>
              <w:t>3</w:t>
            </w:r>
            <w:r>
              <w:rPr>
                <w:rFonts w:hint="eastAsia" w:ascii="宋体" w:hAnsi="宋体" w:eastAsia="宋体" w:cs="宋体"/>
                <w:b/>
                <w:bCs/>
                <w:sz w:val="24"/>
              </w:rPr>
              <w:t>日14时</w:t>
            </w:r>
            <w:r>
              <w:rPr>
                <w:rFonts w:hint="eastAsia" w:ascii="宋体" w:hAnsi="宋体" w:eastAsia="宋体" w:cs="宋体"/>
                <w:b/>
                <w:bCs/>
                <w:sz w:val="24"/>
                <w:lang w:val="en-US" w:eastAsia="zh-CN"/>
              </w:rPr>
              <w:t>00</w:t>
            </w:r>
            <w:r>
              <w:rPr>
                <w:rFonts w:hint="eastAsia" w:ascii="宋体" w:hAnsi="宋体" w:eastAsia="宋体" w:cs="宋体"/>
                <w:b/>
                <w:bCs/>
                <w:sz w:val="24"/>
              </w:rPr>
              <w:t>分00秒</w:t>
            </w:r>
            <w:r>
              <w:rPr>
                <w:rFonts w:hint="eastAsia" w:ascii="宋体" w:hAnsi="宋体" w:eastAsia="宋体" w:cs="宋体"/>
                <w:b w:val="0"/>
                <w:bCs w:val="0"/>
                <w:sz w:val="24"/>
              </w:rPr>
              <w:t>（北京时间）前提交响应文件。</w:t>
            </w:r>
          </w:p>
        </w:tc>
      </w:tr>
    </w:tbl>
    <w:p w14:paraId="7A7D4309"/>
    <w:p w14:paraId="392539FC">
      <w:pPr>
        <w:pStyle w:val="8"/>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3AAE236B">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1、项目编号：</w:t>
      </w:r>
      <w:r>
        <w:rPr>
          <w:rFonts w:hint="eastAsia" w:ascii="宋体" w:hAnsi="宋体" w:eastAsia="宋体" w:cs="宋体"/>
          <w:sz w:val="24"/>
          <w:lang w:eastAsia="zh-CN"/>
        </w:rPr>
        <w:t>ZZNT2025030</w:t>
      </w:r>
    </w:p>
    <w:p w14:paraId="1C094D44">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南通市政务中心食堂服务中心设备采购项目（二次）</w:t>
      </w:r>
    </w:p>
    <w:p w14:paraId="13ACFD92">
      <w:pPr>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3、项目类型：</w:t>
      </w:r>
      <w:r>
        <w:rPr>
          <w:rFonts w:hint="eastAsia" w:ascii="宋体" w:hAnsi="宋体" w:eastAsia="宋体" w:cs="宋体"/>
          <w:sz w:val="24"/>
          <w:lang w:eastAsia="zh-CN"/>
        </w:rPr>
        <w:t>货物</w:t>
      </w:r>
    </w:p>
    <w:p w14:paraId="6D5DBA69">
      <w:pPr>
        <w:pStyle w:val="2"/>
        <w:ind w:left="0" w:leftChars="0" w:firstLine="480"/>
      </w:pPr>
      <w:r>
        <w:rPr>
          <w:rFonts w:hint="eastAsia" w:ascii="宋体" w:hAnsi="宋体" w:cs="宋体"/>
          <w:sz w:val="24"/>
        </w:rPr>
        <w:t>4、所属行业：建筑业</w:t>
      </w:r>
    </w:p>
    <w:p w14:paraId="5431DB1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5、预算金额：人民币</w:t>
      </w:r>
      <w:r>
        <w:rPr>
          <w:rFonts w:hint="eastAsia" w:ascii="宋体" w:hAnsi="宋体" w:eastAsia="宋体" w:cs="宋体"/>
          <w:sz w:val="24"/>
          <w:lang w:eastAsia="zh-CN"/>
        </w:rPr>
        <w:t>137950.33元</w:t>
      </w:r>
      <w:r>
        <w:rPr>
          <w:rFonts w:hint="eastAsia" w:ascii="宋体" w:hAnsi="宋体" w:eastAsia="宋体" w:cs="宋体"/>
          <w:sz w:val="24"/>
        </w:rPr>
        <w:t>。</w:t>
      </w:r>
    </w:p>
    <w:p w14:paraId="3172F32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cs="宋体"/>
          <w:sz w:val="24"/>
        </w:rPr>
        <w:t>6、</w:t>
      </w:r>
      <w:r>
        <w:rPr>
          <w:rFonts w:hint="eastAsia" w:ascii="宋体" w:hAnsi="宋体" w:eastAsia="宋体" w:cs="宋体"/>
          <w:sz w:val="24"/>
        </w:rPr>
        <w:t>最高限价：本次项目最高总价限价人民币</w:t>
      </w:r>
      <w:r>
        <w:rPr>
          <w:rFonts w:hint="eastAsia" w:ascii="宋体" w:hAnsi="宋体" w:eastAsia="宋体" w:cs="宋体"/>
          <w:sz w:val="24"/>
          <w:lang w:eastAsia="zh-CN"/>
        </w:rPr>
        <w:t>137950.33</w:t>
      </w:r>
      <w:r>
        <w:rPr>
          <w:rFonts w:hint="eastAsia" w:ascii="宋体" w:hAnsi="宋体" w:eastAsia="宋体" w:cs="宋体"/>
          <w:sz w:val="24"/>
        </w:rPr>
        <w:t>元，首次报价不得高于最高限价，否则做无效响应处理。</w:t>
      </w:r>
    </w:p>
    <w:p w14:paraId="11E92843">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7、采购需求：具体详见《第三部分 项目需求》。</w:t>
      </w:r>
    </w:p>
    <w:p w14:paraId="41C509BB">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8、产品设备交付及安装调试服务日期：合同签订生效后</w:t>
      </w:r>
      <w:r>
        <w:rPr>
          <w:rFonts w:hint="eastAsia" w:ascii="宋体" w:hAnsi="宋体" w:eastAsia="宋体" w:cs="宋体"/>
          <w:sz w:val="24"/>
          <w:lang w:val="en-US" w:eastAsia="zh-CN"/>
        </w:rPr>
        <w:t>30</w:t>
      </w:r>
      <w:r>
        <w:rPr>
          <w:rFonts w:hint="eastAsia" w:ascii="宋体" w:hAnsi="宋体" w:eastAsia="宋体" w:cs="宋体"/>
          <w:sz w:val="24"/>
        </w:rPr>
        <w:t>日历天完成所有产品生产及安装调试。</w:t>
      </w:r>
    </w:p>
    <w:p w14:paraId="05793F5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9、本项目是否接受联合体投标：否。</w:t>
      </w:r>
    </w:p>
    <w:p w14:paraId="311A709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10、本项目不接受分包。</w:t>
      </w:r>
    </w:p>
    <w:p w14:paraId="5D504367">
      <w:pPr>
        <w:pStyle w:val="8"/>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二、供应商的资格要求：</w:t>
      </w:r>
    </w:p>
    <w:p w14:paraId="27B1F2E7">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0AC53998">
      <w:pPr>
        <w:widowControl/>
        <w:adjustRightInd w:val="0"/>
        <w:snapToGrid w:val="0"/>
        <w:spacing w:line="360" w:lineRule="auto"/>
        <w:ind w:firstLine="480" w:firstLineChars="200"/>
        <w:jc w:val="left"/>
        <w:rPr>
          <w:rFonts w:hint="eastAsia" w:ascii="宋体" w:hAnsi="宋体" w:eastAsia="宋体" w:cs="宋体"/>
          <w:b/>
          <w:color w:val="000000"/>
          <w:sz w:val="24"/>
          <w:lang w:eastAsia="zh-CN"/>
        </w:rPr>
      </w:pPr>
      <w:r>
        <w:rPr>
          <w:rFonts w:hint="eastAsia" w:ascii="宋体" w:hAnsi="宋体" w:eastAsia="宋体" w:cs="宋体"/>
          <w:sz w:val="24"/>
        </w:rPr>
        <w:t>2、本项目的特定资格要求</w:t>
      </w:r>
      <w:r>
        <w:rPr>
          <w:rFonts w:hint="eastAsia" w:ascii="宋体" w:hAnsi="宋体" w:eastAsia="宋体" w:cs="宋体"/>
          <w:b/>
          <w:color w:val="000000"/>
          <w:sz w:val="24"/>
        </w:rPr>
        <w:t>：</w:t>
      </w:r>
      <w:r>
        <w:rPr>
          <w:rFonts w:hint="eastAsia" w:ascii="宋体" w:hAnsi="宋体" w:eastAsia="宋体" w:cs="宋体"/>
          <w:b/>
          <w:color w:val="000000"/>
          <w:sz w:val="24"/>
          <w:lang w:eastAsia="zh-CN"/>
        </w:rPr>
        <w:t>无</w:t>
      </w:r>
    </w:p>
    <w:p w14:paraId="1F1B3C50">
      <w:pPr>
        <w:shd w:val="clear" w:color="auto"/>
        <w:snapToGrid w:val="0"/>
        <w:spacing w:line="348" w:lineRule="auto"/>
        <w:ind w:firstLine="480" w:firstLineChars="200"/>
        <w:jc w:val="left"/>
        <w:textAlignment w:val="baseline"/>
        <w:rPr>
          <w:rFonts w:ascii="宋体" w:hAnsi="宋体" w:eastAsia="宋体" w:cs="宋体"/>
          <w:color w:val="333333"/>
          <w:sz w:val="24"/>
        </w:rPr>
      </w:pPr>
      <w:r>
        <w:rPr>
          <w:rFonts w:hint="eastAsia" w:ascii="宋体" w:hAnsi="宋体" w:eastAsia="宋体" w:cs="宋体"/>
          <w:color w:val="333333"/>
          <w:sz w:val="24"/>
        </w:rPr>
        <w:t>3、落实政府采购政策需满足的资格要求：</w:t>
      </w:r>
      <w:r>
        <w:rPr>
          <w:rFonts w:hint="eastAsia" w:ascii="宋体" w:hAnsi="宋体" w:eastAsia="宋体" w:cs="宋体"/>
          <w:b/>
          <w:color w:val="333333"/>
          <w:sz w:val="24"/>
          <w:u w:val="single"/>
        </w:rPr>
        <w:t>本项目属于专门面向中小企业（含残疾人福利性单位、监狱企业）采购的项目，供应商应为中小微企业、监狱企业、残疾人福利性单位。</w:t>
      </w:r>
    </w:p>
    <w:p w14:paraId="74C0A2B5">
      <w:pPr>
        <w:pStyle w:val="8"/>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558F8728">
      <w:pPr>
        <w:adjustRightInd w:val="0"/>
        <w:snapToGrid w:val="0"/>
        <w:spacing w:line="360" w:lineRule="auto"/>
        <w:ind w:firstLine="480" w:firstLineChars="200"/>
        <w:textAlignment w:val="baseline"/>
        <w:rPr>
          <w:rFonts w:ascii="宋体" w:hAnsi="宋体" w:eastAsia="宋体" w:cs="宋体"/>
          <w:b/>
          <w:bCs/>
          <w:sz w:val="24"/>
        </w:rPr>
      </w:pPr>
      <w:r>
        <w:rPr>
          <w:rFonts w:hint="eastAsia" w:ascii="宋体" w:hAnsi="宋体" w:eastAsia="宋体" w:cs="宋体"/>
          <w:sz w:val="24"/>
        </w:rPr>
        <w:t>时  间：</w:t>
      </w:r>
      <w:r>
        <w:rPr>
          <w:rFonts w:hint="eastAsia" w:ascii="宋体" w:hAnsi="宋体" w:eastAsia="宋体" w:cs="宋体"/>
          <w:b/>
          <w:bCs/>
          <w:sz w:val="24"/>
          <w:u w:val="single" w:color="000000"/>
        </w:rPr>
        <w:t>自本公告发布之日起</w:t>
      </w:r>
      <w:r>
        <w:rPr>
          <w:rFonts w:hint="eastAsia" w:ascii="宋体" w:hAnsi="宋体" w:eastAsia="宋体" w:cs="宋体"/>
          <w:b/>
          <w:bCs/>
          <w:sz w:val="24"/>
        </w:rPr>
        <w:t>至</w:t>
      </w:r>
      <w:r>
        <w:rPr>
          <w:rFonts w:hint="eastAsia" w:ascii="宋体" w:hAnsi="宋体" w:eastAsia="宋体" w:cs="宋体"/>
          <w:b/>
          <w:bCs/>
          <w:sz w:val="24"/>
          <w:u w:val="single" w:color="000000"/>
        </w:rPr>
        <w:t>202</w:t>
      </w:r>
      <w:r>
        <w:rPr>
          <w:rFonts w:hint="eastAsia" w:ascii="宋体" w:hAnsi="宋体" w:eastAsia="宋体" w:cs="宋体"/>
          <w:b/>
          <w:bCs/>
          <w:sz w:val="24"/>
          <w:u w:val="single" w:color="000000"/>
          <w:lang w:val="en-US" w:eastAsia="zh-CN"/>
        </w:rPr>
        <w:t>5</w:t>
      </w:r>
      <w:r>
        <w:rPr>
          <w:rFonts w:hint="eastAsia" w:ascii="宋体" w:hAnsi="宋体" w:eastAsia="宋体" w:cs="宋体"/>
          <w:b/>
          <w:bCs/>
          <w:sz w:val="24"/>
          <w:u w:val="single" w:color="000000"/>
        </w:rPr>
        <w:t>年</w:t>
      </w:r>
      <w:r>
        <w:rPr>
          <w:rFonts w:hint="eastAsia" w:ascii="宋体" w:hAnsi="宋体" w:eastAsia="宋体" w:cs="宋体"/>
          <w:b/>
          <w:bCs/>
          <w:sz w:val="24"/>
          <w:u w:val="single" w:color="000000"/>
          <w:lang w:val="en-US" w:eastAsia="zh-CN"/>
        </w:rPr>
        <w:t>4</w:t>
      </w:r>
      <w:r>
        <w:rPr>
          <w:rFonts w:hint="eastAsia" w:ascii="宋体" w:hAnsi="宋体" w:eastAsia="宋体" w:cs="宋体"/>
          <w:b/>
          <w:bCs/>
          <w:sz w:val="24"/>
          <w:u w:val="single" w:color="000000"/>
        </w:rPr>
        <w:t>月</w:t>
      </w:r>
      <w:r>
        <w:rPr>
          <w:rFonts w:hint="eastAsia" w:ascii="宋体" w:hAnsi="宋体" w:eastAsia="宋体" w:cs="宋体"/>
          <w:b/>
          <w:bCs/>
          <w:sz w:val="24"/>
          <w:u w:val="single" w:color="000000"/>
          <w:lang w:val="en-US" w:eastAsia="zh-CN"/>
        </w:rPr>
        <w:t>3</w:t>
      </w:r>
      <w:r>
        <w:rPr>
          <w:rFonts w:hint="eastAsia" w:ascii="宋体" w:hAnsi="宋体" w:eastAsia="宋体" w:cs="宋体"/>
          <w:b/>
          <w:bCs/>
          <w:sz w:val="24"/>
          <w:u w:val="single" w:color="000000"/>
        </w:rPr>
        <w:t>日</w:t>
      </w:r>
    </w:p>
    <w:p w14:paraId="0AB3A540">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rPr>
        <w:t>地  点：</w:t>
      </w:r>
      <w:r>
        <w:rPr>
          <w:rFonts w:hint="eastAsia" w:ascii="宋体" w:hAnsi="宋体" w:eastAsia="宋体" w:cs="宋体"/>
          <w:snapToGrid/>
          <w:kern w:val="2"/>
          <w:sz w:val="24"/>
          <w:u w:val="single"/>
        </w:rPr>
        <w:t>有意愿参与本项目竞争性磋商响应的供应商，请于本公告发布日起至磋商响应文件递交截止时间前，到“南通市机关事务管理局网（http://jgsw.nantong.gov.cn/）-公告公示”栏下载本项目的竞争性磋商文件。</w:t>
      </w:r>
    </w:p>
    <w:p w14:paraId="45F0E9CA">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rPr>
        <w:t>方  式：自行下载。</w:t>
      </w:r>
    </w:p>
    <w:p w14:paraId="28DF3E62">
      <w:pPr>
        <w:pStyle w:val="8"/>
        <w:keepNext w:val="0"/>
        <w:keepLines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2E02E94">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时间： </w:t>
      </w:r>
      <w:r>
        <w:rPr>
          <w:rFonts w:hint="eastAsia" w:ascii="宋体" w:hAnsi="宋体" w:eastAsia="宋体" w:cs="宋体"/>
          <w:b/>
          <w:bCs/>
          <w:sz w:val="24"/>
          <w:u w:val="single" w:color="000000"/>
        </w:rPr>
        <w:t>202</w:t>
      </w:r>
      <w:r>
        <w:rPr>
          <w:rFonts w:hint="eastAsia" w:ascii="宋体" w:hAnsi="宋体" w:eastAsia="宋体" w:cs="宋体"/>
          <w:b/>
          <w:bCs/>
          <w:sz w:val="24"/>
          <w:u w:val="single" w:color="000000"/>
          <w:lang w:val="en-US" w:eastAsia="zh-CN"/>
        </w:rPr>
        <w:t>5</w:t>
      </w:r>
      <w:r>
        <w:rPr>
          <w:rFonts w:hint="eastAsia" w:ascii="宋体" w:hAnsi="宋体" w:eastAsia="宋体" w:cs="宋体"/>
          <w:b/>
          <w:bCs/>
          <w:sz w:val="24"/>
          <w:u w:val="single" w:color="000000"/>
        </w:rPr>
        <w:t>年</w:t>
      </w:r>
      <w:r>
        <w:rPr>
          <w:rFonts w:hint="eastAsia" w:ascii="宋体" w:hAnsi="宋体" w:eastAsia="宋体" w:cs="宋体"/>
          <w:b/>
          <w:bCs/>
          <w:sz w:val="24"/>
          <w:u w:val="single" w:color="000000"/>
          <w:lang w:val="en-US" w:eastAsia="zh-CN"/>
        </w:rPr>
        <w:t>4</w:t>
      </w:r>
      <w:r>
        <w:rPr>
          <w:rFonts w:hint="eastAsia" w:ascii="宋体" w:hAnsi="宋体" w:eastAsia="宋体" w:cs="宋体"/>
          <w:b/>
          <w:bCs/>
          <w:sz w:val="24"/>
          <w:u w:val="single" w:color="000000"/>
        </w:rPr>
        <w:t>月</w:t>
      </w:r>
      <w:r>
        <w:rPr>
          <w:rFonts w:hint="eastAsia" w:ascii="宋体" w:hAnsi="宋体" w:eastAsia="宋体" w:cs="宋体"/>
          <w:b/>
          <w:bCs/>
          <w:sz w:val="24"/>
          <w:u w:val="single" w:color="000000"/>
          <w:lang w:val="en-US" w:eastAsia="zh-CN"/>
        </w:rPr>
        <w:t>3</w:t>
      </w:r>
      <w:r>
        <w:rPr>
          <w:rFonts w:hint="eastAsia" w:ascii="宋体" w:hAnsi="宋体" w:eastAsia="宋体" w:cs="宋体"/>
          <w:b/>
          <w:bCs/>
          <w:sz w:val="24"/>
          <w:u w:val="single" w:color="000000"/>
        </w:rPr>
        <w:t>日14</w:t>
      </w:r>
      <w:r>
        <w:rPr>
          <w:rFonts w:hint="eastAsia" w:ascii="宋体" w:hAnsi="宋体" w:eastAsia="宋体" w:cs="宋体"/>
          <w:b/>
          <w:bCs/>
          <w:sz w:val="24"/>
          <w:u w:val="single"/>
        </w:rPr>
        <w:t>时</w:t>
      </w:r>
      <w:r>
        <w:rPr>
          <w:rFonts w:hint="eastAsia" w:ascii="宋体" w:hAnsi="宋体" w:eastAsia="宋体" w:cs="宋体"/>
          <w:b/>
          <w:bCs/>
          <w:sz w:val="24"/>
          <w:u w:val="single"/>
          <w:lang w:val="en-US" w:eastAsia="zh-CN"/>
        </w:rPr>
        <w:t>00</w:t>
      </w:r>
      <w:r>
        <w:rPr>
          <w:rFonts w:hint="eastAsia" w:ascii="宋体" w:hAnsi="宋体" w:eastAsia="宋体" w:cs="宋体"/>
          <w:b/>
          <w:bCs/>
          <w:sz w:val="24"/>
          <w:u w:val="single"/>
        </w:rPr>
        <w:t>分00秒</w:t>
      </w:r>
      <w:r>
        <w:rPr>
          <w:rFonts w:hint="eastAsia" w:ascii="宋体" w:hAnsi="宋体" w:eastAsia="宋体" w:cs="宋体"/>
          <w:bCs/>
          <w:sz w:val="24"/>
        </w:rPr>
        <w:t>（北京时间），逾时，采购单位将拒绝接受其响应文件。</w:t>
      </w:r>
    </w:p>
    <w:p w14:paraId="5E39C282">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地</w:t>
      </w:r>
      <w:r>
        <w:rPr>
          <w:rFonts w:hint="eastAsia" w:ascii="宋体" w:hAnsi="宋体" w:eastAsia="宋体" w:cs="宋体"/>
          <w:sz w:val="24"/>
          <w:lang w:val="en-US" w:eastAsia="zh-CN"/>
        </w:rPr>
        <w:t xml:space="preserve">   </w:t>
      </w:r>
      <w:r>
        <w:rPr>
          <w:rFonts w:hint="eastAsia" w:ascii="宋体" w:hAnsi="宋体" w:eastAsia="宋体" w:cs="宋体"/>
          <w:sz w:val="24"/>
        </w:rPr>
        <w:t xml:space="preserve">点： </w:t>
      </w:r>
      <w:r>
        <w:rPr>
          <w:rFonts w:hint="eastAsia" w:ascii="宋体" w:hAnsi="宋体" w:eastAsia="宋体" w:cs="宋体"/>
          <w:sz w:val="24"/>
          <w:u w:val="single" w:color="000000"/>
        </w:rPr>
        <w:t>南通市崇川</w:t>
      </w:r>
      <w:r>
        <w:rPr>
          <w:rFonts w:hint="eastAsia" w:ascii="宋体" w:hAnsi="宋体" w:eastAsia="宋体" w:cs="宋体"/>
          <w:sz w:val="24"/>
          <w:u w:val="single" w:color="000000"/>
          <w:lang w:eastAsia="zh-CN"/>
        </w:rPr>
        <w:t>区工农路358号12层中证</w:t>
      </w:r>
      <w:r>
        <w:rPr>
          <w:rFonts w:hint="eastAsia" w:ascii="宋体" w:hAnsi="宋体" w:eastAsia="宋体" w:cs="宋体"/>
          <w:sz w:val="24"/>
          <w:u w:val="single" w:color="000000"/>
        </w:rPr>
        <w:t>开标室，如有变动另行通知。</w:t>
      </w:r>
    </w:p>
    <w:p w14:paraId="477B1423">
      <w:pPr>
        <w:pStyle w:val="8"/>
        <w:keepNext w:val="0"/>
        <w:keepLines w:val="0"/>
        <w:snapToGrid w:val="0"/>
        <w:spacing w:before="0" w:after="0" w:line="360" w:lineRule="auto"/>
        <w:ind w:firstLine="482" w:firstLineChars="200"/>
        <w:rPr>
          <w:rFonts w:eastAsia="宋体" w:cs="宋体"/>
          <w:sz w:val="24"/>
          <w:szCs w:val="24"/>
        </w:rPr>
      </w:pPr>
      <w:r>
        <w:rPr>
          <w:rFonts w:hint="eastAsia" w:ascii="宋体" w:hAnsi="宋体" w:eastAsia="宋体" w:cs="宋体"/>
          <w:sz w:val="24"/>
          <w:szCs w:val="24"/>
        </w:rPr>
        <w:t>五、</w:t>
      </w:r>
      <w:r>
        <w:rPr>
          <w:rFonts w:hint="eastAsia" w:eastAsia="宋体" w:cs="宋体"/>
          <w:sz w:val="24"/>
          <w:szCs w:val="24"/>
        </w:rPr>
        <w:t>响应文件的开启</w:t>
      </w:r>
    </w:p>
    <w:p w14:paraId="61EC930B">
      <w:pPr>
        <w:snapToGrid w:val="0"/>
        <w:spacing w:line="360" w:lineRule="auto"/>
        <w:ind w:firstLine="480" w:firstLineChars="200"/>
        <w:textAlignment w:val="baseline"/>
        <w:rPr>
          <w:rFonts w:ascii="宋体" w:hAnsi="宋体" w:eastAsia="宋体" w:cs="宋体"/>
          <w:bCs/>
          <w:sz w:val="24"/>
          <w:u w:val="single"/>
        </w:rPr>
      </w:pPr>
      <w:r>
        <w:rPr>
          <w:rFonts w:hint="eastAsia" w:ascii="宋体" w:hAnsi="宋体" w:eastAsia="宋体" w:cs="宋体"/>
          <w:sz w:val="24"/>
        </w:rPr>
        <w:t xml:space="preserve">时  间： </w:t>
      </w:r>
      <w:r>
        <w:rPr>
          <w:rFonts w:hint="eastAsia" w:ascii="宋体" w:hAnsi="宋体" w:eastAsia="宋体" w:cs="宋体"/>
          <w:b/>
          <w:bCs/>
          <w:sz w:val="24"/>
          <w:u w:val="single" w:color="000000"/>
        </w:rPr>
        <w:t>202</w:t>
      </w:r>
      <w:r>
        <w:rPr>
          <w:rFonts w:hint="eastAsia" w:ascii="宋体" w:hAnsi="宋体" w:eastAsia="宋体" w:cs="宋体"/>
          <w:b/>
          <w:bCs/>
          <w:sz w:val="24"/>
          <w:u w:val="single" w:color="000000"/>
          <w:lang w:val="en-US" w:eastAsia="zh-CN"/>
        </w:rPr>
        <w:t>5</w:t>
      </w:r>
      <w:r>
        <w:rPr>
          <w:rFonts w:hint="eastAsia" w:ascii="宋体" w:hAnsi="宋体" w:eastAsia="宋体" w:cs="宋体"/>
          <w:b/>
          <w:bCs/>
          <w:sz w:val="24"/>
          <w:u w:val="single" w:color="000000"/>
        </w:rPr>
        <w:t>年</w:t>
      </w:r>
      <w:r>
        <w:rPr>
          <w:rFonts w:hint="eastAsia" w:ascii="宋体" w:hAnsi="宋体" w:eastAsia="宋体" w:cs="宋体"/>
          <w:b/>
          <w:bCs/>
          <w:sz w:val="24"/>
          <w:u w:val="single" w:color="000000"/>
          <w:lang w:val="en-US" w:eastAsia="zh-CN"/>
        </w:rPr>
        <w:t>4</w:t>
      </w:r>
      <w:r>
        <w:rPr>
          <w:rFonts w:hint="eastAsia" w:ascii="宋体" w:hAnsi="宋体" w:eastAsia="宋体" w:cs="宋体"/>
          <w:b/>
          <w:bCs/>
          <w:sz w:val="24"/>
          <w:u w:val="single" w:color="000000"/>
        </w:rPr>
        <w:t>月</w:t>
      </w:r>
      <w:r>
        <w:rPr>
          <w:rFonts w:hint="eastAsia" w:ascii="宋体" w:hAnsi="宋体" w:eastAsia="宋体" w:cs="宋体"/>
          <w:b/>
          <w:bCs/>
          <w:sz w:val="24"/>
          <w:u w:val="single" w:color="000000"/>
          <w:lang w:val="en-US" w:eastAsia="zh-CN"/>
        </w:rPr>
        <w:t>3</w:t>
      </w:r>
      <w:r>
        <w:rPr>
          <w:rFonts w:hint="eastAsia" w:ascii="宋体" w:hAnsi="宋体" w:eastAsia="宋体" w:cs="宋体"/>
          <w:b/>
          <w:bCs/>
          <w:sz w:val="24"/>
          <w:u w:val="single" w:color="000000"/>
        </w:rPr>
        <w:t>日14</w:t>
      </w:r>
      <w:r>
        <w:rPr>
          <w:rFonts w:hint="eastAsia" w:ascii="宋体" w:hAnsi="宋体" w:eastAsia="宋体" w:cs="宋体"/>
          <w:b/>
          <w:bCs/>
          <w:sz w:val="24"/>
          <w:u w:val="single"/>
        </w:rPr>
        <w:t>时</w:t>
      </w:r>
      <w:r>
        <w:rPr>
          <w:rFonts w:hint="eastAsia" w:ascii="宋体" w:hAnsi="宋体" w:eastAsia="宋体" w:cs="宋体"/>
          <w:b/>
          <w:bCs/>
          <w:sz w:val="24"/>
          <w:u w:val="single"/>
          <w:lang w:val="en-US" w:eastAsia="zh-CN"/>
        </w:rPr>
        <w:t>0</w:t>
      </w:r>
      <w:r>
        <w:rPr>
          <w:rFonts w:hint="eastAsia" w:ascii="宋体" w:hAnsi="宋体" w:eastAsia="宋体" w:cs="宋体"/>
          <w:b/>
          <w:bCs/>
          <w:sz w:val="24"/>
          <w:u w:val="single"/>
        </w:rPr>
        <w:t>0分00秒</w:t>
      </w:r>
      <w:r>
        <w:rPr>
          <w:rFonts w:hint="eastAsia" w:ascii="宋体" w:hAnsi="宋体" w:eastAsia="宋体" w:cs="宋体"/>
          <w:bCs/>
          <w:sz w:val="24"/>
        </w:rPr>
        <w:t>（北京时间）</w:t>
      </w:r>
    </w:p>
    <w:p w14:paraId="35F4F763">
      <w:pPr>
        <w:pStyle w:val="8"/>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b w:val="0"/>
          <w:bCs w:val="0"/>
          <w:sz w:val="24"/>
          <w:szCs w:val="24"/>
        </w:rPr>
        <w:t>地  点：</w:t>
      </w:r>
      <w:r>
        <w:rPr>
          <w:rFonts w:hint="eastAsia" w:ascii="宋体" w:hAnsi="宋体" w:eastAsia="宋体" w:cs="宋体"/>
          <w:b w:val="0"/>
          <w:bCs w:val="0"/>
          <w:sz w:val="24"/>
          <w:szCs w:val="24"/>
          <w:u w:val="single" w:color="auto"/>
        </w:rPr>
        <w:t>南通市崇川</w:t>
      </w:r>
      <w:r>
        <w:rPr>
          <w:rFonts w:hint="eastAsia" w:ascii="宋体" w:hAnsi="宋体" w:eastAsia="宋体" w:cs="宋体"/>
          <w:b w:val="0"/>
          <w:bCs w:val="0"/>
          <w:sz w:val="24"/>
          <w:szCs w:val="24"/>
          <w:u w:val="single" w:color="auto"/>
          <w:lang w:eastAsia="zh-CN"/>
        </w:rPr>
        <w:t>区工农路358号12</w:t>
      </w:r>
      <w:r>
        <w:rPr>
          <w:rFonts w:hint="eastAsia" w:ascii="宋体" w:hAnsi="宋体" w:eastAsia="宋体" w:cs="宋体"/>
          <w:b w:val="0"/>
          <w:bCs w:val="0"/>
          <w:sz w:val="24"/>
          <w:szCs w:val="24"/>
          <w:u w:val="single" w:color="000000"/>
          <w:lang w:eastAsia="zh-CN"/>
        </w:rPr>
        <w:t>层中证</w:t>
      </w:r>
      <w:r>
        <w:rPr>
          <w:rFonts w:hint="eastAsia" w:ascii="宋体" w:hAnsi="宋体" w:eastAsia="宋体" w:cs="宋体"/>
          <w:b w:val="0"/>
          <w:bCs w:val="0"/>
          <w:sz w:val="24"/>
          <w:szCs w:val="24"/>
          <w:u w:val="single" w:color="000000"/>
        </w:rPr>
        <w:t>开标室，如有变动另行通知。</w:t>
      </w:r>
    </w:p>
    <w:p w14:paraId="0D5EEA43">
      <w:pPr>
        <w:pStyle w:val="8"/>
        <w:keepNext w:val="0"/>
        <w:keepLines w:val="0"/>
        <w:adjustRightInd w:val="0"/>
        <w:snapToGrid w:val="0"/>
        <w:spacing w:before="0" w:after="0" w:line="360" w:lineRule="auto"/>
        <w:ind w:left="482"/>
        <w:rPr>
          <w:rFonts w:ascii="宋体" w:hAnsi="宋体" w:eastAsia="宋体" w:cs="宋体"/>
          <w:sz w:val="24"/>
          <w:szCs w:val="24"/>
        </w:rPr>
      </w:pPr>
      <w:r>
        <w:rPr>
          <w:rFonts w:hint="eastAsia" w:ascii="宋体" w:hAnsi="宋体" w:eastAsia="宋体" w:cs="宋体"/>
          <w:sz w:val="24"/>
        </w:rPr>
        <w:t>六、</w:t>
      </w:r>
      <w:r>
        <w:rPr>
          <w:rFonts w:hint="eastAsia" w:ascii="宋体" w:hAnsi="宋体" w:eastAsia="宋体" w:cs="宋体"/>
          <w:sz w:val="24"/>
          <w:szCs w:val="24"/>
        </w:rPr>
        <w:t>公告期限</w:t>
      </w:r>
    </w:p>
    <w:p w14:paraId="6F47F01E">
      <w:p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自本公告发布之日起3个工作日。</w:t>
      </w:r>
    </w:p>
    <w:p w14:paraId="2A134772">
      <w:pPr>
        <w:adjustRightInd w:val="0"/>
        <w:snapToGrid w:val="0"/>
        <w:spacing w:line="360" w:lineRule="auto"/>
        <w:ind w:firstLine="482" w:firstLineChars="200"/>
        <w:textAlignment w:val="baseline"/>
        <w:rPr>
          <w:rFonts w:ascii="宋体" w:hAnsi="宋体" w:eastAsia="宋体" w:cs="宋体"/>
          <w:b/>
          <w:sz w:val="24"/>
        </w:rPr>
      </w:pPr>
      <w:r>
        <w:rPr>
          <w:rFonts w:hint="eastAsia" w:ascii="宋体" w:hAnsi="宋体" w:eastAsia="宋体" w:cs="宋体"/>
          <w:b/>
          <w:bCs/>
          <w:sz w:val="24"/>
        </w:rPr>
        <w:t>七、</w:t>
      </w:r>
      <w:r>
        <w:rPr>
          <w:rFonts w:hint="eastAsia" w:ascii="宋体" w:hAnsi="宋体" w:eastAsia="宋体" w:cs="宋体"/>
          <w:b/>
          <w:sz w:val="24"/>
        </w:rPr>
        <w:t>其他补充事宜：</w:t>
      </w:r>
    </w:p>
    <w:p w14:paraId="252AD85A">
      <w:pPr>
        <w:numPr>
          <w:ilvl w:val="0"/>
          <w:numId w:val="3"/>
        </w:numPr>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磋商保证金：免收。</w:t>
      </w:r>
    </w:p>
    <w:p w14:paraId="11D5DF7C">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项目磋商活动模式：现场磋商模式，供应商须参加现场磋商活动。</w:t>
      </w:r>
    </w:p>
    <w:p w14:paraId="588B5769">
      <w:pPr>
        <w:numPr>
          <w:ilvl w:val="0"/>
          <w:numId w:val="3"/>
        </w:numPr>
        <w:adjustRightInd w:val="0"/>
        <w:snapToGrid w:val="0"/>
        <w:spacing w:line="360" w:lineRule="auto"/>
        <w:ind w:firstLine="480"/>
        <w:textAlignment w:val="baseline"/>
        <w:rPr>
          <w:rFonts w:ascii="宋体" w:hAnsi="宋体" w:eastAsia="宋体" w:cs="宋体"/>
          <w:sz w:val="24"/>
        </w:rPr>
      </w:pPr>
      <w:r>
        <w:rPr>
          <w:rFonts w:hint="eastAsia" w:ascii="宋体" w:hAnsi="宋体" w:eastAsia="宋体" w:cs="宋体"/>
          <w:sz w:val="24"/>
        </w:rPr>
        <w:t>项目演示、样品、答辩等：无。</w:t>
      </w:r>
    </w:p>
    <w:p w14:paraId="4001A617">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对项目需求部分（供应商资格要求、项目需求、商务技术评分标准）的询问、质疑请向采购单位提出，由采购单位负责答复；对项目磋商文件其它部分的询问请向磋商代理机构提出。</w:t>
      </w:r>
    </w:p>
    <w:p w14:paraId="073CD892">
      <w:pPr>
        <w:numPr>
          <w:ilvl w:val="0"/>
          <w:numId w:val="3"/>
        </w:numPr>
        <w:adjustRightInd w:val="0"/>
        <w:snapToGrid w:val="0"/>
        <w:spacing w:line="360" w:lineRule="auto"/>
        <w:ind w:firstLine="480"/>
        <w:rPr>
          <w:rFonts w:ascii="宋体" w:hAnsi="宋体" w:eastAsia="宋体" w:cs="宋体"/>
          <w:sz w:val="24"/>
        </w:rPr>
      </w:pPr>
      <w:r>
        <w:rPr>
          <w:rFonts w:hint="eastAsia" w:ascii="宋体" w:hAnsi="宋体" w:eastAsia="宋体" w:cs="宋体"/>
          <w:sz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AC8C5F1">
      <w:pPr>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rPr>
        <w:t>八、凡对本次采购提出询问，请按以下方式联系。</w:t>
      </w:r>
    </w:p>
    <w:p w14:paraId="1C881A88">
      <w:pPr>
        <w:numPr>
          <w:ilvl w:val="0"/>
          <w:numId w:val="4"/>
        </w:num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采购单位信息</w:t>
      </w:r>
    </w:p>
    <w:p w14:paraId="4B75EAFB">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名    称：南通市机关事务管理局</w:t>
      </w:r>
    </w:p>
    <w:p w14:paraId="5573E2AE">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地    址：南通市世纪大道6号</w:t>
      </w:r>
    </w:p>
    <w:p w14:paraId="668A9AEE">
      <w:pPr>
        <w:snapToGrid w:val="0"/>
        <w:spacing w:line="360" w:lineRule="auto"/>
        <w:ind w:firstLine="480" w:firstLineChars="200"/>
        <w:rPr>
          <w:rFonts w:hint="eastAsia" w:ascii="宋体" w:hAnsi="宋体" w:eastAsia="宋体" w:cs="宋体"/>
          <w:snapToGrid/>
          <w:kern w:val="2"/>
          <w:sz w:val="24"/>
          <w:lang w:eastAsia="zh-CN"/>
        </w:rPr>
      </w:pPr>
      <w:r>
        <w:rPr>
          <w:rFonts w:hint="eastAsia" w:ascii="宋体" w:hAnsi="宋体" w:eastAsia="宋体" w:cs="宋体"/>
          <w:snapToGrid/>
          <w:kern w:val="2"/>
          <w:sz w:val="24"/>
        </w:rPr>
        <w:t>联 系 人：</w:t>
      </w:r>
      <w:r>
        <w:rPr>
          <w:rFonts w:hint="eastAsia" w:ascii="宋体" w:hAnsi="宋体" w:eastAsia="宋体" w:cs="宋体"/>
          <w:snapToGrid/>
          <w:kern w:val="2"/>
          <w:sz w:val="24"/>
          <w:lang w:eastAsia="zh-CN"/>
        </w:rPr>
        <w:t>夏先生</w:t>
      </w:r>
    </w:p>
    <w:p w14:paraId="09E20A4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联系电话：</w:t>
      </w:r>
      <w:r>
        <w:rPr>
          <w:rFonts w:hint="eastAsia" w:ascii="宋体" w:hAnsi="宋体" w:eastAsia="宋体" w:cs="宋体"/>
          <w:snapToGrid/>
          <w:kern w:val="2"/>
          <w:sz w:val="24"/>
          <w:lang w:val="en-US" w:eastAsia="zh-CN"/>
        </w:rPr>
        <w:t>138 1364 5582</w:t>
      </w:r>
    </w:p>
    <w:p w14:paraId="696D112F">
      <w:pPr>
        <w:numPr>
          <w:ilvl w:val="0"/>
          <w:numId w:val="5"/>
        </w:num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采购代理机构信息</w:t>
      </w:r>
    </w:p>
    <w:p w14:paraId="025DE940">
      <w:pPr>
        <w:snapToGrid w:val="0"/>
        <w:spacing w:line="360" w:lineRule="auto"/>
        <w:ind w:firstLine="480" w:firstLineChars="200"/>
        <w:rPr>
          <w:rFonts w:hint="eastAsia" w:ascii="宋体" w:hAnsi="宋体" w:eastAsia="宋体" w:cs="宋体"/>
          <w:snapToGrid/>
          <w:kern w:val="2"/>
          <w:sz w:val="24"/>
          <w:lang w:eastAsia="zh-CN"/>
        </w:rPr>
      </w:pPr>
      <w:r>
        <w:rPr>
          <w:rFonts w:hint="eastAsia" w:ascii="宋体" w:hAnsi="宋体" w:eastAsia="宋体" w:cs="宋体"/>
          <w:snapToGrid/>
          <w:kern w:val="2"/>
          <w:sz w:val="24"/>
        </w:rPr>
        <w:t>名    称：</w:t>
      </w:r>
      <w:r>
        <w:rPr>
          <w:rFonts w:hint="eastAsia" w:ascii="宋体" w:hAnsi="宋体" w:eastAsia="宋体" w:cs="宋体"/>
          <w:snapToGrid/>
          <w:kern w:val="2"/>
          <w:sz w:val="24"/>
          <w:lang w:eastAsia="zh-CN"/>
        </w:rPr>
        <w:t>中证房地产评估造价集团有限公司</w:t>
      </w:r>
    </w:p>
    <w:p w14:paraId="04C19B66">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地址：南通市崇川区工农路358号12层</w:t>
      </w:r>
    </w:p>
    <w:p w14:paraId="6FD40DF2">
      <w:pPr>
        <w:snapToGrid w:val="0"/>
        <w:spacing w:line="360" w:lineRule="auto"/>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 xml:space="preserve">联系人：张林丽  联系电话：13646287155     </w:t>
      </w:r>
    </w:p>
    <w:p w14:paraId="273D6B9F">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3.项目联系方式</w:t>
      </w:r>
    </w:p>
    <w:p w14:paraId="678CA3A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联 系 人：</w:t>
      </w:r>
      <w:r>
        <w:rPr>
          <w:rFonts w:hint="eastAsia" w:ascii="宋体" w:hAnsi="宋体" w:eastAsia="宋体" w:cs="宋体"/>
          <w:snapToGrid/>
          <w:kern w:val="2"/>
          <w:sz w:val="24"/>
          <w:lang w:eastAsia="zh-CN"/>
        </w:rPr>
        <w:t>夏先生</w:t>
      </w:r>
    </w:p>
    <w:p w14:paraId="329556F9">
      <w:pPr>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snapToGrid/>
          <w:kern w:val="2"/>
          <w:sz w:val="24"/>
        </w:rPr>
        <w:t>联系电话：</w:t>
      </w:r>
      <w:r>
        <w:rPr>
          <w:rFonts w:hint="eastAsia" w:ascii="宋体" w:hAnsi="宋体" w:eastAsia="宋体" w:cs="宋体"/>
          <w:snapToGrid/>
          <w:kern w:val="2"/>
          <w:sz w:val="24"/>
          <w:lang w:val="en-US" w:eastAsia="zh-CN"/>
        </w:rPr>
        <w:t>138 1364 5582</w:t>
      </w:r>
      <w:r>
        <w:rPr>
          <w:rFonts w:hint="eastAsia" w:ascii="宋体" w:hAnsi="宋体" w:eastAsia="宋体" w:cs="宋体"/>
          <w:snapToGrid/>
          <w:kern w:val="2"/>
          <w:sz w:val="24"/>
        </w:rPr>
        <w:t xml:space="preserve"> </w:t>
      </w:r>
      <w:r>
        <w:rPr>
          <w:rFonts w:hint="eastAsia" w:ascii="宋体" w:hAnsi="宋体" w:eastAsia="宋体" w:cs="宋体"/>
        </w:rPr>
        <w:t xml:space="preserve">                                 </w:t>
      </w:r>
    </w:p>
    <w:p w14:paraId="15B96ED3">
      <w:pPr>
        <w:adjustRightInd w:val="0"/>
        <w:snapToGrid w:val="0"/>
        <w:spacing w:line="360" w:lineRule="auto"/>
        <w:ind w:firstLine="480" w:firstLineChars="200"/>
        <w:jc w:val="center"/>
        <w:rPr>
          <w:rFonts w:ascii="宋体" w:hAnsi="宋体" w:eastAsia="宋体" w:cs="宋体"/>
          <w:sz w:val="24"/>
        </w:rPr>
      </w:pPr>
      <w:r>
        <w:rPr>
          <w:rFonts w:hint="eastAsia" w:ascii="宋体" w:hAnsi="宋体" w:eastAsia="宋体" w:cs="宋体"/>
          <w:sz w:val="24"/>
        </w:rPr>
        <w:t xml:space="preserve">                                          </w:t>
      </w:r>
    </w:p>
    <w:p w14:paraId="6E36C549">
      <w:pPr>
        <w:adjustRightInd w:val="0"/>
        <w:snapToGrid w:val="0"/>
        <w:spacing w:line="360" w:lineRule="auto"/>
        <w:ind w:firstLine="480" w:firstLineChars="200"/>
        <w:jc w:val="center"/>
        <w:rPr>
          <w:rFonts w:ascii="宋体" w:hAnsi="宋体" w:eastAsia="宋体" w:cs="宋体"/>
          <w:sz w:val="24"/>
        </w:rPr>
      </w:pPr>
    </w:p>
    <w:p w14:paraId="5E474B5C">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第二部分 磋商须知</w:t>
      </w:r>
    </w:p>
    <w:p w14:paraId="2F54B72B">
      <w:pPr>
        <w:adjustRightInd w:val="0"/>
        <w:snapToGrid w:val="0"/>
        <w:spacing w:line="360" w:lineRule="auto"/>
        <w:ind w:firstLine="482" w:firstLineChars="200"/>
        <w:outlineLvl w:val="2"/>
        <w:rPr>
          <w:rFonts w:ascii="宋体" w:hAnsi="宋体" w:eastAsia="宋体" w:cs="宋体"/>
          <w:b/>
          <w:bCs/>
          <w:sz w:val="24"/>
        </w:rPr>
      </w:pPr>
      <w:bookmarkStart w:id="1" w:name="_Toc363573855"/>
      <w:bookmarkStart w:id="2" w:name="_Toc8895740"/>
      <w:bookmarkStart w:id="3" w:name="_Toc94585341"/>
      <w:bookmarkStart w:id="4" w:name="_Toc94544745"/>
      <w:bookmarkStart w:id="5" w:name="_Toc521203419"/>
      <w:bookmarkStart w:id="6" w:name="_Toc94544871"/>
      <w:bookmarkStart w:id="7" w:name="_Toc11554640"/>
      <w:bookmarkStart w:id="8" w:name="_Toc12670504"/>
      <w:bookmarkStart w:id="9" w:name="_Toc11500281"/>
      <w:bookmarkStart w:id="10" w:name="_Toc11499585"/>
      <w:bookmarkStart w:id="11" w:name="_Toc521201598"/>
      <w:r>
        <w:rPr>
          <w:rFonts w:hint="eastAsia" w:ascii="宋体" w:hAnsi="宋体" w:eastAsia="宋体" w:cs="宋体"/>
          <w:b/>
          <w:bCs/>
          <w:sz w:val="24"/>
        </w:rPr>
        <w:t>一、总则</w:t>
      </w:r>
    </w:p>
    <w:p w14:paraId="3493E0A1">
      <w:pPr>
        <w:adjustRightInd w:val="0"/>
        <w:snapToGrid w:val="0"/>
        <w:spacing w:line="360" w:lineRule="auto"/>
        <w:ind w:firstLine="480" w:firstLineChars="200"/>
        <w:outlineLvl w:val="3"/>
        <w:rPr>
          <w:rFonts w:ascii="宋体" w:hAnsi="宋体" w:eastAsia="宋体" w:cs="宋体"/>
          <w:b/>
          <w:bCs/>
          <w:sz w:val="24"/>
        </w:rPr>
      </w:pPr>
      <w:bookmarkStart w:id="12" w:name="_Hlt16619475"/>
      <w:bookmarkEnd w:id="12"/>
      <w:bookmarkStart w:id="13" w:name="_Toc458694821"/>
      <w:bookmarkStart w:id="14" w:name="_Toc513029204"/>
      <w:bookmarkStart w:id="15" w:name="_Toc16938520"/>
      <w:bookmarkStart w:id="16" w:name="_Toc20823276"/>
      <w:r>
        <w:rPr>
          <w:rFonts w:hint="eastAsia" w:ascii="宋体" w:hAnsi="宋体" w:eastAsia="宋体" w:cs="宋体"/>
          <w:sz w:val="24"/>
        </w:rPr>
        <w:t>1</w:t>
      </w:r>
      <w:bookmarkEnd w:id="13"/>
      <w:r>
        <w:rPr>
          <w:rFonts w:hint="eastAsia" w:ascii="宋体" w:hAnsi="宋体" w:eastAsia="宋体" w:cs="宋体"/>
          <w:sz w:val="24"/>
        </w:rPr>
        <w:t>、采购方式</w:t>
      </w:r>
      <w:bookmarkEnd w:id="14"/>
      <w:bookmarkEnd w:id="15"/>
      <w:bookmarkEnd w:id="16"/>
    </w:p>
    <w:p w14:paraId="076EB1F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1.1 本次采取竞争性磋商方式，本磋商文件仅适用于采购邀请中所述项目。</w:t>
      </w:r>
    </w:p>
    <w:p w14:paraId="20C3D0F5">
      <w:pPr>
        <w:adjustRightInd w:val="0"/>
        <w:snapToGrid w:val="0"/>
        <w:spacing w:line="360" w:lineRule="auto"/>
        <w:ind w:firstLine="480" w:firstLineChars="200"/>
        <w:outlineLvl w:val="3"/>
        <w:rPr>
          <w:rFonts w:ascii="宋体" w:hAnsi="宋体" w:eastAsia="宋体" w:cs="宋体"/>
          <w:b/>
          <w:bCs/>
          <w:sz w:val="24"/>
        </w:rPr>
      </w:pPr>
      <w:bookmarkStart w:id="17" w:name="_Toc513029205"/>
      <w:bookmarkStart w:id="18" w:name="_Toc20823277"/>
      <w:bookmarkStart w:id="19" w:name="_Toc16938521"/>
      <w:r>
        <w:rPr>
          <w:rFonts w:hint="eastAsia" w:ascii="宋体" w:hAnsi="宋体" w:eastAsia="宋体" w:cs="宋体"/>
          <w:sz w:val="24"/>
        </w:rPr>
        <w:t>2、合格的</w:t>
      </w:r>
      <w:bookmarkEnd w:id="17"/>
      <w:bookmarkEnd w:id="18"/>
      <w:bookmarkEnd w:id="19"/>
      <w:r>
        <w:rPr>
          <w:rFonts w:hint="eastAsia" w:ascii="宋体" w:hAnsi="宋体" w:eastAsia="宋体" w:cs="宋体"/>
          <w:sz w:val="24"/>
        </w:rPr>
        <w:t>供应商</w:t>
      </w:r>
    </w:p>
    <w:p w14:paraId="0D785BB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2.1满足采购邀请中供应商的资格要求的规定。</w:t>
      </w:r>
    </w:p>
    <w:p w14:paraId="1007A3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 满足本文件实质性条款的规定。</w:t>
      </w:r>
    </w:p>
    <w:p w14:paraId="07DB2CFE">
      <w:pPr>
        <w:adjustRightInd w:val="0"/>
        <w:snapToGrid w:val="0"/>
        <w:spacing w:line="360" w:lineRule="auto"/>
        <w:ind w:firstLine="480" w:firstLineChars="200"/>
        <w:outlineLvl w:val="3"/>
        <w:rPr>
          <w:rFonts w:ascii="宋体" w:hAnsi="宋体" w:eastAsia="宋体" w:cs="宋体"/>
          <w:b/>
          <w:bCs/>
          <w:sz w:val="24"/>
        </w:rPr>
      </w:pPr>
      <w:bookmarkStart w:id="20" w:name="_Toc20823278"/>
      <w:bookmarkStart w:id="21" w:name="_Toc16938522"/>
      <w:bookmarkStart w:id="22" w:name="_Toc513029206"/>
      <w:r>
        <w:rPr>
          <w:rFonts w:hint="eastAsia" w:ascii="宋体" w:hAnsi="宋体" w:eastAsia="宋体" w:cs="宋体"/>
          <w:sz w:val="24"/>
        </w:rPr>
        <w:t>3、适用法律</w:t>
      </w:r>
      <w:bookmarkEnd w:id="20"/>
      <w:bookmarkEnd w:id="21"/>
      <w:bookmarkEnd w:id="22"/>
    </w:p>
    <w:p w14:paraId="2F9F3B4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3.1 本次采购及由此产生的合同受中华人民共和国有关的法律法规制约和保护。</w:t>
      </w:r>
    </w:p>
    <w:p w14:paraId="6995F4B1">
      <w:pPr>
        <w:adjustRightInd w:val="0"/>
        <w:snapToGrid w:val="0"/>
        <w:spacing w:line="360" w:lineRule="auto"/>
        <w:ind w:firstLine="480" w:firstLineChars="200"/>
        <w:outlineLvl w:val="3"/>
        <w:rPr>
          <w:rFonts w:ascii="宋体" w:hAnsi="宋体" w:eastAsia="宋体" w:cs="宋体"/>
          <w:sz w:val="24"/>
        </w:rPr>
      </w:pPr>
      <w:bookmarkStart w:id="23" w:name="_Toc20823279"/>
      <w:bookmarkStart w:id="24" w:name="_Toc16938523"/>
      <w:bookmarkStart w:id="25" w:name="_Toc462564067"/>
      <w:bookmarkStart w:id="26" w:name="_Toc513029207"/>
      <w:r>
        <w:rPr>
          <w:rFonts w:hint="eastAsia" w:ascii="宋体" w:hAnsi="宋体" w:eastAsia="宋体" w:cs="宋体"/>
          <w:sz w:val="24"/>
        </w:rPr>
        <w:t>4、磋商费用</w:t>
      </w:r>
      <w:bookmarkEnd w:id="23"/>
      <w:bookmarkEnd w:id="24"/>
      <w:bookmarkEnd w:id="25"/>
      <w:bookmarkEnd w:id="26"/>
    </w:p>
    <w:p w14:paraId="4A84B49D">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bCs/>
          <w:sz w:val="24"/>
        </w:rPr>
        <w:t>4.1</w:t>
      </w:r>
      <w:r>
        <w:rPr>
          <w:rFonts w:hint="eastAsia" w:ascii="宋体" w:hAnsi="宋体" w:eastAsia="宋体" w:cs="宋体"/>
          <w:sz w:val="24"/>
        </w:rPr>
        <w:t xml:space="preserve"> 供应商应自行承担所有与参加磋商有关的费用，无论磋商过程中的做法和结果如何，采购单位和采购代理机构在任何情况下均无义务和责任承担这些费用。</w:t>
      </w:r>
    </w:p>
    <w:p w14:paraId="6DAF3CEB">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4.2 本次磋商采购单位和采购代理机构收取标书工本费300元</w:t>
      </w:r>
      <w:r>
        <w:rPr>
          <w:rFonts w:hint="eastAsia" w:ascii="宋体" w:hAnsi="宋体" w:eastAsia="宋体" w:cs="宋体"/>
          <w:kern w:val="2"/>
          <w:sz w:val="24"/>
        </w:rPr>
        <w:t>，请参加磋商的供应商在成本中自行考虑。</w:t>
      </w:r>
    </w:p>
    <w:p w14:paraId="25B14B71">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5、磋商文件的约束力</w:t>
      </w:r>
    </w:p>
    <w:p w14:paraId="3FA2BF1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5.1</w:t>
      </w:r>
      <w:r>
        <w:rPr>
          <w:rFonts w:hint="eastAsia" w:ascii="宋体" w:hAnsi="宋体" w:eastAsia="宋体" w:cs="宋体"/>
          <w:sz w:val="24"/>
        </w:rPr>
        <w:t xml:space="preserve"> 供应商一旦参加本项目采购活动，即被认为接受了本磋商文件的规定和约束。</w:t>
      </w:r>
    </w:p>
    <w:p w14:paraId="44208378">
      <w:pPr>
        <w:adjustRightInd w:val="0"/>
        <w:snapToGrid w:val="0"/>
        <w:spacing w:line="360" w:lineRule="auto"/>
        <w:ind w:firstLine="480" w:firstLineChars="200"/>
        <w:outlineLvl w:val="3"/>
        <w:rPr>
          <w:rFonts w:ascii="宋体" w:hAnsi="宋体" w:eastAsia="宋体" w:cs="宋体"/>
          <w:sz w:val="24"/>
        </w:rPr>
      </w:pPr>
      <w:r>
        <w:rPr>
          <w:rFonts w:hint="eastAsia" w:ascii="宋体" w:hAnsi="宋体" w:eastAsia="宋体" w:cs="宋体"/>
          <w:sz w:val="24"/>
        </w:rPr>
        <w:t>6、磋商文件的解释</w:t>
      </w:r>
    </w:p>
    <w:p w14:paraId="3258192E">
      <w:pPr>
        <w:adjustRightInd w:val="0"/>
        <w:snapToGrid w:val="0"/>
        <w:spacing w:line="360" w:lineRule="auto"/>
        <w:ind w:firstLine="480" w:firstLineChars="200"/>
        <w:rPr>
          <w:rFonts w:ascii="宋体" w:hAnsi="宋体" w:eastAsia="宋体" w:cs="宋体"/>
          <w:color w:val="FF0000"/>
          <w:sz w:val="24"/>
        </w:rPr>
      </w:pPr>
      <w:r>
        <w:rPr>
          <w:rFonts w:hint="eastAsia" w:ascii="宋体" w:hAnsi="宋体" w:eastAsia="宋体" w:cs="宋体"/>
          <w:bCs/>
          <w:sz w:val="24"/>
        </w:rPr>
        <w:t>6.1</w:t>
      </w:r>
      <w:r>
        <w:rPr>
          <w:rFonts w:hint="eastAsia" w:ascii="宋体" w:hAnsi="宋体" w:eastAsia="宋体" w:cs="宋体"/>
          <w:sz w:val="24"/>
        </w:rPr>
        <w:t>磋商文件需求部分（供应商资格要求、项目需求、商务技术评分标准）由采购单位解释，其它部分由采购代理机构解释。</w:t>
      </w:r>
    </w:p>
    <w:p w14:paraId="3C2472AE">
      <w:pPr>
        <w:adjustRightInd w:val="0"/>
        <w:snapToGrid w:val="0"/>
        <w:spacing w:line="360" w:lineRule="auto"/>
        <w:ind w:firstLine="482" w:firstLineChars="200"/>
        <w:outlineLvl w:val="2"/>
        <w:rPr>
          <w:rFonts w:ascii="宋体" w:hAnsi="宋体" w:eastAsia="宋体" w:cs="宋体"/>
          <w:b/>
          <w:bCs/>
          <w:sz w:val="24"/>
        </w:rPr>
      </w:pPr>
      <w:bookmarkStart w:id="27" w:name="_Toc16938525"/>
      <w:bookmarkStart w:id="28" w:name="_Toc513029209"/>
      <w:bookmarkStart w:id="29" w:name="_Toc120614215"/>
      <w:bookmarkStart w:id="30" w:name="_Toc20823281"/>
      <w:r>
        <w:rPr>
          <w:rFonts w:hint="eastAsia" w:ascii="宋体" w:hAnsi="宋体" w:eastAsia="宋体" w:cs="宋体"/>
          <w:b/>
          <w:bCs/>
          <w:sz w:val="24"/>
        </w:rPr>
        <w:t>二、磋商文件</w:t>
      </w:r>
      <w:bookmarkEnd w:id="27"/>
      <w:bookmarkEnd w:id="28"/>
      <w:bookmarkEnd w:id="29"/>
      <w:bookmarkEnd w:id="30"/>
    </w:p>
    <w:p w14:paraId="51415E79">
      <w:pPr>
        <w:adjustRightInd w:val="0"/>
        <w:snapToGrid w:val="0"/>
        <w:spacing w:line="360" w:lineRule="auto"/>
        <w:ind w:firstLine="480" w:firstLineChars="200"/>
        <w:outlineLvl w:val="3"/>
        <w:rPr>
          <w:rFonts w:ascii="宋体" w:hAnsi="宋体" w:eastAsia="宋体" w:cs="宋体"/>
          <w:b/>
          <w:bCs/>
          <w:sz w:val="24"/>
        </w:rPr>
      </w:pPr>
      <w:bookmarkStart w:id="31" w:name="_Toc16938526"/>
      <w:bookmarkStart w:id="32" w:name="_Toc20823282"/>
      <w:bookmarkStart w:id="33" w:name="_Toc513029210"/>
      <w:r>
        <w:rPr>
          <w:rFonts w:hint="eastAsia" w:ascii="宋体" w:hAnsi="宋体" w:eastAsia="宋体" w:cs="宋体"/>
          <w:sz w:val="24"/>
        </w:rPr>
        <w:t>1、磋商文件构成</w:t>
      </w:r>
      <w:bookmarkEnd w:id="31"/>
      <w:bookmarkEnd w:id="32"/>
      <w:bookmarkEnd w:id="33"/>
    </w:p>
    <w:p w14:paraId="5AB650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 xml:space="preserve"> 磋商文件由以下部分组成：</w:t>
      </w:r>
    </w:p>
    <w:p w14:paraId="7A3593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（1）采购邀请</w:t>
      </w:r>
    </w:p>
    <w:p w14:paraId="6BE8B7A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（2）磋商须知</w:t>
      </w:r>
    </w:p>
    <w:p w14:paraId="5263D7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（3）项目需求</w:t>
      </w:r>
    </w:p>
    <w:p w14:paraId="0E7A51F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（4）评审方法和评审标准</w:t>
      </w:r>
    </w:p>
    <w:p w14:paraId="641601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（5）合同条款</w:t>
      </w:r>
    </w:p>
    <w:p w14:paraId="3B957EA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（6）响应文件组成</w:t>
      </w:r>
    </w:p>
    <w:p w14:paraId="53E18DE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（7）附件</w:t>
      </w:r>
    </w:p>
    <w:p w14:paraId="3702BF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（8）工程量清单</w:t>
      </w:r>
    </w:p>
    <w:p w14:paraId="2B40D8A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请仔细检查磋商文件是否齐全，如有缺漏请立即与采购单位或采购代理机构联系解决。</w:t>
      </w:r>
    </w:p>
    <w:p w14:paraId="4D1FB36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BDDAB86">
      <w:pPr>
        <w:adjustRightInd w:val="0"/>
        <w:snapToGrid w:val="0"/>
        <w:spacing w:line="360" w:lineRule="auto"/>
        <w:ind w:firstLine="480" w:firstLineChars="200"/>
        <w:outlineLvl w:val="3"/>
        <w:rPr>
          <w:rFonts w:ascii="宋体" w:hAnsi="宋体" w:eastAsia="宋体" w:cs="宋体"/>
          <w:b/>
          <w:bCs/>
          <w:sz w:val="24"/>
        </w:rPr>
      </w:pPr>
      <w:bookmarkStart w:id="34" w:name="_Toc462564070"/>
      <w:bookmarkStart w:id="35" w:name="_Toc513029211"/>
      <w:bookmarkStart w:id="36" w:name="_Toc20823283"/>
      <w:bookmarkStart w:id="37" w:name="_Toc16938527"/>
      <w:r>
        <w:rPr>
          <w:rFonts w:hint="eastAsia" w:ascii="宋体" w:hAnsi="宋体" w:eastAsia="宋体" w:cs="宋体"/>
          <w:sz w:val="24"/>
        </w:rPr>
        <w:t>2、磋商文件的澄清</w:t>
      </w:r>
      <w:bookmarkEnd w:id="34"/>
      <w:bookmarkEnd w:id="35"/>
      <w:bookmarkEnd w:id="36"/>
      <w:bookmarkEnd w:id="37"/>
    </w:p>
    <w:p w14:paraId="2A54688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任何要求对磋商文件进行澄清的供应商，应在提交首次响应文件截止时间五日前发采购单位指定邮箱（</w:t>
      </w:r>
      <w:r>
        <w:rPr>
          <w:rFonts w:hint="eastAsia" w:ascii="宋体" w:hAnsi="宋体" w:eastAsia="宋体" w:cs="宋体"/>
          <w:sz w:val="24"/>
          <w:lang w:val="en-US" w:eastAsia="zh-CN"/>
        </w:rPr>
        <w:t>1034154814</w:t>
      </w:r>
      <w:r>
        <w:rPr>
          <w:rFonts w:hint="eastAsia" w:ascii="宋体" w:hAnsi="宋体" w:eastAsia="宋体" w:cs="宋体"/>
          <w:sz w:val="24"/>
        </w:rPr>
        <w:t>@qq.com）。采购单位有权对发出的磋商文件进行必要的澄清或修改。</w:t>
      </w:r>
    </w:p>
    <w:p w14:paraId="2069DA0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2.2采购单位视情组织答疑会</w:t>
      </w:r>
    </w:p>
    <w:p w14:paraId="2075697C">
      <w:pPr>
        <w:adjustRightInd w:val="0"/>
        <w:snapToGrid w:val="0"/>
        <w:spacing w:line="360" w:lineRule="auto"/>
        <w:ind w:firstLine="480" w:firstLineChars="200"/>
        <w:outlineLvl w:val="3"/>
        <w:rPr>
          <w:rFonts w:ascii="宋体" w:hAnsi="宋体" w:eastAsia="宋体" w:cs="宋体"/>
          <w:b/>
          <w:bCs/>
          <w:sz w:val="24"/>
        </w:rPr>
      </w:pPr>
      <w:bookmarkStart w:id="38" w:name="_Toc20823284"/>
      <w:bookmarkStart w:id="39" w:name="_Toc16938528"/>
      <w:bookmarkStart w:id="40" w:name="_Toc513029212"/>
      <w:bookmarkStart w:id="41" w:name="_Toc462564071"/>
      <w:r>
        <w:rPr>
          <w:rFonts w:hint="eastAsia" w:ascii="宋体" w:hAnsi="宋体" w:eastAsia="宋体" w:cs="宋体"/>
          <w:sz w:val="24"/>
        </w:rPr>
        <w:t>3、磋商文件的修改</w:t>
      </w:r>
      <w:bookmarkEnd w:id="38"/>
      <w:bookmarkEnd w:id="39"/>
      <w:bookmarkEnd w:id="40"/>
      <w:bookmarkEnd w:id="41"/>
    </w:p>
    <w:p w14:paraId="2B6181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3.1</w:t>
      </w:r>
      <w:r>
        <w:rPr>
          <w:rFonts w:hint="eastAsia" w:ascii="宋体" w:hAnsi="宋体" w:eastAsia="宋体" w:cs="宋体"/>
          <w:sz w:val="24"/>
        </w:rPr>
        <w:t xml:space="preserve"> 在响应文件提交截止时间前，采购单位可以对磋商文件进行修改。</w:t>
      </w:r>
    </w:p>
    <w:p w14:paraId="608B4B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3.2 </w:t>
      </w:r>
      <w:r>
        <w:rPr>
          <w:rFonts w:hint="eastAsia" w:ascii="宋体" w:hAnsi="宋体" w:eastAsia="宋体" w:cs="宋体"/>
          <w:sz w:val="24"/>
        </w:rPr>
        <w:t>采购单位有权按照法定的要求推迟响应文件提交截止日期和磋商日期。</w:t>
      </w:r>
    </w:p>
    <w:p w14:paraId="6193078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3.3 </w:t>
      </w:r>
      <w:r>
        <w:rPr>
          <w:rFonts w:hint="eastAsia" w:ascii="宋体" w:hAnsi="宋体" w:eastAsia="宋体" w:cs="宋体"/>
          <w:sz w:val="24"/>
        </w:rPr>
        <w:t>磋商文件的修改将在“南通市机关事务管理局→公告公示”栏公布，补充文件将作为磋商文件的组成部分，并对供应商具有约束力。</w:t>
      </w:r>
    </w:p>
    <w:p w14:paraId="7BC36B8F">
      <w:pPr>
        <w:adjustRightInd w:val="0"/>
        <w:snapToGrid w:val="0"/>
        <w:spacing w:line="360" w:lineRule="auto"/>
        <w:ind w:firstLine="482" w:firstLineChars="200"/>
        <w:contextualSpacing/>
        <w:rPr>
          <w:rFonts w:ascii="宋体" w:hAnsi="宋体" w:eastAsia="宋体" w:cs="宋体"/>
          <w:b/>
          <w:bCs/>
          <w:snapToGrid/>
          <w:kern w:val="2"/>
          <w:sz w:val="24"/>
        </w:rPr>
      </w:pPr>
      <w:bookmarkStart w:id="42" w:name="_Toc462564072"/>
      <w:bookmarkStart w:id="43" w:name="_Toc120614216"/>
      <w:bookmarkStart w:id="44" w:name="_Toc16938529"/>
      <w:bookmarkStart w:id="45" w:name="_Toc513029213"/>
      <w:bookmarkStart w:id="46" w:name="_Toc20823285"/>
      <w:r>
        <w:rPr>
          <w:rFonts w:hint="eastAsia" w:ascii="宋体" w:hAnsi="宋体" w:eastAsia="宋体" w:cs="宋体"/>
          <w:b/>
          <w:bCs/>
          <w:sz w:val="24"/>
        </w:rPr>
        <w:t>三、</w:t>
      </w:r>
      <w:r>
        <w:rPr>
          <w:rFonts w:hint="eastAsia" w:ascii="宋体" w:hAnsi="宋体" w:eastAsia="宋体" w:cs="宋体"/>
          <w:b/>
          <w:bCs/>
          <w:snapToGrid/>
          <w:kern w:val="2"/>
          <w:sz w:val="24"/>
        </w:rPr>
        <w:t>磋商项目涉及到的现场勘察</w:t>
      </w:r>
    </w:p>
    <w:p w14:paraId="103CD08B">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1、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1C6F9EB1">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2、采购单位向供应商提供的有关现场的资料和数据，是采购单位现有的并认为能使供应商可利用的资料。采购单位对供应商由此而做出的推论、理解和结论概不负责。</w:t>
      </w:r>
    </w:p>
    <w:p w14:paraId="121A40A3">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3、经采购单位允许，供应商可为勘察目的进入采购单位的项目现场，但供应商不得因此使采购单位承担有关的责任和蒙受损失。供应商应承担勘察现场的责任和风险。</w:t>
      </w:r>
    </w:p>
    <w:p w14:paraId="7FA02EB7">
      <w:pPr>
        <w:adjustRightInd w:val="0"/>
        <w:snapToGrid w:val="0"/>
        <w:spacing w:line="360" w:lineRule="auto"/>
        <w:ind w:firstLine="480" w:firstLineChars="200"/>
        <w:contextualSpacing/>
        <w:rPr>
          <w:rFonts w:ascii="宋体" w:hAnsi="宋体" w:eastAsia="宋体" w:cs="宋体"/>
          <w:snapToGrid/>
          <w:kern w:val="2"/>
          <w:sz w:val="24"/>
        </w:rPr>
      </w:pPr>
      <w:r>
        <w:rPr>
          <w:rFonts w:hint="eastAsia" w:ascii="宋体" w:hAnsi="宋体" w:eastAsia="宋体" w:cs="宋体"/>
          <w:snapToGrid/>
          <w:kern w:val="2"/>
          <w:sz w:val="24"/>
        </w:rPr>
        <w:t>4、供应商应认真踏勘现场。在现场勘察时，熟悉施工及安装现场、现场周围交通道路等情况，以获得一切可能影响其磋商的直接资料。供应商成交后，不得以不完全了解现场情况为理由而向采购单位提出任何索赔的要求，对此采购单位不承担任何责任并将不作任何答复与考虑。</w:t>
      </w:r>
    </w:p>
    <w:bookmarkEnd w:id="42"/>
    <w:bookmarkEnd w:id="43"/>
    <w:bookmarkEnd w:id="44"/>
    <w:bookmarkEnd w:id="45"/>
    <w:bookmarkEnd w:id="46"/>
    <w:p w14:paraId="56302AE6">
      <w:pPr>
        <w:numPr>
          <w:ilvl w:val="0"/>
          <w:numId w:val="6"/>
        </w:num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响应文件的编制</w:t>
      </w:r>
    </w:p>
    <w:p w14:paraId="435F5ABA">
      <w:pPr>
        <w:adjustRightInd w:val="0"/>
        <w:snapToGrid w:val="0"/>
        <w:spacing w:line="360" w:lineRule="auto"/>
        <w:ind w:firstLine="480" w:firstLineChars="200"/>
        <w:outlineLvl w:val="3"/>
        <w:rPr>
          <w:rFonts w:ascii="宋体" w:hAnsi="宋体" w:eastAsia="宋体" w:cs="宋体"/>
          <w:bCs/>
          <w:sz w:val="24"/>
        </w:rPr>
      </w:pPr>
      <w:bookmarkStart w:id="47" w:name="_Toc20823286"/>
      <w:bookmarkStart w:id="48" w:name="_Toc513029214"/>
      <w:bookmarkStart w:id="49" w:name="_Toc462564073"/>
      <w:bookmarkStart w:id="50" w:name="_Toc16938530"/>
      <w:r>
        <w:rPr>
          <w:rFonts w:hint="eastAsia" w:ascii="宋体" w:hAnsi="宋体" w:eastAsia="宋体" w:cs="宋体"/>
          <w:sz w:val="24"/>
        </w:rPr>
        <w:t>1、响应文件的语言及度量衡单位</w:t>
      </w:r>
      <w:bookmarkEnd w:id="47"/>
      <w:bookmarkEnd w:id="48"/>
      <w:bookmarkEnd w:id="49"/>
      <w:bookmarkEnd w:id="50"/>
    </w:p>
    <w:p w14:paraId="5A68507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1.1</w:t>
      </w:r>
      <w:r>
        <w:rPr>
          <w:rFonts w:hint="eastAsia" w:ascii="宋体" w:hAnsi="宋体" w:eastAsia="宋体" w:cs="宋体"/>
          <w:sz w:val="24"/>
        </w:rPr>
        <w:t>供应商提交的响应文件以及供应商与采购代理机构及采购单位就有关磋商的所有来往通知、函件和文件均应使用</w:t>
      </w:r>
      <w:r>
        <w:rPr>
          <w:rFonts w:hint="eastAsia" w:ascii="宋体" w:hAnsi="宋体" w:eastAsia="宋体" w:cs="宋体"/>
          <w:bCs/>
          <w:sz w:val="24"/>
        </w:rPr>
        <w:t>简体中文</w:t>
      </w:r>
      <w:r>
        <w:rPr>
          <w:rFonts w:hint="eastAsia" w:ascii="宋体" w:hAnsi="宋体" w:eastAsia="宋体" w:cs="宋体"/>
          <w:sz w:val="24"/>
        </w:rPr>
        <w:t>。</w:t>
      </w:r>
    </w:p>
    <w:p w14:paraId="1D0CD40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1.2</w:t>
      </w:r>
      <w:r>
        <w:rPr>
          <w:rFonts w:hint="eastAsia" w:ascii="宋体" w:hAnsi="宋体" w:eastAsia="宋体" w:cs="宋体"/>
          <w:sz w:val="24"/>
        </w:rPr>
        <w:t xml:space="preserve"> 除技术性能另有规定外，响应文件所使用的度量衡单位，均须采用国家法定计量单位。</w:t>
      </w:r>
      <w:bookmarkStart w:id="51" w:name="_Toc462564074"/>
      <w:bookmarkStart w:id="52" w:name="_Toc16938531"/>
      <w:bookmarkStart w:id="53" w:name="_Toc20823287"/>
      <w:bookmarkStart w:id="54" w:name="_Toc513029215"/>
    </w:p>
    <w:p w14:paraId="7855B5CC">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2、响应文件构成</w:t>
      </w:r>
      <w:bookmarkEnd w:id="51"/>
      <w:bookmarkEnd w:id="52"/>
      <w:bookmarkEnd w:id="53"/>
      <w:bookmarkEnd w:id="54"/>
    </w:p>
    <w:p w14:paraId="49791F6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2.1</w:t>
      </w:r>
      <w:r>
        <w:rPr>
          <w:rFonts w:hint="eastAsia" w:ascii="宋体" w:hAnsi="宋体" w:eastAsia="宋体" w:cs="宋体"/>
          <w:sz w:val="24"/>
        </w:rPr>
        <w:t xml:space="preserve"> 供应商编写的响应文件应包括资格审查文件、商务技术响应文件、报价响应文件。供应商按“第六部分 响应文件组成”要求编写响应文件。</w:t>
      </w:r>
    </w:p>
    <w:p w14:paraId="689B7AE9">
      <w:pPr>
        <w:adjustRightInd w:val="0"/>
        <w:snapToGrid w:val="0"/>
        <w:spacing w:line="360" w:lineRule="auto"/>
        <w:ind w:firstLine="480" w:firstLineChars="200"/>
        <w:outlineLvl w:val="3"/>
        <w:rPr>
          <w:rFonts w:ascii="宋体" w:hAnsi="宋体" w:eastAsia="宋体" w:cs="宋体"/>
          <w:b/>
          <w:bCs/>
          <w:sz w:val="24"/>
        </w:rPr>
      </w:pPr>
      <w:bookmarkStart w:id="55" w:name="_Hlt26670360"/>
      <w:bookmarkEnd w:id="55"/>
      <w:bookmarkStart w:id="56" w:name="_Hlt26668975"/>
      <w:bookmarkEnd w:id="56"/>
      <w:bookmarkStart w:id="57" w:name="_Hlt26954838"/>
      <w:bookmarkEnd w:id="57"/>
      <w:bookmarkStart w:id="58" w:name="_Toc49090511"/>
      <w:bookmarkStart w:id="59" w:name="_Toc14577360"/>
      <w:r>
        <w:rPr>
          <w:rFonts w:hint="eastAsia" w:ascii="宋体" w:hAnsi="宋体" w:eastAsia="宋体" w:cs="宋体"/>
          <w:sz w:val="24"/>
        </w:rPr>
        <w:t>3</w:t>
      </w:r>
      <w:bookmarkEnd w:id="58"/>
      <w:bookmarkEnd w:id="59"/>
      <w:r>
        <w:rPr>
          <w:rFonts w:hint="eastAsia" w:ascii="宋体" w:hAnsi="宋体" w:eastAsia="宋体" w:cs="宋体"/>
          <w:sz w:val="24"/>
        </w:rPr>
        <w:t>、磋商响应有效期</w:t>
      </w:r>
    </w:p>
    <w:p w14:paraId="1C94D0A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3.1磋商响应有效期为</w:t>
      </w:r>
      <w:r>
        <w:rPr>
          <w:rFonts w:hint="eastAsia" w:ascii="宋体" w:hAnsi="宋体" w:eastAsia="宋体" w:cs="宋体"/>
          <w:sz w:val="24"/>
        </w:rPr>
        <w:t>采购代理机构</w:t>
      </w:r>
      <w:r>
        <w:rPr>
          <w:rFonts w:hint="eastAsia" w:ascii="宋体" w:hAnsi="宋体" w:eastAsia="宋体" w:cs="宋体"/>
          <w:bCs/>
          <w:sz w:val="24"/>
        </w:rPr>
        <w:t>规定的响应文件</w:t>
      </w:r>
      <w:r>
        <w:rPr>
          <w:rFonts w:hint="eastAsia" w:ascii="宋体" w:hAnsi="宋体" w:eastAsia="宋体" w:cs="宋体"/>
          <w:sz w:val="24"/>
        </w:rPr>
        <w:t>提交</w:t>
      </w:r>
      <w:r>
        <w:rPr>
          <w:rFonts w:hint="eastAsia" w:ascii="宋体" w:hAnsi="宋体" w:eastAsia="宋体" w:cs="宋体"/>
          <w:bCs/>
          <w:sz w:val="24"/>
        </w:rPr>
        <w:t>截止时间后</w:t>
      </w:r>
      <w:r>
        <w:rPr>
          <w:rFonts w:hint="eastAsia" w:ascii="宋体" w:hAnsi="宋体" w:eastAsia="宋体" w:cs="宋体"/>
          <w:b/>
          <w:sz w:val="24"/>
          <w:u w:val="single"/>
        </w:rPr>
        <w:t>六十（60）天</w:t>
      </w:r>
      <w:r>
        <w:rPr>
          <w:rFonts w:hint="eastAsia" w:ascii="宋体" w:hAnsi="宋体" w:eastAsia="宋体" w:cs="宋体"/>
          <w:bCs/>
          <w:sz w:val="24"/>
        </w:rPr>
        <w:t>。磋商响应有效期比规定短的将被视为非实质性响应而予以拒绝。</w:t>
      </w:r>
    </w:p>
    <w:p w14:paraId="0D1B997D">
      <w:pPr>
        <w:adjustRightInd w:val="0"/>
        <w:snapToGrid w:val="0"/>
        <w:spacing w:line="360" w:lineRule="auto"/>
        <w:ind w:firstLine="480" w:firstLineChars="200"/>
        <w:outlineLvl w:val="3"/>
        <w:rPr>
          <w:rFonts w:ascii="宋体" w:hAnsi="宋体" w:eastAsia="宋体" w:cs="宋体"/>
          <w:b/>
          <w:bCs/>
          <w:sz w:val="24"/>
        </w:rPr>
      </w:pPr>
      <w:r>
        <w:rPr>
          <w:rFonts w:hint="eastAsia" w:ascii="宋体" w:hAnsi="宋体" w:eastAsia="宋体" w:cs="宋体"/>
          <w:sz w:val="24"/>
        </w:rPr>
        <w:t>4、磋商响应有效期的延长</w:t>
      </w:r>
    </w:p>
    <w:p w14:paraId="62FCD51B">
      <w:pPr>
        <w:snapToGrid w:val="0"/>
        <w:spacing w:line="360" w:lineRule="auto"/>
        <w:ind w:firstLine="484" w:firstLineChars="202"/>
        <w:rPr>
          <w:rFonts w:ascii="宋体" w:hAnsi="宋体" w:eastAsia="宋体" w:cs="宋体"/>
          <w:b/>
          <w:bCs/>
          <w:sz w:val="24"/>
        </w:rPr>
      </w:pPr>
      <w:r>
        <w:rPr>
          <w:rFonts w:hint="eastAsia" w:ascii="宋体" w:hAnsi="宋体" w:eastAsia="宋体" w:cs="宋体"/>
          <w:bCs/>
          <w:sz w:val="24"/>
        </w:rPr>
        <w:t>4.1在特殊情况下，</w:t>
      </w:r>
      <w:r>
        <w:rPr>
          <w:rFonts w:hint="eastAsia" w:ascii="宋体" w:hAnsi="宋体" w:eastAsia="宋体" w:cs="宋体"/>
          <w:sz w:val="24"/>
        </w:rPr>
        <w:t>采购代理机构</w:t>
      </w:r>
      <w:r>
        <w:rPr>
          <w:rFonts w:hint="eastAsia" w:ascii="宋体" w:hAnsi="宋体" w:eastAsia="宋体" w:cs="宋体"/>
          <w:bCs/>
          <w:sz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rPr>
        <w:t>采购代理机构</w:t>
      </w:r>
      <w:r>
        <w:rPr>
          <w:rFonts w:hint="eastAsia" w:ascii="宋体" w:hAnsi="宋体" w:eastAsia="宋体" w:cs="宋体"/>
          <w:bCs/>
          <w:sz w:val="24"/>
        </w:rPr>
        <w:t>的这一要求而放弃磋商响应，同意延长磋商响应有效期的供应商既不能要求也不允许修改其响应文件。</w:t>
      </w:r>
      <w:r>
        <w:rPr>
          <w:rFonts w:hint="eastAsia" w:ascii="宋体" w:hAnsi="宋体" w:eastAsia="宋体" w:cs="宋体"/>
          <w:sz w:val="24"/>
        </w:rPr>
        <w:t>受磋商响应有效期约束的所有权利与义务均延长至新的有效期。</w:t>
      </w:r>
    </w:p>
    <w:p w14:paraId="1A7B9794">
      <w:pPr>
        <w:snapToGrid w:val="0"/>
        <w:spacing w:line="360" w:lineRule="auto"/>
        <w:ind w:firstLine="482" w:firstLineChars="200"/>
        <w:outlineLvl w:val="1"/>
        <w:rPr>
          <w:rFonts w:ascii="宋体" w:hAnsi="宋体" w:eastAsia="宋体" w:cs="宋体"/>
          <w:b/>
          <w:bCs/>
          <w:sz w:val="24"/>
        </w:rPr>
      </w:pPr>
      <w:r>
        <w:rPr>
          <w:rFonts w:hint="eastAsia" w:ascii="宋体" w:hAnsi="宋体" w:eastAsia="宋体" w:cs="宋体"/>
          <w:b/>
          <w:bCs/>
          <w:sz w:val="24"/>
        </w:rPr>
        <w:t>五、响应文件的提交</w:t>
      </w:r>
    </w:p>
    <w:p w14:paraId="37F0C818">
      <w:pPr>
        <w:adjustRightInd w:val="0"/>
        <w:snapToGrid w:val="0"/>
        <w:spacing w:line="360" w:lineRule="auto"/>
        <w:ind w:firstLine="480" w:firstLineChars="200"/>
        <w:outlineLvl w:val="3"/>
        <w:rPr>
          <w:rFonts w:ascii="宋体" w:hAnsi="宋体" w:eastAsia="宋体" w:cs="宋体"/>
          <w:b/>
          <w:bCs/>
          <w:sz w:val="24"/>
        </w:rPr>
      </w:pPr>
      <w:bookmarkStart w:id="60" w:name="_Toc462564084"/>
      <w:bookmarkStart w:id="61" w:name="_Toc513029225"/>
      <w:bookmarkStart w:id="62" w:name="_Toc20823297"/>
      <w:bookmarkStart w:id="63" w:name="_Toc16938541"/>
      <w:bookmarkStart w:id="64" w:name="_Toc513029230"/>
      <w:bookmarkStart w:id="65" w:name="_Toc16938546"/>
      <w:bookmarkStart w:id="66" w:name="_Toc20823302"/>
      <w:r>
        <w:rPr>
          <w:rFonts w:hint="eastAsia" w:ascii="宋体" w:hAnsi="宋体" w:eastAsia="宋体" w:cs="宋体"/>
          <w:sz w:val="24"/>
        </w:rPr>
        <w:t>1、响应文件</w:t>
      </w:r>
      <w:bookmarkEnd w:id="60"/>
      <w:bookmarkEnd w:id="61"/>
      <w:bookmarkEnd w:id="62"/>
      <w:bookmarkEnd w:id="63"/>
      <w:r>
        <w:rPr>
          <w:rFonts w:hint="eastAsia" w:ascii="宋体" w:hAnsi="宋体" w:eastAsia="宋体" w:cs="宋体"/>
          <w:sz w:val="24"/>
        </w:rPr>
        <w:t>的提交</w:t>
      </w:r>
    </w:p>
    <w:p w14:paraId="2035EA8C">
      <w:pPr>
        <w:adjustRightInd w:val="0"/>
        <w:snapToGrid w:val="0"/>
        <w:spacing w:line="360" w:lineRule="auto"/>
        <w:ind w:firstLine="480" w:firstLineChars="200"/>
        <w:rPr>
          <w:rFonts w:ascii="宋体" w:hAnsi="宋体" w:eastAsia="宋体" w:cs="宋体"/>
          <w:bCs/>
          <w:sz w:val="24"/>
        </w:rPr>
      </w:pPr>
      <w:bookmarkStart w:id="67" w:name="_Toc513029226"/>
      <w:bookmarkStart w:id="68" w:name="_Toc16938542"/>
      <w:bookmarkStart w:id="69" w:name="_Toc20823298"/>
      <w:r>
        <w:rPr>
          <w:rFonts w:hint="eastAsia" w:ascii="宋体" w:hAnsi="宋体" w:eastAsia="宋体" w:cs="宋体"/>
          <w:bCs/>
          <w:sz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1C1CA68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1.2响应文件均为壹式叁份，其中“正本”壹份和“副本”贰份。</w:t>
      </w:r>
    </w:p>
    <w:p w14:paraId="363FA96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0A24B3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2D9825E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1.5 供应商可将响应文件正、副本统一密封或分别密封，如正本和副本分别密封的，应在封袋上标明正、副本字样。</w:t>
      </w:r>
    </w:p>
    <w:p w14:paraId="7AE9AC0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p>
    <w:p w14:paraId="61C1A2B8">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【特别提醒】响应文件中的资格审查文件、商务技术响应文件的“正本”或“副本”中，均不得含有报价响应文件中报价表（报价单）内的任何项目价格，否则作无效响应处理。</w:t>
      </w:r>
    </w:p>
    <w:p w14:paraId="40953202">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2、响应文件截止日期</w:t>
      </w:r>
      <w:bookmarkEnd w:id="67"/>
      <w:bookmarkEnd w:id="68"/>
      <w:bookmarkEnd w:id="69"/>
    </w:p>
    <w:p w14:paraId="357D90B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2.1 供应商递交响应文件的时间不得迟于采购邀请中规定的响应文件提交截止时间。</w:t>
      </w:r>
    </w:p>
    <w:p w14:paraId="57FA4F1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供应商应充分考虑到交通、停车等风险因素，如因供应商自身原因造成的响应文件逾时递交由供应商自行承担全部责任。</w:t>
      </w:r>
    </w:p>
    <w:p w14:paraId="478D7C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2.2</w:t>
      </w:r>
      <w:r>
        <w:rPr>
          <w:rFonts w:hint="eastAsia" w:ascii="宋体" w:hAnsi="宋体" w:eastAsia="宋体" w:cs="宋体"/>
          <w:bCs/>
          <w:sz w:val="24"/>
        </w:rPr>
        <w:t xml:space="preserve"> </w:t>
      </w:r>
      <w:r>
        <w:rPr>
          <w:rFonts w:hint="eastAsia" w:ascii="宋体" w:hAnsi="宋体" w:eastAsia="宋体" w:cs="宋体"/>
          <w:sz w:val="24"/>
        </w:rPr>
        <w:t>采购代理机构</w:t>
      </w:r>
      <w:r>
        <w:rPr>
          <w:rFonts w:hint="eastAsia" w:ascii="宋体" w:hAnsi="宋体" w:eastAsia="宋体" w:cs="宋体"/>
          <w:bCs/>
          <w:sz w:val="24"/>
        </w:rPr>
        <w:t>可以按照规定，通过修改响应文件酌情延长响应文件提交截止日期，在此情况下，供应商的所有权利和义务以及供应商受制的截止日期均应以延长后新的截止日期为准。</w:t>
      </w:r>
    </w:p>
    <w:p w14:paraId="05B08781">
      <w:pPr>
        <w:adjustRightInd w:val="0"/>
        <w:snapToGrid w:val="0"/>
        <w:spacing w:line="360" w:lineRule="auto"/>
        <w:ind w:firstLine="480" w:firstLineChars="200"/>
        <w:outlineLvl w:val="3"/>
        <w:rPr>
          <w:rFonts w:ascii="宋体" w:hAnsi="宋体" w:eastAsia="宋体" w:cs="宋体"/>
          <w:b/>
          <w:bCs/>
          <w:sz w:val="24"/>
        </w:rPr>
      </w:pPr>
      <w:bookmarkStart w:id="70" w:name="_Toc16938543"/>
      <w:bookmarkStart w:id="71" w:name="_Toc20823299"/>
      <w:bookmarkStart w:id="72" w:name="_Toc513029227"/>
      <w:r>
        <w:rPr>
          <w:rFonts w:hint="eastAsia" w:ascii="宋体" w:hAnsi="宋体" w:eastAsia="宋体" w:cs="宋体"/>
          <w:sz w:val="24"/>
        </w:rPr>
        <w:t>3、响应文件</w:t>
      </w:r>
      <w:bookmarkEnd w:id="70"/>
      <w:bookmarkEnd w:id="71"/>
      <w:bookmarkEnd w:id="72"/>
      <w:r>
        <w:rPr>
          <w:rFonts w:hint="eastAsia" w:ascii="宋体" w:hAnsi="宋体" w:eastAsia="宋体" w:cs="宋体"/>
          <w:sz w:val="24"/>
        </w:rPr>
        <w:t>的拒收</w:t>
      </w:r>
    </w:p>
    <w:p w14:paraId="19756A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3.1 </w:t>
      </w:r>
      <w:r>
        <w:rPr>
          <w:rFonts w:hint="eastAsia" w:ascii="宋体" w:hAnsi="宋体" w:eastAsia="宋体" w:cs="宋体"/>
          <w:sz w:val="24"/>
        </w:rPr>
        <w:t>采购代理机构</w:t>
      </w:r>
      <w:r>
        <w:rPr>
          <w:rFonts w:hint="eastAsia" w:ascii="宋体" w:hAnsi="宋体" w:eastAsia="宋体" w:cs="宋体"/>
          <w:bCs/>
          <w:sz w:val="24"/>
        </w:rPr>
        <w:t>拒绝接收在其规定的响应文件提交截止时间后递交的任何响应文件。</w:t>
      </w:r>
    </w:p>
    <w:p w14:paraId="40FA8B5C">
      <w:pPr>
        <w:adjustRightInd w:val="0"/>
        <w:snapToGrid w:val="0"/>
        <w:spacing w:line="360" w:lineRule="auto"/>
        <w:ind w:firstLine="480" w:firstLineChars="200"/>
        <w:outlineLvl w:val="3"/>
        <w:rPr>
          <w:rFonts w:ascii="宋体" w:hAnsi="宋体" w:eastAsia="宋体" w:cs="宋体"/>
          <w:b/>
          <w:bCs/>
          <w:sz w:val="24"/>
        </w:rPr>
      </w:pPr>
      <w:bookmarkStart w:id="73" w:name="_Toc513029228"/>
      <w:bookmarkStart w:id="74" w:name="_Toc20823300"/>
      <w:bookmarkStart w:id="75" w:name="_Toc16938544"/>
      <w:r>
        <w:rPr>
          <w:rFonts w:hint="eastAsia" w:ascii="宋体" w:hAnsi="宋体" w:eastAsia="宋体" w:cs="宋体"/>
          <w:sz w:val="24"/>
        </w:rPr>
        <w:t>4、响应文件的撤回和修改</w:t>
      </w:r>
      <w:bookmarkEnd w:id="73"/>
      <w:bookmarkEnd w:id="74"/>
      <w:bookmarkEnd w:id="75"/>
    </w:p>
    <w:p w14:paraId="411CD5A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 响应文件的撤回</w:t>
      </w:r>
    </w:p>
    <w:p w14:paraId="073E87F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供应商可在响应文件提交截止时间前，撤回其响应文件。供应商撤回响应文件，则认为其不再参与本项目磋商活动。</w:t>
      </w:r>
    </w:p>
    <w:p w14:paraId="32F2513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 响应文件的修改</w:t>
      </w:r>
    </w:p>
    <w:p w14:paraId="7E212AB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供应商可在响应文件提交截止时间前，对其响应文件进行修改。</w:t>
      </w:r>
    </w:p>
    <w:p w14:paraId="1B9C93B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w:t>
      </w:r>
      <w:r>
        <w:rPr>
          <w:rFonts w:hint="eastAsia" w:ascii="宋体" w:hAnsi="宋体" w:eastAsia="宋体" w:cs="宋体"/>
          <w:bCs/>
          <w:sz w:val="24"/>
        </w:rPr>
        <w:t xml:space="preserve"> 在响应文件提交截止时间之后，供应商不得对其响应文件作任何修改。</w:t>
      </w:r>
    </w:p>
    <w:p w14:paraId="2DEBBBD1">
      <w:pPr>
        <w:adjustRightInd w:val="0"/>
        <w:snapToGrid w:val="0"/>
        <w:spacing w:line="360" w:lineRule="auto"/>
        <w:ind w:firstLine="480" w:firstLineChars="200"/>
        <w:rPr>
          <w:rFonts w:ascii="宋体" w:hAnsi="宋体" w:eastAsia="宋体" w:cs="宋体"/>
          <w:b/>
          <w:bCs/>
          <w:sz w:val="24"/>
        </w:rPr>
      </w:pPr>
      <w:r>
        <w:rPr>
          <w:rFonts w:hint="eastAsia" w:ascii="宋体" w:hAnsi="宋体" w:eastAsia="宋体" w:cs="宋体"/>
          <w:sz w:val="24"/>
        </w:rPr>
        <w:t>4.4</w:t>
      </w:r>
      <w:r>
        <w:rPr>
          <w:rFonts w:hint="eastAsia" w:ascii="宋体" w:hAnsi="宋体" w:eastAsia="宋体" w:cs="宋体"/>
          <w:bCs/>
          <w:sz w:val="24"/>
        </w:rPr>
        <w:t xml:space="preserve"> 在响应文件截止时间至响应文件中规定的磋商响应有效期满之间的这段时间内，供应商不得撤回其响应文件。</w:t>
      </w:r>
    </w:p>
    <w:p w14:paraId="37802FD6">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六、磋商与评审</w:t>
      </w:r>
    </w:p>
    <w:p w14:paraId="5978061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1、磋商仪式</w:t>
      </w:r>
    </w:p>
    <w:p w14:paraId="55F2000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1.1采购代理机构将在采购邀请中规定的时间和地点组织磋商开始仪式。</w:t>
      </w:r>
    </w:p>
    <w:p w14:paraId="25AFFC2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磋商活动由采购代理机构组织，现场进行磋商，并公布各供应商的最后报价。</w:t>
      </w:r>
    </w:p>
    <w:p w14:paraId="221C04B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2、磋商小组</w:t>
      </w:r>
    </w:p>
    <w:p w14:paraId="46A8ED4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2.1磋商开始仪式结束后，采购单位将立即组织磋商小组进行评审。</w:t>
      </w:r>
    </w:p>
    <w:p w14:paraId="3CB8B09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2.2磋商小组由采购单位代表和评审专家共3人或3人以上单数组成，其中评审专家人数不得少于磋商小组成员总数的2/3。采购单位不得以评审专家身份参加本部门或本单位采购项目的评审。</w:t>
      </w:r>
    </w:p>
    <w:p w14:paraId="78D12FD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6B7AF36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2.4磋商小组独立工作，负责评审所有响应文件并确定成交侯选人。</w:t>
      </w:r>
    </w:p>
    <w:p w14:paraId="7CD89A6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3、磋商评审过程的保密与公正</w:t>
      </w:r>
    </w:p>
    <w:p w14:paraId="03EDB56A">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3.1磋商小组、采购单位和采购代理机构工作人员、相关监督人员等与评审工作有关的人员，对评审情况以及在评审过程中获悉的国家秘密、商业秘密负有保密责任。</w:t>
      </w:r>
    </w:p>
    <w:p w14:paraId="431FC94E">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3.2在磋商评审过程中，磋商供应商不得以任何行为影响磋商评审过程，否则其响应文件将被作为无效响应文件。</w:t>
      </w:r>
    </w:p>
    <w:p w14:paraId="22726E77">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2AE17536">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3.4</w:t>
      </w:r>
      <w:r>
        <w:rPr>
          <w:rFonts w:hint="eastAsia" w:ascii="宋体" w:hAnsi="宋体" w:eastAsia="宋体" w:cs="宋体"/>
          <w:bCs/>
          <w:sz w:val="24"/>
        </w:rPr>
        <w:t>评审开始后，直至向成交供应商授予合同时止，凡是与审查、澄清、评价和比较响应的有关资料以及授标建议等，采购单位、磋商小组、采购代理机构均不得向供应商或与评标无关的其他人员透露。</w:t>
      </w:r>
    </w:p>
    <w:p w14:paraId="4E05B7D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3.5在评审期间，采购代理机构将设专门人员与供应商联系。</w:t>
      </w:r>
    </w:p>
    <w:p w14:paraId="00DA8DB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3.6采购代理机构和评审小组不向未成交的供应商解释未成交原因，也不公布评审过程中的相关细节。</w:t>
      </w:r>
    </w:p>
    <w:p w14:paraId="2593F9D2">
      <w:pPr>
        <w:tabs>
          <w:tab w:val="left" w:pos="900"/>
        </w:tabs>
        <w:adjustRightInd w:val="0"/>
        <w:snapToGrid w:val="0"/>
        <w:spacing w:line="360" w:lineRule="auto"/>
        <w:ind w:firstLine="477" w:firstLineChars="199"/>
        <w:rPr>
          <w:rFonts w:ascii="宋体" w:hAnsi="宋体" w:eastAsia="宋体" w:cs="宋体"/>
          <w:sz w:val="24"/>
        </w:rPr>
      </w:pPr>
      <w:r>
        <w:rPr>
          <w:rFonts w:hint="eastAsia" w:ascii="宋体" w:hAnsi="宋体" w:eastAsia="宋体" w:cs="宋体"/>
          <w:sz w:val="24"/>
        </w:rPr>
        <w:t>4、评审过程的澄清</w:t>
      </w:r>
    </w:p>
    <w:p w14:paraId="5AA9883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4.1评审期间，为有助于对响应文件的审查、评价和比较，磋商小组有权要求响应供应商对其响应文件进行书面澄清，但并非对每个供应商都作澄清要求。</w:t>
      </w:r>
    </w:p>
    <w:p w14:paraId="7BFE878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4.2接到磋商小组澄清要求的供应商应按磋商小组规定的时间做出书面澄清，澄清的内容作为响应文件的补充部分，但实质性的内容不得做任何更改。</w:t>
      </w:r>
    </w:p>
    <w:p w14:paraId="2D590DF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4.3 接到磋商小组澄清要求的供应商如未按规定做出澄清，其风</w:t>
      </w:r>
      <w:r>
        <w:rPr>
          <w:rFonts w:hint="eastAsia" w:ascii="宋体" w:hAnsi="宋体" w:eastAsia="宋体" w:cs="宋体"/>
          <w:bCs/>
          <w:sz w:val="24"/>
        </w:rPr>
        <w:t>险由供应商自行承担。</w:t>
      </w:r>
    </w:p>
    <w:p w14:paraId="2FA681A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5、对响应文件的初审</w:t>
      </w:r>
    </w:p>
    <w:p w14:paraId="40BC78E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5.1响应文件初审分为资格性审查和符合性审查。</w:t>
      </w:r>
    </w:p>
    <w:p w14:paraId="038159D7">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5.1.1资格性检查：依据法律法规和磋商文件的规定，由评审小组对响应文件中的资格审查证明材料进行审查。</w:t>
      </w:r>
    </w:p>
    <w:p w14:paraId="2F16C8B6">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在进行资格性审查的同时，采购代理机构将从“信用中国”网站（www.creditchina.gov.cn）查询供应商的信用记录，以确定供应商是否具备参加磋商的资格。查询结果将留存并归档。</w:t>
      </w:r>
    </w:p>
    <w:p w14:paraId="0E3D73CF">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接受联合体的项目，两个以上的自然人、法人或者其他组织组成一个联合体，以一个供应商的身份共同参加政府采购活动的,联合体成员中任何一方存在不良信用记录的，视同联合体存在不良应用记录。</w:t>
      </w:r>
    </w:p>
    <w:p w14:paraId="19215C61">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5.1.2符合性审查：依据磋商文件的规定，由磋商小组从响应文件的有效性、完整性和对磋商文件的响应程度进行审查，以确定是否对磋商文件的实质性要求作出响应。</w:t>
      </w:r>
    </w:p>
    <w:p w14:paraId="4D5D00DA">
      <w:pPr>
        <w:pStyle w:val="9"/>
        <w:keepNext w:val="0"/>
        <w:keepLines w:val="0"/>
        <w:snapToGrid w:val="0"/>
        <w:spacing w:before="0" w:after="0" w:line="360" w:lineRule="auto"/>
        <w:ind w:firstLine="480" w:firstLineChars="200"/>
        <w:rPr>
          <w:rFonts w:ascii="宋体" w:hAnsi="宋体" w:eastAsia="宋体" w:cs="宋体"/>
          <w:b w:val="0"/>
          <w:bCs w:val="0"/>
          <w:sz w:val="24"/>
          <w:szCs w:val="24"/>
        </w:rPr>
      </w:pPr>
      <w:r>
        <w:rPr>
          <w:rFonts w:hint="eastAsia" w:ascii="宋体" w:hAnsi="宋体" w:eastAsia="宋体" w:cs="宋体"/>
          <w:b w:val="0"/>
          <w:bCs w:val="0"/>
          <w:sz w:val="24"/>
          <w:szCs w:val="24"/>
        </w:rPr>
        <w:t>5.1.3未通过资格审查或符合性审查的供应商人，采购代理机构将告知未通过资格审查或符合性审查的原因，评审结束后，采购代理机构将不再告知未通过资格审查或符合性审查的原因</w:t>
      </w:r>
    </w:p>
    <w:p w14:paraId="605A65B8">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5.2在正式磋商之前，磋商小组将首先审查每份响应文件是否实质性响应了磋商文件的要求。实质性响应的响应文件应该是与磋商文件要求的全部条款、条件和规格相符，没有重大负偏离或保留。</w:t>
      </w:r>
    </w:p>
    <w:p w14:paraId="50A707AC">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64D0698">
      <w:pPr>
        <w:tabs>
          <w:tab w:val="left" w:pos="900"/>
        </w:tabs>
        <w:adjustRightInd w:val="0"/>
        <w:snapToGrid w:val="0"/>
        <w:spacing w:line="360" w:lineRule="auto"/>
        <w:ind w:firstLine="477" w:firstLineChars="199"/>
        <w:rPr>
          <w:rFonts w:ascii="宋体" w:hAnsi="宋体" w:eastAsia="宋体" w:cs="宋体"/>
          <w:bCs/>
          <w:sz w:val="24"/>
        </w:rPr>
      </w:pPr>
      <w:r>
        <w:rPr>
          <w:rFonts w:hint="eastAsia" w:ascii="宋体" w:hAnsi="宋体" w:eastAsia="宋体" w:cs="宋体"/>
          <w:bCs/>
          <w:sz w:val="24"/>
        </w:rPr>
        <w:t>5.3如果响应文件实质上没有响应磋商文件的要求，磋商小组将予以拒绝，供应商不得通过修改或撤销不合要求的偏离或保留而使其响应文件成为实质性响应的文件。</w:t>
      </w:r>
    </w:p>
    <w:p w14:paraId="248E91A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5.4</w:t>
      </w:r>
      <w:r>
        <w:rPr>
          <w:rFonts w:hint="eastAsia" w:ascii="宋体" w:hAnsi="宋体" w:eastAsia="宋体" w:cs="宋体"/>
          <w:bCs/>
          <w:sz w:val="24"/>
        </w:rPr>
        <w:t>磋商小组将对确定为实质性响应的文件进行进一步审核，看其是否有计算上或累加上的算术错误，修正错误的原则如下：</w:t>
      </w:r>
    </w:p>
    <w:p w14:paraId="69E286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（1）响应文件中</w:t>
      </w:r>
      <w:r>
        <w:rPr>
          <w:rFonts w:hint="eastAsia" w:ascii="宋体" w:hAnsi="宋体" w:eastAsia="宋体" w:cs="宋体"/>
          <w:sz w:val="24"/>
        </w:rPr>
        <w:t>报价总表</w:t>
      </w:r>
      <w:r>
        <w:rPr>
          <w:rFonts w:hint="eastAsia" w:ascii="宋体" w:hAnsi="宋体" w:eastAsia="宋体" w:cs="宋体"/>
          <w:bCs/>
          <w:sz w:val="24"/>
        </w:rPr>
        <w:t>内容与响应文件中相应内容不一致的，以</w:t>
      </w:r>
      <w:r>
        <w:rPr>
          <w:rFonts w:hint="eastAsia" w:ascii="宋体" w:hAnsi="宋体" w:eastAsia="宋体" w:cs="宋体"/>
          <w:sz w:val="24"/>
        </w:rPr>
        <w:t>报价总表</w:t>
      </w:r>
      <w:r>
        <w:rPr>
          <w:rFonts w:hint="eastAsia" w:ascii="宋体" w:hAnsi="宋体" w:eastAsia="宋体" w:cs="宋体"/>
          <w:bCs/>
          <w:sz w:val="24"/>
        </w:rPr>
        <w:t>为准。</w:t>
      </w:r>
    </w:p>
    <w:p w14:paraId="26B2224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（2）大写金额和小写金额不一致的，以大写金额为准。</w:t>
      </w:r>
    </w:p>
    <w:p w14:paraId="6794826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（3）单价金额小数点或者百分比有明显错位的，以</w:t>
      </w:r>
      <w:r>
        <w:rPr>
          <w:rFonts w:hint="eastAsia" w:ascii="宋体" w:hAnsi="宋体" w:eastAsia="宋体" w:cs="宋体"/>
          <w:sz w:val="24"/>
        </w:rPr>
        <w:t>报价总表</w:t>
      </w:r>
      <w:r>
        <w:rPr>
          <w:rFonts w:hint="eastAsia" w:ascii="宋体" w:hAnsi="宋体" w:eastAsia="宋体" w:cs="宋体"/>
          <w:bCs/>
          <w:sz w:val="24"/>
        </w:rPr>
        <w:t>的总价为准，并修改单价。</w:t>
      </w:r>
    </w:p>
    <w:p w14:paraId="6801FCC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（4）总价金额与按单价汇总金额不一致的，以单价金额计算结果为准。</w:t>
      </w:r>
    </w:p>
    <w:p w14:paraId="0F8C693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同时出现两种以上错误的，按照前款规定的顺序修正。</w:t>
      </w:r>
    </w:p>
    <w:p w14:paraId="4DDDCE8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5.5</w:t>
      </w:r>
      <w:r>
        <w:rPr>
          <w:rFonts w:hint="eastAsia" w:ascii="宋体" w:hAnsi="宋体" w:eastAsia="宋体" w:cs="宋体"/>
          <w:bCs/>
          <w:sz w:val="24"/>
        </w:rPr>
        <w:t>磋商小组将按上述修正错误的方法调整响应文件中的报价，调整后的价格应对供应商具有约束力。如果供应商不接受修正后的价格，则其磋商活动将被拒绝。</w:t>
      </w:r>
    </w:p>
    <w:p w14:paraId="6D2D0850">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5.6磋商小组将允许修正响应文件中不构成重大偏离的、微小的、非正规的、不一致的或不规则的地方，但这些修改不能影响任何供应商相应的名次排列。</w:t>
      </w:r>
    </w:p>
    <w:p w14:paraId="72BCC3B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14:paraId="1ADA2F0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5.8</w:t>
      </w:r>
      <w:r>
        <w:rPr>
          <w:rFonts w:hint="eastAsia" w:ascii="宋体" w:hAnsi="宋体" w:eastAsia="宋体" w:cs="宋体"/>
          <w:sz w:val="24"/>
        </w:rPr>
        <w:t>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14:paraId="54CDCB3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03B36E6A">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5.9供应商在评审全过程中应保证不离开现场，并随时能与采购代理机构及磋商小组联系。</w:t>
      </w:r>
    </w:p>
    <w:p w14:paraId="6827D8C4">
      <w:pPr>
        <w:tabs>
          <w:tab w:val="left" w:pos="6555"/>
          <w:tab w:val="right" w:pos="8306"/>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6、被认定为未实质性响应磋商文件的响应文件的情形。</w:t>
      </w:r>
    </w:p>
    <w:p w14:paraId="21B36033">
      <w:pPr>
        <w:tabs>
          <w:tab w:val="left" w:pos="6555"/>
          <w:tab w:val="right" w:pos="8306"/>
        </w:tabs>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bCs/>
          <w:sz w:val="24"/>
        </w:rPr>
        <w:t>6.1出现下列情形之一的，作无效响应处理。</w:t>
      </w:r>
      <w:r>
        <w:rPr>
          <w:rFonts w:hint="eastAsia" w:ascii="宋体" w:hAnsi="宋体" w:eastAsia="宋体" w:cs="宋体"/>
          <w:bCs/>
          <w:sz w:val="24"/>
        </w:rPr>
        <w:tab/>
      </w:r>
      <w:r>
        <w:rPr>
          <w:rFonts w:hint="eastAsia" w:ascii="宋体" w:hAnsi="宋体" w:eastAsia="宋体" w:cs="宋体"/>
          <w:b/>
          <w:sz w:val="24"/>
        </w:rPr>
        <w:tab/>
      </w:r>
    </w:p>
    <w:p w14:paraId="10725FE1">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6.1.1磋商响应文件未按磋商文件要求装订、密封、签署、盖章及主要资料不齐全的。</w:t>
      </w:r>
    </w:p>
    <w:p w14:paraId="1AFC0DEA">
      <w:pPr>
        <w:adjustRightInd w:val="0"/>
        <w:snapToGrid w:val="0"/>
        <w:spacing w:line="360" w:lineRule="auto"/>
        <w:ind w:firstLine="484" w:firstLineChars="202"/>
        <w:rPr>
          <w:rFonts w:ascii="宋体" w:hAnsi="宋体" w:eastAsia="宋体" w:cs="宋体"/>
          <w:snapToGrid/>
          <w:kern w:val="2"/>
          <w:sz w:val="24"/>
        </w:rPr>
      </w:pPr>
      <w:r>
        <w:rPr>
          <w:rFonts w:hint="eastAsia" w:ascii="宋体" w:hAnsi="宋体" w:eastAsia="宋体" w:cs="宋体"/>
          <w:bCs/>
          <w:sz w:val="24"/>
        </w:rPr>
        <w:t>6.1.2</w:t>
      </w:r>
      <w:r>
        <w:rPr>
          <w:rFonts w:hint="eastAsia" w:ascii="宋体" w:hAnsi="宋体" w:eastAsia="宋体" w:cs="宋体"/>
          <w:kern w:val="2"/>
          <w:sz w:val="24"/>
        </w:rPr>
        <w:t>磋商响应文件</w:t>
      </w:r>
      <w:r>
        <w:rPr>
          <w:rFonts w:hint="eastAsia" w:ascii="宋体" w:hAnsi="宋体" w:eastAsia="宋体" w:cs="宋体"/>
          <w:snapToGrid/>
          <w:kern w:val="2"/>
          <w:sz w:val="24"/>
        </w:rPr>
        <w:t>的资料有虚报或者谎报的。</w:t>
      </w:r>
    </w:p>
    <w:p w14:paraId="534E8123">
      <w:pPr>
        <w:pStyle w:val="38"/>
        <w:snapToGrid w:val="0"/>
        <w:spacing w:line="360" w:lineRule="auto"/>
        <w:ind w:firstLine="480" w:firstLineChars="200"/>
        <w:rPr>
          <w:rFonts w:ascii="宋体" w:hAnsi="宋体" w:cs="宋体"/>
          <w:sz w:val="24"/>
          <w:szCs w:val="24"/>
        </w:rPr>
      </w:pPr>
      <w:r>
        <w:rPr>
          <w:rFonts w:hint="eastAsia" w:ascii="宋体" w:hAnsi="宋体" w:cs="宋体"/>
          <w:sz w:val="24"/>
          <w:szCs w:val="24"/>
        </w:rPr>
        <w:t>6.1.3磋商响应文件中资格审查文件及商务技术响应文件出现磋商报价的内容。</w:t>
      </w:r>
    </w:p>
    <w:p w14:paraId="5C998F45">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6.1.4未通过符合性检查或不具备磋商文件中规定的资格要求的。</w:t>
      </w:r>
    </w:p>
    <w:p w14:paraId="277AE3F2">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 xml:space="preserve">6.1.5 </w:t>
      </w:r>
      <w:r>
        <w:rPr>
          <w:rFonts w:hint="eastAsia" w:ascii="宋体" w:hAnsi="宋体" w:eastAsia="宋体" w:cs="宋体"/>
          <w:kern w:val="2"/>
          <w:sz w:val="24"/>
        </w:rPr>
        <w:t>磋商响应文件</w:t>
      </w:r>
      <w:r>
        <w:rPr>
          <w:rFonts w:hint="eastAsia" w:ascii="宋体" w:hAnsi="宋体" w:eastAsia="宋体" w:cs="宋体"/>
          <w:snapToGrid/>
          <w:kern w:val="2"/>
          <w:sz w:val="24"/>
        </w:rPr>
        <w:t>有重大漏项或重大不合理的</w:t>
      </w:r>
      <w:r>
        <w:rPr>
          <w:rFonts w:hint="eastAsia" w:ascii="宋体" w:hAnsi="宋体" w:eastAsia="宋体" w:cs="宋体"/>
          <w:bCs/>
          <w:sz w:val="24"/>
        </w:rPr>
        <w:t>。</w:t>
      </w:r>
    </w:p>
    <w:p w14:paraId="2702CF57">
      <w:pPr>
        <w:adjustRightInd w:val="0"/>
        <w:snapToGrid w:val="0"/>
        <w:spacing w:line="360" w:lineRule="auto"/>
        <w:ind w:firstLine="484" w:firstLineChars="202"/>
        <w:rPr>
          <w:rFonts w:ascii="宋体" w:hAnsi="宋体" w:eastAsia="宋体" w:cs="宋体"/>
          <w:bCs/>
          <w:sz w:val="24"/>
        </w:rPr>
      </w:pPr>
      <w:r>
        <w:rPr>
          <w:rFonts w:hint="eastAsia" w:ascii="宋体" w:hAnsi="宋体" w:eastAsia="宋体" w:cs="宋体"/>
          <w:bCs/>
          <w:sz w:val="24"/>
        </w:rPr>
        <w:t>6.1.6</w:t>
      </w:r>
      <w:r>
        <w:rPr>
          <w:rFonts w:hint="eastAsia" w:ascii="宋体" w:hAnsi="宋体" w:eastAsia="宋体" w:cs="宋体"/>
          <w:snapToGrid/>
          <w:kern w:val="2"/>
          <w:sz w:val="24"/>
        </w:rPr>
        <w:t>项目技术、方案不满足项目需求中的要求，有重大偏离或保留的</w:t>
      </w:r>
      <w:r>
        <w:rPr>
          <w:rFonts w:hint="eastAsia" w:ascii="宋体" w:hAnsi="宋体" w:eastAsia="宋体" w:cs="宋体"/>
          <w:bCs/>
          <w:sz w:val="24"/>
        </w:rPr>
        <w:t>。</w:t>
      </w:r>
    </w:p>
    <w:p w14:paraId="2DB42B2C">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6.1.7同一供应商提交两个（含两个）以上不同的响应报价的。</w:t>
      </w:r>
    </w:p>
    <w:p w14:paraId="7EFDDC5D">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6.1.8</w:t>
      </w:r>
      <w:r>
        <w:rPr>
          <w:rFonts w:hint="eastAsia" w:ascii="宋体" w:hAnsi="宋体" w:eastAsia="宋体" w:cs="宋体"/>
          <w:snapToGrid/>
          <w:kern w:val="2"/>
          <w:sz w:val="24"/>
        </w:rPr>
        <w:t>磋商响应报价超出项目预算或最高限价的</w:t>
      </w:r>
      <w:r>
        <w:rPr>
          <w:rFonts w:hint="eastAsia" w:ascii="宋体" w:hAnsi="宋体" w:eastAsia="宋体" w:cs="宋体"/>
          <w:bCs/>
          <w:sz w:val="24"/>
        </w:rPr>
        <w:t>。</w:t>
      </w:r>
    </w:p>
    <w:p w14:paraId="0408D581">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6.1.9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45B65CA8">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6.1.10除非在磋商中磋商小组对采购单位需求内容作了调整，或对采购内容作了实质性变更，供应商的磋商报价高于自己前一轮的。</w:t>
      </w:r>
    </w:p>
    <w:p w14:paraId="3776B81E">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6.1.11</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684167A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6.1.12响应文件含有采购单位不能接受的附加条件的。</w:t>
      </w:r>
    </w:p>
    <w:p w14:paraId="7870ACFA">
      <w:pPr>
        <w:snapToGrid w:val="0"/>
        <w:spacing w:line="360" w:lineRule="auto"/>
        <w:ind w:firstLine="482" w:firstLineChars="201"/>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14:paraId="0E4263CC">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w:t>
      </w:r>
      <w:r>
        <w:rPr>
          <w:rFonts w:hint="eastAsia" w:ascii="宋体" w:hAnsi="宋体" w:eastAsia="宋体" w:cs="宋体"/>
          <w:kern w:val="2"/>
          <w:sz w:val="24"/>
        </w:rPr>
        <w:t>磋商响应文件中已标价工程量清单与磋商文件规定的暂估价、暂列金额及甲供材料价格不一致的</w:t>
      </w:r>
      <w:r>
        <w:rPr>
          <w:rFonts w:hint="eastAsia" w:ascii="宋体" w:hAnsi="宋体" w:eastAsia="宋体" w:cs="宋体"/>
          <w:bCs/>
          <w:sz w:val="24"/>
        </w:rPr>
        <w:t>。</w:t>
      </w:r>
    </w:p>
    <w:p w14:paraId="785120CE">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磋商响应文件中已标价工程量清单与磋商文件明确列出的不可竞争费用项目或费率或计算基础不一致的</w:t>
      </w:r>
      <w:r>
        <w:rPr>
          <w:rFonts w:hint="eastAsia" w:ascii="宋体" w:hAnsi="宋体" w:eastAsia="宋体" w:cs="宋体"/>
          <w:bCs/>
          <w:sz w:val="24"/>
        </w:rPr>
        <w:t>。</w:t>
      </w:r>
    </w:p>
    <w:p w14:paraId="6ACD8621">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磋商响应文件中已标价工程量清单与磋商文件提供的工程量清单中的项目编码、项目名称、项目特征、计量单位、工程量不一致的</w:t>
      </w:r>
      <w:r>
        <w:rPr>
          <w:rFonts w:hint="eastAsia" w:ascii="宋体" w:hAnsi="宋体" w:eastAsia="宋体" w:cs="宋体"/>
          <w:bCs/>
          <w:sz w:val="24"/>
        </w:rPr>
        <w:t>。</w:t>
      </w:r>
    </w:p>
    <w:p w14:paraId="6DC58C44">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磋商响应文件载明的招标项目完成期限超过磋商文件规定的期限的；</w:t>
      </w:r>
    </w:p>
    <w:p w14:paraId="4F5D77C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6.1.18</w:t>
      </w:r>
      <w:r>
        <w:rPr>
          <w:rFonts w:hint="eastAsia" w:ascii="宋体" w:hAnsi="宋体" w:eastAsia="宋体" w:cs="宋体"/>
          <w:kern w:val="2"/>
          <w:sz w:val="24"/>
        </w:rPr>
        <w:t>明显不符合技术规范、技术标准的要求的</w:t>
      </w:r>
      <w:r>
        <w:rPr>
          <w:rFonts w:hint="eastAsia" w:ascii="宋体" w:hAnsi="宋体" w:eastAsia="宋体" w:cs="宋体"/>
          <w:bCs/>
          <w:sz w:val="24"/>
        </w:rPr>
        <w:t>。</w:t>
      </w:r>
    </w:p>
    <w:p w14:paraId="64BF0CF8">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6.1.19</w:t>
      </w:r>
      <w:r>
        <w:rPr>
          <w:rFonts w:hint="eastAsia" w:ascii="宋体" w:hAnsi="宋体" w:eastAsia="宋体" w:cs="宋体"/>
          <w:kern w:val="2"/>
          <w:sz w:val="24"/>
        </w:rPr>
        <w:t>磋商响应文件载明的货物包装方式、检验标准和方法等不符合磋商文件的要求的</w:t>
      </w:r>
      <w:r>
        <w:rPr>
          <w:rFonts w:hint="eastAsia" w:ascii="宋体" w:hAnsi="宋体" w:eastAsia="宋体" w:cs="宋体"/>
          <w:bCs/>
          <w:sz w:val="24"/>
        </w:rPr>
        <w:t>。</w:t>
      </w:r>
      <w:r>
        <w:rPr>
          <w:rFonts w:hint="eastAsia" w:ascii="宋体" w:hAnsi="宋体" w:eastAsia="宋体" w:cs="宋体"/>
          <w:kern w:val="2"/>
          <w:sz w:val="24"/>
        </w:rPr>
        <w:br w:type="textWrapping"/>
      </w:r>
      <w:r>
        <w:rPr>
          <w:rFonts w:hint="eastAsia" w:ascii="宋体" w:hAnsi="宋体" w:eastAsia="宋体" w:cs="宋体"/>
          <w:kern w:val="2"/>
          <w:sz w:val="24"/>
        </w:rPr>
        <w:t xml:space="preserve">    </w:t>
      </w:r>
      <w:r>
        <w:rPr>
          <w:rFonts w:hint="eastAsia" w:ascii="宋体" w:hAnsi="宋体" w:eastAsia="宋体" w:cs="宋体"/>
          <w:bCs/>
          <w:sz w:val="24"/>
        </w:rPr>
        <w:t>6.1.20</w:t>
      </w:r>
      <w:r>
        <w:rPr>
          <w:rFonts w:hint="eastAsia" w:ascii="宋体" w:hAnsi="宋体" w:eastAsia="宋体" w:cs="宋体"/>
          <w:kern w:val="2"/>
          <w:sz w:val="24"/>
        </w:rPr>
        <w:t>磋商响应文件提出了不能满足磋商文件要求或采购单位不能接受的工程验收、计量、价款结算和支付办法的</w:t>
      </w:r>
      <w:r>
        <w:rPr>
          <w:rFonts w:hint="eastAsia" w:ascii="宋体" w:hAnsi="宋体" w:eastAsia="宋体" w:cs="宋体"/>
          <w:bCs/>
          <w:sz w:val="24"/>
        </w:rPr>
        <w:t>。</w:t>
      </w:r>
    </w:p>
    <w:p w14:paraId="11D51133">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6.1.21</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229FBF4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6.1.22</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6F254DD6">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6.1.23</w:t>
      </w:r>
      <w:r>
        <w:rPr>
          <w:rFonts w:hint="eastAsia" w:ascii="宋体" w:hAnsi="宋体" w:eastAsia="宋体" w:cs="宋体"/>
          <w:bCs/>
          <w:sz w:val="24"/>
          <w:lang w:eastAsia="zh-CN"/>
        </w:rPr>
        <w:t>技术</w:t>
      </w:r>
      <w:r>
        <w:rPr>
          <w:rFonts w:hint="eastAsia" w:ascii="宋体" w:hAnsi="宋体" w:eastAsia="宋体" w:cs="宋体"/>
          <w:kern w:val="2"/>
          <w:sz w:val="24"/>
        </w:rPr>
        <w:t>方案存在明显技术方案错误、或者不符合磋商文件有关暗标（如有）的要求</w:t>
      </w:r>
      <w:r>
        <w:rPr>
          <w:rFonts w:hint="eastAsia" w:ascii="宋体" w:hAnsi="宋体" w:eastAsia="宋体" w:cs="宋体"/>
          <w:bCs/>
          <w:sz w:val="24"/>
        </w:rPr>
        <w:t>。</w:t>
      </w:r>
      <w:r>
        <w:rPr>
          <w:rFonts w:hint="eastAsia" w:ascii="宋体" w:hAnsi="宋体" w:eastAsia="宋体" w:cs="宋体"/>
          <w:kern w:val="2"/>
          <w:sz w:val="24"/>
        </w:rPr>
        <w:t xml:space="preserve"> </w:t>
      </w:r>
    </w:p>
    <w:p w14:paraId="593E8310">
      <w:pPr>
        <w:snapToGrid w:val="0"/>
        <w:spacing w:line="360" w:lineRule="auto"/>
        <w:ind w:firstLine="480" w:firstLineChars="200"/>
        <w:rPr>
          <w:rFonts w:ascii="宋体" w:hAnsi="宋体" w:eastAsia="宋体" w:cs="宋体"/>
          <w:kern w:val="2"/>
          <w:sz w:val="24"/>
        </w:rPr>
      </w:pPr>
      <w:r>
        <w:rPr>
          <w:rFonts w:hint="eastAsia" w:ascii="宋体" w:hAnsi="宋体" w:eastAsia="宋体" w:cs="宋体"/>
          <w:bCs/>
          <w:sz w:val="24"/>
        </w:rPr>
        <w:t>6.1.24</w:t>
      </w:r>
      <w:r>
        <w:rPr>
          <w:rFonts w:hint="eastAsia" w:ascii="宋体" w:hAnsi="宋体" w:eastAsia="宋体" w:cs="宋体"/>
          <w:kern w:val="2"/>
          <w:sz w:val="24"/>
        </w:rPr>
        <w:t>供应商在响应文件递交截止时间当日，建筑业企业资质（本项目要求的资质）动态监管结果处于不合格状态的。</w:t>
      </w:r>
    </w:p>
    <w:p w14:paraId="4F912FB7">
      <w:pPr>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6.1.25</w:t>
      </w:r>
      <w:r>
        <w:rPr>
          <w:rFonts w:hint="eastAsia" w:ascii="宋体" w:hAnsi="宋体" w:eastAsia="宋体" w:cs="宋体"/>
          <w:kern w:val="2"/>
          <w:sz w:val="24"/>
        </w:rPr>
        <w:t>磋商响应文件关键内容模糊、无法辨认</w:t>
      </w:r>
      <w:r>
        <w:rPr>
          <w:rFonts w:hint="eastAsia" w:ascii="宋体" w:hAnsi="宋体" w:eastAsia="宋体" w:cs="宋体"/>
          <w:bCs/>
          <w:sz w:val="24"/>
        </w:rPr>
        <w:t>。</w:t>
      </w:r>
    </w:p>
    <w:p w14:paraId="75AE49D9">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6.1.26</w:t>
      </w:r>
      <w:r>
        <w:rPr>
          <w:rFonts w:hint="eastAsia" w:ascii="宋体" w:hAnsi="宋体" w:eastAsia="宋体" w:cs="宋体"/>
          <w:kern w:val="2"/>
          <w:sz w:val="24"/>
        </w:rPr>
        <w:t>不符合法律、法规和磋商文件中规定的其他实质性响应要求的</w:t>
      </w:r>
      <w:r>
        <w:rPr>
          <w:rFonts w:hint="eastAsia" w:ascii="宋体" w:hAnsi="宋体" w:eastAsia="宋体" w:cs="宋体"/>
          <w:bCs/>
          <w:sz w:val="24"/>
        </w:rPr>
        <w:t>。</w:t>
      </w:r>
    </w:p>
    <w:p w14:paraId="24DEF50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6.2出现下列情形之一的，磋商失败。</w:t>
      </w:r>
    </w:p>
    <w:p w14:paraId="36FE44E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6.2.1符合条件的供应商或者对磋商文件作实质响应的供应商不足3家的（市场竞争不充分的科研项目，以及需要扶持的科技成果转化项目可以是2家）；</w:t>
      </w:r>
    </w:p>
    <w:p w14:paraId="455C32E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6.2.2出现影响采购公正的违法违规行为的；</w:t>
      </w:r>
    </w:p>
    <w:p w14:paraId="3E43488C">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6.2.3因重大变故，采购任务取消的。</w:t>
      </w:r>
    </w:p>
    <w:p w14:paraId="120804C6">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6.2.4磋商小组认定磋商文件存在歧义、重大缺陷导致评审工作无法进行。</w:t>
      </w:r>
    </w:p>
    <w:p w14:paraId="7AD86F75">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6.2.5供应商的报价均超出了采购预算或最高限价，采购单位不能支付的；</w:t>
      </w:r>
    </w:p>
    <w:p w14:paraId="495B44D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6.2.6 因情况变化，不再符合规定的竞争性磋商采购方式所适用情形的；</w:t>
      </w:r>
    </w:p>
    <w:p w14:paraId="01BE2403">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6.2.7磋商小组依据法律法规可以认定为废标的其他情况。</w:t>
      </w:r>
    </w:p>
    <w:p w14:paraId="445BAE0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 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截止时间结束后参加磋商的供应商不足三家的处理：</w:t>
      </w:r>
    </w:p>
    <w:p w14:paraId="62AD562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6.3.1如出现响应</w:t>
      </w:r>
      <w:r>
        <w:rPr>
          <w:rFonts w:hint="eastAsia" w:ascii="宋体" w:hAnsi="宋体" w:eastAsia="宋体" w:cs="宋体"/>
          <w:sz w:val="24"/>
        </w:rPr>
        <w:t>文件提交</w:t>
      </w:r>
      <w:r>
        <w:rPr>
          <w:rFonts w:hint="eastAsia" w:ascii="宋体" w:hAnsi="宋体" w:eastAsia="宋体" w:cs="宋体"/>
          <w:bCs/>
          <w:sz w:val="24"/>
        </w:rPr>
        <w:t>截止时间结束后参加磋商的供应商或者在评审期间对磋商文件做出实质响应的供应商不足三家情况，按政府采购相关规定执行。</w:t>
      </w:r>
    </w:p>
    <w:bookmarkEnd w:id="64"/>
    <w:bookmarkEnd w:id="65"/>
    <w:bookmarkEnd w:id="66"/>
    <w:p w14:paraId="3DC92D7D">
      <w:pPr>
        <w:adjustRightInd w:val="0"/>
        <w:snapToGrid w:val="0"/>
        <w:spacing w:line="360" w:lineRule="auto"/>
        <w:ind w:firstLine="482" w:firstLineChars="200"/>
        <w:outlineLvl w:val="2"/>
        <w:rPr>
          <w:rFonts w:ascii="宋体" w:hAnsi="宋体" w:eastAsia="宋体" w:cs="宋体"/>
          <w:b/>
          <w:bCs/>
          <w:sz w:val="24"/>
        </w:rPr>
      </w:pPr>
      <w:r>
        <w:rPr>
          <w:rFonts w:hint="eastAsia" w:ascii="宋体" w:hAnsi="宋体" w:eastAsia="宋体" w:cs="宋体"/>
          <w:b/>
          <w:bCs/>
          <w:sz w:val="24"/>
        </w:rPr>
        <w:t>七、成交</w:t>
      </w:r>
    </w:p>
    <w:p w14:paraId="3C85B98E">
      <w:pPr>
        <w:adjustRightInd w:val="0"/>
        <w:snapToGrid w:val="0"/>
        <w:spacing w:line="360" w:lineRule="auto"/>
        <w:ind w:firstLine="480" w:firstLineChars="200"/>
        <w:outlineLvl w:val="3"/>
        <w:rPr>
          <w:rFonts w:ascii="宋体" w:hAnsi="宋体" w:eastAsia="宋体" w:cs="宋体"/>
          <w:b/>
          <w:sz w:val="24"/>
        </w:rPr>
      </w:pPr>
      <w:bookmarkStart w:id="76" w:name="_Toc20823310"/>
      <w:bookmarkStart w:id="77" w:name="_Toc16938554"/>
      <w:r>
        <w:rPr>
          <w:rFonts w:hint="eastAsia" w:ascii="宋体" w:hAnsi="宋体" w:eastAsia="宋体" w:cs="宋体"/>
          <w:sz w:val="24"/>
        </w:rPr>
        <w:t>1、确定</w:t>
      </w:r>
      <w:bookmarkEnd w:id="76"/>
      <w:bookmarkEnd w:id="77"/>
      <w:r>
        <w:rPr>
          <w:rFonts w:hint="eastAsia" w:ascii="宋体" w:hAnsi="宋体" w:eastAsia="宋体" w:cs="宋体"/>
          <w:sz w:val="24"/>
        </w:rPr>
        <w:t>成交单位</w:t>
      </w:r>
    </w:p>
    <w:p w14:paraId="4E97981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1.1成交候选供应商的选取原则和数量见磋商文件第四部分规定。 </w:t>
      </w:r>
    </w:p>
    <w:p w14:paraId="31139A22">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1.2 采购单位授权磋商小组在成交候选供应商中直接确定成交供应商。</w:t>
      </w:r>
    </w:p>
    <w:p w14:paraId="1CBEBC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 xml:space="preserve">1.3 </w:t>
      </w:r>
      <w:r>
        <w:rPr>
          <w:rFonts w:hint="eastAsia" w:ascii="宋体" w:hAnsi="宋体" w:eastAsia="宋体" w:cs="宋体"/>
          <w:sz w:val="24"/>
        </w:rPr>
        <w:t>采购单位将在“南通市机关事务管理局→公告公示”栏发布成交结果公告，公告期限为1个工作日。</w:t>
      </w:r>
    </w:p>
    <w:p w14:paraId="4E3650F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1.4若有充分证据证明，成交供应商出现下列情况之一的，一经查实，将被取消成交资格：</w:t>
      </w:r>
    </w:p>
    <w:p w14:paraId="718F81E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1.4.1提供虚假材料谋取成交的。</w:t>
      </w:r>
    </w:p>
    <w:p w14:paraId="27292EC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1.4.2向采购单位、采购代理机构行贿或者评审专家提供其他不正当利益的。</w:t>
      </w:r>
    </w:p>
    <w:p w14:paraId="2194BF1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1.4.3恶意竞争，最终总报价明显低于其自身合理成本且又无法提供证明的。</w:t>
      </w:r>
    </w:p>
    <w:p w14:paraId="0D865B4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1.4.4属于本文件规定的无效条件，但在评审过程中又未被磋商小组发现的。</w:t>
      </w:r>
    </w:p>
    <w:p w14:paraId="628B6DA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1.4.5与采购单位或者其他供应商恶意串通的。</w:t>
      </w:r>
    </w:p>
    <w:p w14:paraId="2D73480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1.4.6采取不正当手段诋毁、排挤其他供应商的。</w:t>
      </w:r>
    </w:p>
    <w:p w14:paraId="6C7EACA2">
      <w:pPr>
        <w:adjustRightInd w:val="0"/>
        <w:snapToGrid w:val="0"/>
        <w:spacing w:line="360" w:lineRule="auto"/>
        <w:ind w:firstLine="480" w:firstLineChars="200"/>
        <w:rPr>
          <w:rFonts w:ascii="宋体" w:hAnsi="宋体" w:eastAsia="宋体" w:cs="宋体"/>
          <w:sz w:val="24"/>
        </w:rPr>
      </w:pPr>
      <w:bookmarkStart w:id="78" w:name="_Toc200451960"/>
      <w:r>
        <w:rPr>
          <w:rFonts w:hint="eastAsia" w:ascii="宋体" w:hAnsi="宋体" w:eastAsia="宋体" w:cs="宋体"/>
          <w:sz w:val="24"/>
        </w:rPr>
        <w:t>1.5.有下列情形之一的，视为供应商串通参与磋商，响应无效：</w:t>
      </w:r>
    </w:p>
    <w:p w14:paraId="08791F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1.5.1不同供应商的响应文件由同一单位或者个人编制；</w:t>
      </w:r>
    </w:p>
    <w:p w14:paraId="3BE6569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1.5.2不同供应商委托同一单位或者个人办理磋商事宜；</w:t>
      </w:r>
    </w:p>
    <w:p w14:paraId="52781B1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1.5.3不同供应商的响应文件载明的项目管理成员或者联系人员为同一人；</w:t>
      </w:r>
    </w:p>
    <w:p w14:paraId="112A687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1.5.4不同供应商的响应文件异常一致或者响应报价呈规律性差异。</w:t>
      </w:r>
    </w:p>
    <w:p w14:paraId="0AE6690E">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2、质疑处理</w:t>
      </w:r>
      <w:bookmarkEnd w:id="78"/>
    </w:p>
    <w:p w14:paraId="4F5F79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 提出质疑的供应商应当是参与所质疑项目采购活动的供应商。潜在供应商依法获取其可质疑的磋商文件的，可以对磋商文件提出质疑。</w:t>
      </w:r>
    </w:p>
    <w:p w14:paraId="05F2A90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供应商认为磋商文件、采购过程和采购结果使自己的权益受到损害的，可以在知道或应知其权益受到损害之日起七个工作日内，以书面形式向采购代理机构或采购单位提出质疑。上述应知其权益受到损害之日，是指：</w:t>
      </w:r>
    </w:p>
    <w:p w14:paraId="1B1DB5F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2.2.1对可以质疑的磋商文件提出质疑的，为收到磋商文件之日或者采购邀请期限届满之日；</w:t>
      </w:r>
      <w:r>
        <w:rPr>
          <w:rFonts w:hint="eastAsia" w:ascii="宋体" w:hAnsi="宋体" w:eastAsia="宋体" w:cs="宋体"/>
          <w:sz w:val="24"/>
        </w:rPr>
        <w:br w:type="textWrapping"/>
      </w:r>
      <w:r>
        <w:rPr>
          <w:rFonts w:hint="eastAsia" w:ascii="宋体" w:hAnsi="宋体" w:eastAsia="宋体" w:cs="宋体"/>
          <w:sz w:val="24"/>
        </w:rPr>
        <w:t>　　2.2.2对采购过程提出质疑的，为各采购程序环节结束之日；</w:t>
      </w:r>
      <w:r>
        <w:rPr>
          <w:rFonts w:hint="eastAsia" w:ascii="宋体" w:hAnsi="宋体" w:eastAsia="宋体" w:cs="宋体"/>
          <w:sz w:val="24"/>
        </w:rPr>
        <w:br w:type="textWrapping"/>
      </w:r>
      <w:r>
        <w:rPr>
          <w:rFonts w:hint="eastAsia" w:ascii="宋体" w:hAnsi="宋体" w:eastAsia="宋体" w:cs="宋体"/>
          <w:sz w:val="24"/>
        </w:rPr>
        <w:t>　　2.2.3对成交结果提出质疑的，为成交结果公告期限届满之日。</w:t>
      </w:r>
    </w:p>
    <w:p w14:paraId="7BADF01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供应商应当在法定质疑期内一次性提出针对同一采购程序环节的质疑。</w:t>
      </w:r>
    </w:p>
    <w:p w14:paraId="61BB142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2.3质疑函必须按照《质疑函范本》要求的格式和内容进行填写。供应商如组成联合体参加磋商，则《质疑函范本》中要求签字、盖章、加盖公章之处，联合体各方均须按要求签字、盖章、加盖公章。</w:t>
      </w:r>
    </w:p>
    <w:p w14:paraId="6A1AC538">
      <w:pPr>
        <w:adjustRightInd w:val="0"/>
        <w:snapToGrid w:val="0"/>
        <w:spacing w:line="360" w:lineRule="auto"/>
        <w:ind w:firstLine="480" w:firstLineChars="200"/>
        <w:rPr>
          <w:rFonts w:ascii="宋体" w:hAnsi="宋体" w:eastAsia="宋体" w:cs="宋体"/>
          <w:b/>
          <w:sz w:val="24"/>
        </w:rPr>
      </w:pPr>
      <w:r>
        <w:rPr>
          <w:rFonts w:hint="eastAsia" w:ascii="宋体" w:hAnsi="宋体" w:eastAsia="宋体" w:cs="宋体"/>
          <w:sz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40A72D2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采购单位质疑接收人及联系方式，见磋商文件第一部分。</w:t>
      </w:r>
    </w:p>
    <w:p w14:paraId="55EDEA1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 以下情形的质疑不予受理</w:t>
      </w:r>
    </w:p>
    <w:p w14:paraId="6CB4FB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2.5.1 内容不符合《政府采购质疑和投诉办法》第十二条规定的质疑。</w:t>
      </w:r>
    </w:p>
    <w:p w14:paraId="3377D2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2.5.2 超出政府采购法定期限的质疑。</w:t>
      </w:r>
    </w:p>
    <w:p w14:paraId="5ADF2A4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2.5.3 未参加磋商活动的供应商或在磋商活动中自身权益未受到损害的供应商所提出的质疑。</w:t>
      </w:r>
    </w:p>
    <w:p w14:paraId="60FB4B5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2.5.4供应商组成联合体参加磋商，联合体中任何一方或多方未按要求签字、盖章、加盖公章的质疑。</w:t>
      </w:r>
    </w:p>
    <w:p w14:paraId="060641BF">
      <w:pPr>
        <w:adjustRightInd w:val="0"/>
        <w:snapToGrid w:val="0"/>
        <w:spacing w:line="360" w:lineRule="auto"/>
        <w:ind w:firstLine="468" w:firstLineChars="195"/>
        <w:rPr>
          <w:rFonts w:ascii="宋体" w:hAnsi="宋体" w:eastAsia="宋体" w:cs="宋体"/>
          <w:sz w:val="24"/>
        </w:rPr>
      </w:pPr>
      <w:r>
        <w:rPr>
          <w:rFonts w:hint="eastAsia" w:ascii="宋体" w:hAnsi="宋体" w:eastAsia="宋体" w:cs="宋体"/>
          <w:sz w:val="24"/>
        </w:rPr>
        <w:t>2.6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4E6FCD08">
      <w:pPr>
        <w:adjustRightInd w:val="0"/>
        <w:snapToGrid w:val="0"/>
        <w:spacing w:line="360" w:lineRule="auto"/>
        <w:ind w:firstLine="360" w:firstLineChars="150"/>
        <w:outlineLvl w:val="3"/>
        <w:rPr>
          <w:rFonts w:ascii="宋体" w:hAnsi="宋体" w:eastAsia="宋体" w:cs="宋体"/>
          <w:b/>
          <w:sz w:val="24"/>
        </w:rPr>
      </w:pPr>
      <w:r>
        <w:rPr>
          <w:rFonts w:hint="eastAsia" w:ascii="宋体" w:hAnsi="宋体" w:eastAsia="宋体" w:cs="宋体"/>
          <w:sz w:val="24"/>
        </w:rPr>
        <w:t>3、成交通知书</w:t>
      </w:r>
    </w:p>
    <w:p w14:paraId="78358B29">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3.l</w:t>
      </w:r>
      <w:r>
        <w:rPr>
          <w:rFonts w:hint="eastAsia" w:ascii="宋体" w:hAnsi="宋体" w:eastAsia="宋体" w:cs="宋体"/>
          <w:b/>
          <w:sz w:val="24"/>
        </w:rPr>
        <w:t xml:space="preserve"> </w:t>
      </w:r>
      <w:r>
        <w:rPr>
          <w:rFonts w:hint="eastAsia" w:ascii="宋体" w:hAnsi="宋体" w:eastAsia="宋体" w:cs="宋体"/>
          <w:sz w:val="24"/>
        </w:rPr>
        <w:t>成交结果确定后，采购单位将向成交供应商发出成交通知书。</w:t>
      </w:r>
    </w:p>
    <w:p w14:paraId="2E4D2A6F">
      <w:pPr>
        <w:adjustRightInd w:val="0"/>
        <w:snapToGrid w:val="0"/>
        <w:spacing w:line="360" w:lineRule="auto"/>
        <w:ind w:firstLine="360" w:firstLineChars="150"/>
        <w:rPr>
          <w:rFonts w:ascii="宋体" w:hAnsi="宋体" w:eastAsia="宋体" w:cs="宋体"/>
          <w:sz w:val="24"/>
        </w:rPr>
      </w:pPr>
      <w:r>
        <w:rPr>
          <w:rFonts w:hint="eastAsia" w:ascii="宋体" w:hAnsi="宋体" w:eastAsia="宋体" w:cs="宋体"/>
          <w:sz w:val="24"/>
        </w:rPr>
        <w:t>3.2成交通知书将是合同的一个组成部分。对采购单位和成交供应商均具有法律效力。成交通知书发出后，采购单位改变成交结果的，或者成交供应商放弃磋商项目的，应当依法承担法律责任。</w:t>
      </w:r>
    </w:p>
    <w:p w14:paraId="12622FC3">
      <w:pPr>
        <w:adjustRightInd w:val="0"/>
        <w:snapToGrid w:val="0"/>
        <w:spacing w:line="360" w:lineRule="auto"/>
        <w:ind w:firstLine="482" w:firstLineChars="200"/>
        <w:outlineLvl w:val="2"/>
        <w:rPr>
          <w:rFonts w:ascii="宋体" w:hAnsi="宋体" w:eastAsia="宋体" w:cs="宋体"/>
          <w:b/>
          <w:bCs/>
          <w:sz w:val="24"/>
        </w:rPr>
      </w:pPr>
      <w:bookmarkStart w:id="79" w:name="_Toc120614220"/>
      <w:bookmarkStart w:id="80" w:name="_Toc16938552"/>
      <w:bookmarkStart w:id="81" w:name="_Toc513029236"/>
      <w:bookmarkStart w:id="82" w:name="_Toc20823308"/>
      <w:r>
        <w:rPr>
          <w:rFonts w:hint="eastAsia" w:ascii="宋体" w:hAnsi="宋体" w:eastAsia="宋体" w:cs="宋体"/>
          <w:b/>
          <w:bCs/>
          <w:sz w:val="24"/>
        </w:rPr>
        <w:t>八、授予合同</w:t>
      </w:r>
      <w:bookmarkEnd w:id="79"/>
    </w:p>
    <w:bookmarkEnd w:id="80"/>
    <w:bookmarkEnd w:id="81"/>
    <w:bookmarkEnd w:id="82"/>
    <w:p w14:paraId="36E88B77">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1、签订合同</w:t>
      </w:r>
    </w:p>
    <w:p w14:paraId="62F55E8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1</w:t>
      </w:r>
      <w:r>
        <w:rPr>
          <w:rFonts w:hint="eastAsia" w:ascii="宋体" w:hAnsi="宋体" w:eastAsia="宋体" w:cs="宋体"/>
          <w:sz w:val="24"/>
        </w:rPr>
        <w:t>.l成交供应商应当在成交通知书发出之日起三十日内，按照磋商文件确定的事项与采购单位签订采购合同。</w:t>
      </w:r>
    </w:p>
    <w:p w14:paraId="730978CA">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1.2磋商文件、成交供应商的响应文件及磋商过程中有关澄清、承诺文件均应作为合同附件。</w:t>
      </w:r>
    </w:p>
    <w:p w14:paraId="6B1098BA">
      <w:pPr>
        <w:adjustRightInd w:val="0"/>
        <w:snapToGrid w:val="0"/>
        <w:spacing w:line="360" w:lineRule="auto"/>
        <w:ind w:firstLine="600" w:firstLineChars="250"/>
        <w:rPr>
          <w:rFonts w:ascii="宋体" w:hAnsi="宋体" w:eastAsia="宋体" w:cs="宋体"/>
          <w:sz w:val="24"/>
        </w:rPr>
      </w:pPr>
      <w:r>
        <w:rPr>
          <w:rFonts w:hint="eastAsia" w:ascii="宋体" w:hAnsi="宋体" w:eastAsia="宋体" w:cs="宋体"/>
          <w:sz w:val="24"/>
        </w:rPr>
        <w:t>1.3签订合同后，成交供应商不得将货物及其他相关服务进行转包。未经采购单位同意，成交供应商也不得采用分包的形式履行合同，否则采购单位有权终止合同，成交供应商的履约保证金（如有）将不予退还。采购合同分包履行的，成交供应商就采购项目和分包项目向采购单位负责，分包供应商就分包项目承担责任。转包或分包造成采购单位损失的，成交供应商应承担相应赔偿责任。</w:t>
      </w:r>
    </w:p>
    <w:p w14:paraId="5968DD70">
      <w:pPr>
        <w:adjustRightInd w:val="0"/>
        <w:snapToGrid w:val="0"/>
        <w:spacing w:line="360" w:lineRule="auto"/>
        <w:ind w:firstLine="480" w:firstLineChars="200"/>
        <w:outlineLvl w:val="3"/>
        <w:rPr>
          <w:rFonts w:ascii="宋体" w:hAnsi="宋体" w:eastAsia="宋体" w:cs="宋体"/>
          <w:b/>
          <w:sz w:val="24"/>
        </w:rPr>
      </w:pPr>
      <w:r>
        <w:rPr>
          <w:rFonts w:hint="eastAsia" w:ascii="宋体" w:hAnsi="宋体" w:eastAsia="宋体" w:cs="宋体"/>
          <w:sz w:val="24"/>
        </w:rPr>
        <w:t>2、货物和服务的追加、减少和添购。</w:t>
      </w:r>
    </w:p>
    <w:p w14:paraId="14AC489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2.1政府采购合同履行中，采购单位需追加与合同标的相同的货物和服务的，在不改变合同其他条款的前提下，可以与成交供应商协商签订补充合同，但所有补充合同的采购金额不超过原合同金额10%。</w:t>
      </w:r>
    </w:p>
    <w:p w14:paraId="3E24D81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2.2采购结束后，采购单位若由于各种客观原因，必须对采购项目所牵涉的货物和服务进行适当的减少时，在双方协商一致的前提下，可以按照采购时的价格水平做相应的调减，并据此签订补充合同。</w:t>
      </w:r>
    </w:p>
    <w:p w14:paraId="081D1768">
      <w:pPr>
        <w:pStyle w:val="9"/>
        <w:snapToGrid w:val="0"/>
        <w:spacing w:before="0" w:after="0" w:line="360" w:lineRule="auto"/>
        <w:ind w:firstLine="480" w:firstLineChars="200"/>
        <w:rPr>
          <w:rFonts w:ascii="宋体" w:hAnsi="宋体" w:eastAsia="宋体" w:cs="宋体"/>
          <w:b w:val="0"/>
          <w:bCs w:val="0"/>
          <w:sz w:val="24"/>
          <w:szCs w:val="24"/>
        </w:rPr>
        <w:sectPr>
          <w:headerReference r:id="rId7" w:type="default"/>
          <w:footerReference r:id="rId8" w:type="default"/>
          <w:pgSz w:w="11906" w:h="16838"/>
          <w:pgMar w:top="1361" w:right="1361" w:bottom="1361" w:left="1361" w:header="907" w:footer="737" w:gutter="0"/>
          <w:pgBorders>
            <w:top w:val="none" w:sz="0" w:space="0"/>
            <w:left w:val="none" w:sz="0" w:space="0"/>
            <w:bottom w:val="none" w:sz="0" w:space="0"/>
            <w:right w:val="none" w:sz="0" w:space="0"/>
          </w:pgBorders>
          <w:pgNumType w:fmt="numberInDash" w:start="1"/>
          <w:cols w:space="720" w:num="1"/>
          <w:docGrid w:linePitch="312" w:charSpace="0"/>
        </w:sectPr>
      </w:pPr>
    </w:p>
    <w:bookmarkEnd w:id="1"/>
    <w:bookmarkEnd w:id="2"/>
    <w:bookmarkEnd w:id="3"/>
    <w:bookmarkEnd w:id="4"/>
    <w:bookmarkEnd w:id="5"/>
    <w:bookmarkEnd w:id="6"/>
    <w:bookmarkEnd w:id="7"/>
    <w:bookmarkEnd w:id="8"/>
    <w:bookmarkEnd w:id="9"/>
    <w:bookmarkEnd w:id="10"/>
    <w:bookmarkEnd w:id="11"/>
    <w:p w14:paraId="014A3FF9">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02DC1C3B">
      <w:pPr>
        <w:snapToGrid w:val="0"/>
        <w:spacing w:line="360" w:lineRule="auto"/>
        <w:ind w:firstLine="480" w:firstLineChars="200"/>
        <w:rPr>
          <w:rStyle w:val="96"/>
          <w:rFonts w:ascii="宋体" w:hAnsi="宋体" w:eastAsia="宋体" w:cs="宋体"/>
          <w:bCs/>
          <w:sz w:val="24"/>
          <w:szCs w:val="24"/>
        </w:rPr>
      </w:pPr>
    </w:p>
    <w:p w14:paraId="724836C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供应商在制作响应文件时仔细研究项目需求说明。</w:t>
      </w:r>
      <w:r>
        <w:rPr>
          <w:rFonts w:hint="eastAsia" w:ascii="宋体" w:hAnsi="宋体" w:eastAsia="宋体" w:cs="宋体"/>
          <w:b/>
          <w:bCs/>
          <w:sz w:val="24"/>
        </w:rPr>
        <w:t>具体施工内容请详见</w:t>
      </w:r>
      <w:r>
        <w:rPr>
          <w:rFonts w:hint="eastAsia" w:ascii="宋体" w:hAnsi="宋体" w:eastAsia="宋体" w:cs="宋体"/>
          <w:b/>
          <w:bCs/>
          <w:sz w:val="24"/>
          <w:lang w:eastAsia="zh-CN"/>
        </w:rPr>
        <w:t>采购</w:t>
      </w:r>
      <w:r>
        <w:rPr>
          <w:rFonts w:hint="eastAsia" w:ascii="宋体" w:hAnsi="宋体" w:eastAsia="宋体" w:cs="宋体"/>
          <w:b/>
          <w:bCs/>
          <w:sz w:val="24"/>
        </w:rPr>
        <w:t>文件、以及附件工程量清单。</w:t>
      </w:r>
      <w:r>
        <w:rPr>
          <w:rFonts w:hint="eastAsia" w:ascii="宋体" w:hAnsi="宋体" w:eastAsia="宋体" w:cs="宋体"/>
          <w:sz w:val="24"/>
        </w:rPr>
        <w:t>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25092A22">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604BA73B">
      <w:pPr>
        <w:snapToGrid w:val="0"/>
        <w:spacing w:line="360" w:lineRule="auto"/>
        <w:ind w:firstLine="479" w:firstLineChars="199"/>
        <w:rPr>
          <w:rStyle w:val="96"/>
          <w:rFonts w:ascii="宋体" w:hAnsi="宋体" w:eastAsia="宋体" w:cs="宋体"/>
          <w:bCs/>
          <w:sz w:val="24"/>
          <w:szCs w:val="24"/>
        </w:rPr>
      </w:pPr>
      <w:r>
        <w:rPr>
          <w:rFonts w:hint="eastAsia" w:ascii="宋体" w:hAnsi="宋体" w:eastAsia="宋体" w:cs="宋体"/>
          <w:b/>
          <w:bCs/>
          <w:sz w:val="24"/>
        </w:rPr>
        <w:t>其内容包含：</w:t>
      </w:r>
    </w:p>
    <w:p w14:paraId="57006BE8">
      <w:pPr>
        <w:snapToGrid w:val="0"/>
        <w:spacing w:line="360" w:lineRule="auto"/>
        <w:ind w:firstLine="477" w:firstLineChars="199"/>
        <w:rPr>
          <w:rFonts w:ascii="宋体" w:hAnsi="宋体" w:eastAsia="宋体" w:cs="宋体"/>
          <w:bCs/>
          <w:sz w:val="24"/>
        </w:rPr>
      </w:pPr>
      <w:r>
        <w:rPr>
          <w:rStyle w:val="96"/>
          <w:rFonts w:hint="eastAsia" w:ascii="宋体" w:hAnsi="宋体" w:eastAsia="宋体" w:cs="宋体"/>
          <w:bCs/>
          <w:sz w:val="24"/>
        </w:rPr>
        <w:t>1、</w:t>
      </w:r>
      <w:r>
        <w:rPr>
          <w:rFonts w:hint="eastAsia" w:ascii="宋体" w:hAnsi="宋体" w:eastAsia="宋体" w:cs="宋体"/>
          <w:bCs/>
          <w:sz w:val="24"/>
        </w:rPr>
        <w:t>本项目为</w:t>
      </w:r>
      <w:r>
        <w:rPr>
          <w:rFonts w:hint="eastAsia" w:ascii="宋体" w:hAnsi="宋体" w:eastAsia="宋体" w:cs="宋体"/>
          <w:bCs/>
          <w:sz w:val="24"/>
          <w:lang w:eastAsia="zh-CN"/>
        </w:rPr>
        <w:t>南通市政务中心食堂服务中心设备采购项目（二次）</w:t>
      </w:r>
      <w:r>
        <w:rPr>
          <w:rFonts w:hint="eastAsia" w:ascii="宋体" w:hAnsi="宋体" w:eastAsia="宋体" w:cs="宋体"/>
          <w:bCs/>
          <w:sz w:val="24"/>
        </w:rPr>
        <w:t>，详细工程量清单。由各供应商结合磋商文件、图纸、工程量清单及相关资料等包括的全部内容，根据国家、地方规范和标准、各种文件规定、质监部门要求执行的而施工图和工程量清单中未明确的施工内容，以及为按磋商文件所确定的工期、质量、安全要求完成上述内容所必须的附属工程、临时工程、机械、设备、材料、存贮、运输（含二次搬运费）、劳务、安装、调试、测试、脚手架搭设使用、各工种间的协调配合工作、缺陷修补、维护、培训、售后服务、规费、措施费、管理、利润、税金、清洗、防水、管道清理、验收、安全措施、技术措施、设备（材料）档案、工程档案、工程定位、复测、点交、场地清理费用、垃圾清理外运费、环境保护费、测试费用、设置防撞设施、安全生产、文明施工、成品保护费等，在磋商报价时必须综合到相关子目中进行报价等合同履行过程中可能发生的风险及所需的全部费用。一旦成交，除本磋商文件约定的可调整事项外，其余均不调整。</w:t>
      </w:r>
    </w:p>
    <w:p w14:paraId="4FD5E0C2">
      <w:pPr>
        <w:adjustRightInd w:val="0"/>
        <w:snapToGrid w:val="0"/>
        <w:spacing w:line="360" w:lineRule="auto"/>
        <w:ind w:firstLine="480" w:firstLineChars="200"/>
        <w:rPr>
          <w:rStyle w:val="96"/>
          <w:rFonts w:ascii="宋体" w:hAnsi="宋体" w:eastAsia="宋体" w:cs="宋体"/>
          <w:bCs/>
          <w:sz w:val="24"/>
        </w:rPr>
      </w:pPr>
      <w:r>
        <w:rPr>
          <w:rStyle w:val="96"/>
          <w:rFonts w:hint="eastAsia" w:ascii="宋体" w:hAnsi="宋体" w:eastAsia="宋体" w:cs="宋体"/>
          <w:sz w:val="24"/>
        </w:rPr>
        <w:t>2、</w:t>
      </w:r>
      <w:r>
        <w:rPr>
          <w:rStyle w:val="96"/>
          <w:rFonts w:hint="eastAsia" w:ascii="宋体" w:hAnsi="宋体" w:eastAsia="宋体" w:cs="宋体"/>
          <w:bCs/>
          <w:sz w:val="24"/>
        </w:rPr>
        <w:t>本项目为固定单价合同。供应商应充分考虑本项目合同实施期间可能发生的费用，并承担由此而带来的风险（包含材料价格涨跌和人工工资调整）。</w:t>
      </w:r>
    </w:p>
    <w:p w14:paraId="711B4F4B">
      <w:pPr>
        <w:adjustRightInd w:val="0"/>
        <w:snapToGrid w:val="0"/>
        <w:spacing w:line="360" w:lineRule="auto"/>
        <w:ind w:firstLine="480" w:firstLineChars="200"/>
        <w:rPr>
          <w:rStyle w:val="96"/>
          <w:rFonts w:ascii="宋体" w:hAnsi="宋体" w:eastAsia="宋体" w:cs="宋体"/>
          <w:bCs/>
          <w:sz w:val="24"/>
        </w:rPr>
      </w:pPr>
      <w:r>
        <w:rPr>
          <w:rStyle w:val="96"/>
          <w:rFonts w:hint="eastAsia" w:ascii="宋体" w:hAnsi="宋体" w:eastAsia="宋体" w:cs="宋体"/>
          <w:bCs/>
          <w:sz w:val="24"/>
        </w:rPr>
        <w:t>3、各供应商在编制报价时须用预算软件编制。在报价时应认真阅读并充分理解磋商文件所有内容（含施工合同）后进行响应文件的编制，如有疑问请在规定时间内提出，如无异议，则视为认可，竣工结算时除磋商文件约定调整的内容外，其余均不调整。</w:t>
      </w:r>
    </w:p>
    <w:p w14:paraId="288D8886">
      <w:pPr>
        <w:adjustRightInd w:val="0"/>
        <w:snapToGrid w:val="0"/>
        <w:spacing w:line="360" w:lineRule="auto"/>
        <w:ind w:firstLine="480" w:firstLineChars="200"/>
        <w:rPr>
          <w:rStyle w:val="96"/>
          <w:rFonts w:ascii="宋体" w:hAnsi="宋体" w:eastAsia="宋体" w:cs="宋体"/>
          <w:bCs/>
          <w:snapToGrid/>
          <w:sz w:val="24"/>
        </w:rPr>
      </w:pPr>
      <w:r>
        <w:rPr>
          <w:rStyle w:val="96"/>
          <w:rFonts w:hint="eastAsia" w:ascii="宋体" w:hAnsi="宋体" w:eastAsia="宋体" w:cs="宋体"/>
          <w:bCs/>
          <w:sz w:val="24"/>
        </w:rPr>
        <w:t>3.</w:t>
      </w:r>
      <w:r>
        <w:rPr>
          <w:rStyle w:val="96"/>
          <w:rFonts w:hint="eastAsia" w:ascii="宋体" w:hAnsi="宋体" w:eastAsia="宋体" w:cs="宋体"/>
          <w:bCs/>
          <w:snapToGrid/>
          <w:sz w:val="24"/>
        </w:rPr>
        <w:t>1本工程竞争性磋商文件及答疑（如有）、施工图及其工程量清单。</w:t>
      </w:r>
    </w:p>
    <w:p w14:paraId="0F57CB7F">
      <w:pPr>
        <w:adjustRightInd w:val="0"/>
        <w:snapToGrid w:val="0"/>
        <w:spacing w:line="360" w:lineRule="auto"/>
        <w:ind w:firstLine="480" w:firstLineChars="200"/>
        <w:rPr>
          <w:rStyle w:val="96"/>
          <w:rFonts w:ascii="宋体" w:hAnsi="宋体" w:eastAsia="宋体" w:cs="宋体"/>
          <w:bCs/>
          <w:snapToGrid/>
          <w:sz w:val="24"/>
        </w:rPr>
      </w:pPr>
      <w:r>
        <w:rPr>
          <w:rStyle w:val="96"/>
          <w:rFonts w:hint="eastAsia" w:ascii="宋体" w:hAnsi="宋体" w:eastAsia="宋体" w:cs="宋体"/>
          <w:bCs/>
          <w:sz w:val="24"/>
        </w:rPr>
        <w:t xml:space="preserve">3.2 </w:t>
      </w:r>
      <w:r>
        <w:rPr>
          <w:rFonts w:hint="eastAsia" w:ascii="宋体" w:hAnsi="宋体" w:eastAsia="宋体" w:cs="宋体"/>
          <w:bCs/>
          <w:sz w:val="24"/>
        </w:rPr>
        <w:t>套用本企业定额，无本企业定额的企业可参照《建设工程工程量清单计价规范》（GB50500-2013）、《江苏房屋修缮工程计价定额》（2009年版）、《江苏房屋修缮工程计价表》（2019年）、《通用安装工程</w:t>
      </w:r>
      <w:r>
        <w:rPr>
          <w:rFonts w:ascii="宋体" w:hAnsi="宋体" w:eastAsia="宋体" w:cs="宋体"/>
          <w:bCs/>
          <w:sz w:val="24"/>
        </w:rPr>
        <w:t>工程量计算规范</w:t>
      </w:r>
      <w:r>
        <w:rPr>
          <w:rFonts w:hint="eastAsia" w:ascii="宋体" w:hAnsi="宋体" w:eastAsia="宋体" w:cs="宋体"/>
          <w:bCs/>
          <w:sz w:val="24"/>
        </w:rPr>
        <w:t>》（GB50856-2013）、</w:t>
      </w:r>
      <w:r>
        <w:rPr>
          <w:rStyle w:val="96"/>
          <w:rFonts w:hint="eastAsia" w:ascii="宋体" w:hAnsi="宋体" w:eastAsia="宋体" w:cs="宋体"/>
          <w:bCs/>
          <w:snapToGrid/>
          <w:sz w:val="24"/>
        </w:rPr>
        <w:t>《房屋建筑与装饰工程工程量计算规范》(GB50854-2013) 、《江苏省建筑与装饰工程计价定额》（</w:t>
      </w:r>
      <w:r>
        <w:rPr>
          <w:rStyle w:val="96"/>
          <w:rFonts w:ascii="宋体" w:hAnsi="宋体" w:eastAsia="宋体" w:cs="宋体"/>
          <w:bCs/>
          <w:snapToGrid/>
          <w:sz w:val="24"/>
        </w:rPr>
        <w:t>20</w:t>
      </w:r>
      <w:r>
        <w:rPr>
          <w:rStyle w:val="96"/>
          <w:rFonts w:hint="eastAsia" w:ascii="宋体" w:hAnsi="宋体" w:eastAsia="宋体" w:cs="宋体"/>
          <w:bCs/>
          <w:snapToGrid/>
          <w:sz w:val="24"/>
        </w:rPr>
        <w:t>1</w:t>
      </w:r>
      <w:r>
        <w:rPr>
          <w:rStyle w:val="96"/>
          <w:rFonts w:ascii="宋体" w:hAnsi="宋体" w:eastAsia="宋体" w:cs="宋体"/>
          <w:bCs/>
          <w:snapToGrid/>
          <w:sz w:val="24"/>
        </w:rPr>
        <w:t>4</w:t>
      </w:r>
      <w:r>
        <w:rPr>
          <w:rStyle w:val="96"/>
          <w:rFonts w:hint="eastAsia" w:ascii="宋体" w:hAnsi="宋体" w:eastAsia="宋体" w:cs="宋体"/>
          <w:bCs/>
          <w:snapToGrid/>
          <w:sz w:val="24"/>
        </w:rPr>
        <w:t>年版）、《江苏省安装工程计价定额》（</w:t>
      </w:r>
      <w:r>
        <w:rPr>
          <w:rStyle w:val="96"/>
          <w:rFonts w:ascii="宋体" w:hAnsi="宋体" w:eastAsia="宋体" w:cs="宋体"/>
          <w:bCs/>
          <w:snapToGrid/>
          <w:sz w:val="24"/>
        </w:rPr>
        <w:t>20</w:t>
      </w:r>
      <w:r>
        <w:rPr>
          <w:rStyle w:val="96"/>
          <w:rFonts w:hint="eastAsia" w:ascii="宋体" w:hAnsi="宋体" w:eastAsia="宋体" w:cs="宋体"/>
          <w:bCs/>
          <w:snapToGrid/>
          <w:sz w:val="24"/>
        </w:rPr>
        <w:t>1</w:t>
      </w:r>
      <w:r>
        <w:rPr>
          <w:rStyle w:val="96"/>
          <w:rFonts w:ascii="宋体" w:hAnsi="宋体" w:eastAsia="宋体" w:cs="宋体"/>
          <w:bCs/>
          <w:snapToGrid/>
          <w:sz w:val="24"/>
        </w:rPr>
        <w:t>4</w:t>
      </w:r>
      <w:r>
        <w:rPr>
          <w:rStyle w:val="96"/>
          <w:rFonts w:hint="eastAsia" w:ascii="宋体" w:hAnsi="宋体" w:eastAsia="宋体" w:cs="宋体"/>
          <w:bCs/>
          <w:snapToGrid/>
          <w:sz w:val="24"/>
        </w:rPr>
        <w:t>年版）、《江苏省建设工程费用定额》（2014年）、《省住房城乡建设厅关于建筑业实施营改增后江苏省建设工程计价依据调整的通知》（苏建价【2016】154号）、《省住房城乡建设厅关于调整建设工程计价增值税税率的通知》（苏建函价【2019】178号）以及相应的补充规定和江苏省、南通市现行的有关文件。本工程采用一般计税法。</w:t>
      </w:r>
    </w:p>
    <w:p w14:paraId="4AF71AC1">
      <w:pPr>
        <w:adjustRightInd w:val="0"/>
        <w:snapToGrid w:val="0"/>
        <w:spacing w:line="360" w:lineRule="auto"/>
        <w:ind w:firstLine="480" w:firstLineChars="200"/>
        <w:rPr>
          <w:rStyle w:val="96"/>
          <w:rFonts w:ascii="宋体" w:hAnsi="宋体" w:eastAsia="宋体" w:cs="宋体"/>
          <w:bCs/>
          <w:snapToGrid/>
          <w:sz w:val="24"/>
          <w:highlight w:val="yellow"/>
        </w:rPr>
      </w:pPr>
      <w:r>
        <w:rPr>
          <w:rStyle w:val="96"/>
          <w:rFonts w:hint="eastAsia" w:ascii="宋体" w:hAnsi="宋体" w:eastAsia="宋体" w:cs="宋体"/>
          <w:bCs/>
          <w:sz w:val="24"/>
        </w:rPr>
        <w:t>3.3</w:t>
      </w:r>
      <w:r>
        <w:rPr>
          <w:rFonts w:hint="eastAsia" w:ascii="宋体" w:hAnsi="宋体" w:eastAsia="宋体" w:cs="宋体"/>
          <w:bCs/>
          <w:sz w:val="24"/>
        </w:rPr>
        <w:t>人工工资执行江苏省住房和城乡建设厅《关于发布建设工程人工工资指导价的通知》（苏建函价</w:t>
      </w:r>
      <w:r>
        <w:rPr>
          <w:rFonts w:hint="eastAsia" w:ascii="宋体" w:hAnsi="宋体" w:eastAsia="宋体" w:cs="宋体"/>
          <w:bCs/>
          <w:sz w:val="24"/>
          <w:lang w:eastAsia="zh-CN"/>
        </w:rPr>
        <w:t>〔2025〕62号</w:t>
      </w:r>
      <w:r>
        <w:rPr>
          <w:rFonts w:ascii="宋体" w:hAnsi="宋体" w:eastAsia="宋体" w:cs="宋体"/>
          <w:bCs/>
          <w:sz w:val="24"/>
        </w:rPr>
        <w:t>）</w:t>
      </w:r>
      <w:r>
        <w:rPr>
          <w:rStyle w:val="96"/>
          <w:rFonts w:hint="eastAsia" w:ascii="宋体" w:hAnsi="宋体" w:eastAsia="宋体" w:cs="宋体"/>
          <w:bCs/>
          <w:snapToGrid/>
          <w:sz w:val="24"/>
        </w:rPr>
        <w:t>。</w:t>
      </w:r>
    </w:p>
    <w:p w14:paraId="31D7C018">
      <w:pPr>
        <w:adjustRightInd w:val="0"/>
        <w:snapToGrid w:val="0"/>
        <w:spacing w:line="360" w:lineRule="auto"/>
        <w:ind w:firstLine="480" w:firstLineChars="200"/>
        <w:rPr>
          <w:rStyle w:val="96"/>
          <w:rFonts w:ascii="宋体" w:hAnsi="宋体" w:eastAsia="宋体" w:cs="宋体"/>
          <w:bCs/>
          <w:sz w:val="24"/>
          <w:highlight w:val="yellow"/>
        </w:rPr>
      </w:pPr>
      <w:r>
        <w:rPr>
          <w:rStyle w:val="96"/>
          <w:rFonts w:hint="eastAsia" w:ascii="宋体" w:hAnsi="宋体" w:eastAsia="宋体" w:cs="宋体"/>
          <w:bCs/>
          <w:snapToGrid/>
          <w:sz w:val="24"/>
        </w:rPr>
        <w:t>3.4 材料价格执行《南通建设工程造价信息》</w:t>
      </w:r>
      <w:r>
        <w:rPr>
          <w:rStyle w:val="96"/>
          <w:rFonts w:hint="eastAsia" w:ascii="宋体" w:hAnsi="宋体" w:eastAsia="宋体" w:cs="宋体"/>
          <w:bCs/>
          <w:snapToGrid/>
          <w:sz w:val="24"/>
          <w:lang w:eastAsia="zh-CN"/>
        </w:rPr>
        <w:t xml:space="preserve"> 2025年第</w:t>
      </w:r>
      <w:r>
        <w:rPr>
          <w:rStyle w:val="96"/>
          <w:rFonts w:hint="eastAsia" w:ascii="宋体" w:hAnsi="宋体" w:eastAsia="宋体" w:cs="宋体"/>
          <w:bCs/>
          <w:snapToGrid/>
          <w:sz w:val="24"/>
          <w:lang w:val="en-US" w:eastAsia="zh-CN"/>
        </w:rPr>
        <w:t>1</w:t>
      </w:r>
      <w:r>
        <w:rPr>
          <w:rStyle w:val="96"/>
          <w:rFonts w:hint="eastAsia" w:ascii="宋体" w:hAnsi="宋体" w:eastAsia="宋体" w:cs="宋体"/>
          <w:bCs/>
          <w:snapToGrid/>
          <w:sz w:val="24"/>
          <w:lang w:eastAsia="zh-CN"/>
        </w:rPr>
        <w:t>期</w:t>
      </w:r>
      <w:r>
        <w:rPr>
          <w:rStyle w:val="96"/>
          <w:rFonts w:hint="eastAsia" w:ascii="宋体" w:hAnsi="宋体" w:eastAsia="宋体" w:cs="宋体"/>
          <w:bCs/>
          <w:snapToGrid/>
          <w:sz w:val="24"/>
        </w:rPr>
        <w:t>指导价，指导价缺项的材料价格则按市场询价，该价格已考虑营改增的调整内容，材料按指导价中含税价格除税；措施项</w:t>
      </w:r>
      <w:r>
        <w:rPr>
          <w:rStyle w:val="96"/>
          <w:rFonts w:hint="eastAsia" w:ascii="宋体" w:hAnsi="宋体" w:eastAsia="宋体" w:cs="宋体"/>
          <w:bCs/>
          <w:sz w:val="24"/>
        </w:rPr>
        <w:t xml:space="preserve">目费用考虑工程所在地常用的施工技术和施工方案计取。 </w:t>
      </w:r>
    </w:p>
    <w:p w14:paraId="433F41EB">
      <w:pPr>
        <w:snapToGrid w:val="0"/>
        <w:spacing w:line="360" w:lineRule="auto"/>
        <w:ind w:firstLine="480" w:firstLineChars="200"/>
        <w:rPr>
          <w:rFonts w:ascii="宋体" w:hAnsi="宋体" w:eastAsia="宋体" w:cs="宋体"/>
          <w:b/>
          <w:color w:val="000000"/>
          <w:sz w:val="24"/>
        </w:rPr>
      </w:pPr>
      <w:r>
        <w:rPr>
          <w:rStyle w:val="96"/>
          <w:rFonts w:hint="eastAsia" w:ascii="宋体" w:hAnsi="宋体" w:eastAsia="宋体" w:cs="宋体"/>
          <w:bCs/>
          <w:sz w:val="24"/>
        </w:rPr>
        <w:t>3.5 不可竞争费用按以下标准计取</w:t>
      </w:r>
      <w:r>
        <w:rPr>
          <w:rFonts w:hint="eastAsia" w:ascii="宋体" w:hAnsi="宋体" w:eastAsia="宋体" w:cs="宋体"/>
          <w:b/>
          <w:color w:val="000000"/>
          <w:sz w:val="24"/>
        </w:rPr>
        <w:t xml:space="preserve"> </w:t>
      </w:r>
    </w:p>
    <w:tbl>
      <w:tblPr>
        <w:tblStyle w:val="88"/>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381"/>
        <w:gridCol w:w="2127"/>
        <w:gridCol w:w="1531"/>
        <w:gridCol w:w="1531"/>
      </w:tblGrid>
      <w:tr w14:paraId="4704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82" w:type="dxa"/>
            <w:vAlign w:val="center"/>
          </w:tcPr>
          <w:p w14:paraId="17900E76">
            <w:pPr>
              <w:widowControl/>
              <w:jc w:val="center"/>
              <w:rPr>
                <w:rFonts w:ascii="宋体" w:hAnsi="宋体" w:eastAsia="宋体" w:cs="宋体"/>
                <w:snapToGrid/>
                <w:kern w:val="2"/>
                <w:sz w:val="24"/>
              </w:rPr>
            </w:pPr>
            <w:r>
              <w:rPr>
                <w:rFonts w:hint="eastAsia" w:ascii="宋体" w:hAnsi="宋体" w:eastAsia="宋体" w:cs="宋体"/>
                <w:snapToGrid/>
                <w:kern w:val="2"/>
                <w:sz w:val="24"/>
              </w:rPr>
              <w:t>序号</w:t>
            </w:r>
          </w:p>
        </w:tc>
        <w:tc>
          <w:tcPr>
            <w:tcW w:w="2381" w:type="dxa"/>
            <w:vAlign w:val="center"/>
          </w:tcPr>
          <w:p w14:paraId="1729F203">
            <w:pPr>
              <w:widowControl/>
              <w:jc w:val="center"/>
              <w:rPr>
                <w:rFonts w:ascii="宋体" w:hAnsi="宋体" w:eastAsia="宋体" w:cs="宋体"/>
                <w:snapToGrid/>
                <w:kern w:val="2"/>
                <w:sz w:val="24"/>
              </w:rPr>
            </w:pPr>
            <w:r>
              <w:rPr>
                <w:rFonts w:hint="eastAsia" w:ascii="宋体" w:hAnsi="宋体" w:eastAsia="宋体" w:cs="宋体"/>
                <w:snapToGrid/>
                <w:kern w:val="2"/>
                <w:sz w:val="24"/>
              </w:rPr>
              <w:t>费用</w:t>
            </w:r>
          </w:p>
          <w:p w14:paraId="65619535">
            <w:pPr>
              <w:widowControl/>
              <w:jc w:val="center"/>
              <w:rPr>
                <w:rFonts w:ascii="宋体" w:hAnsi="宋体" w:eastAsia="宋体" w:cs="宋体"/>
                <w:snapToGrid/>
                <w:kern w:val="2"/>
                <w:sz w:val="24"/>
              </w:rPr>
            </w:pPr>
            <w:r>
              <w:rPr>
                <w:rFonts w:hint="eastAsia" w:ascii="宋体" w:hAnsi="宋体" w:eastAsia="宋体" w:cs="宋体"/>
                <w:snapToGrid/>
                <w:kern w:val="2"/>
                <w:sz w:val="24"/>
              </w:rPr>
              <w:t>类别</w:t>
            </w:r>
          </w:p>
        </w:tc>
        <w:tc>
          <w:tcPr>
            <w:tcW w:w="2127" w:type="dxa"/>
            <w:vAlign w:val="center"/>
          </w:tcPr>
          <w:p w14:paraId="67A26549">
            <w:pPr>
              <w:widowControl/>
              <w:jc w:val="center"/>
              <w:rPr>
                <w:rFonts w:ascii="宋体" w:hAnsi="宋体" w:eastAsia="宋体" w:cs="宋体"/>
                <w:snapToGrid/>
                <w:kern w:val="2"/>
                <w:sz w:val="24"/>
              </w:rPr>
            </w:pPr>
            <w:r>
              <w:rPr>
                <w:rFonts w:hint="eastAsia" w:ascii="宋体" w:hAnsi="宋体" w:eastAsia="宋体" w:cs="宋体"/>
                <w:snapToGrid/>
                <w:kern w:val="2"/>
                <w:sz w:val="24"/>
              </w:rPr>
              <w:t>费用名称</w:t>
            </w:r>
          </w:p>
        </w:tc>
        <w:tc>
          <w:tcPr>
            <w:tcW w:w="1531" w:type="dxa"/>
            <w:vAlign w:val="center"/>
          </w:tcPr>
          <w:p w14:paraId="56E12F80">
            <w:pPr>
              <w:widowControl/>
              <w:jc w:val="center"/>
              <w:rPr>
                <w:rFonts w:ascii="宋体" w:hAnsi="宋体" w:eastAsia="宋体" w:cs="宋体"/>
                <w:snapToGrid/>
                <w:kern w:val="2"/>
                <w:sz w:val="24"/>
              </w:rPr>
            </w:pPr>
            <w:r>
              <w:rPr>
                <w:rFonts w:hint="eastAsia" w:ascii="宋体" w:hAnsi="宋体" w:eastAsia="宋体" w:cs="宋体"/>
                <w:snapToGrid/>
                <w:kern w:val="2"/>
                <w:sz w:val="24"/>
              </w:rPr>
              <w:t>计费基数</w:t>
            </w:r>
          </w:p>
        </w:tc>
        <w:tc>
          <w:tcPr>
            <w:tcW w:w="1531" w:type="dxa"/>
            <w:vAlign w:val="center"/>
          </w:tcPr>
          <w:p w14:paraId="5E7AC8A6">
            <w:pPr>
              <w:widowControl/>
              <w:jc w:val="center"/>
              <w:rPr>
                <w:rFonts w:ascii="宋体" w:hAnsi="宋体" w:eastAsia="宋体" w:cs="宋体"/>
                <w:snapToGrid/>
                <w:kern w:val="2"/>
                <w:sz w:val="24"/>
              </w:rPr>
            </w:pPr>
            <w:r>
              <w:rPr>
                <w:rFonts w:hint="eastAsia" w:ascii="宋体" w:hAnsi="宋体" w:eastAsia="宋体" w:cs="宋体"/>
                <w:snapToGrid/>
                <w:kern w:val="2"/>
                <w:sz w:val="24"/>
              </w:rPr>
              <w:t>安装%</w:t>
            </w:r>
          </w:p>
        </w:tc>
      </w:tr>
      <w:tr w14:paraId="6638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3FCDF265">
            <w:pPr>
              <w:widowControl/>
              <w:jc w:val="center"/>
              <w:rPr>
                <w:rFonts w:ascii="宋体" w:hAnsi="宋体" w:eastAsia="宋体" w:cs="宋体"/>
                <w:snapToGrid/>
                <w:kern w:val="2"/>
                <w:sz w:val="24"/>
              </w:rPr>
            </w:pPr>
            <w:r>
              <w:rPr>
                <w:rFonts w:hint="eastAsia" w:ascii="宋体" w:hAnsi="宋体" w:eastAsia="宋体" w:cs="宋体"/>
                <w:snapToGrid/>
                <w:kern w:val="2"/>
                <w:sz w:val="24"/>
              </w:rPr>
              <w:t>1</w:t>
            </w:r>
          </w:p>
        </w:tc>
        <w:tc>
          <w:tcPr>
            <w:tcW w:w="2381" w:type="dxa"/>
            <w:vMerge w:val="restart"/>
            <w:vAlign w:val="center"/>
          </w:tcPr>
          <w:p w14:paraId="13601104">
            <w:pPr>
              <w:widowControl/>
              <w:jc w:val="center"/>
              <w:rPr>
                <w:rFonts w:ascii="宋体" w:hAnsi="宋体" w:eastAsia="宋体" w:cs="宋体"/>
                <w:snapToGrid/>
                <w:kern w:val="2"/>
                <w:sz w:val="24"/>
              </w:rPr>
            </w:pPr>
            <w:r>
              <w:rPr>
                <w:rFonts w:hint="eastAsia" w:ascii="宋体" w:hAnsi="宋体" w:eastAsia="宋体" w:cs="宋体"/>
                <w:snapToGrid/>
                <w:kern w:val="2"/>
                <w:sz w:val="24"/>
              </w:rPr>
              <w:t>规 费</w:t>
            </w:r>
          </w:p>
        </w:tc>
        <w:tc>
          <w:tcPr>
            <w:tcW w:w="2127" w:type="dxa"/>
            <w:vAlign w:val="center"/>
          </w:tcPr>
          <w:p w14:paraId="49649ABB">
            <w:pPr>
              <w:widowControl/>
              <w:jc w:val="center"/>
              <w:rPr>
                <w:rFonts w:ascii="宋体" w:hAnsi="宋体" w:eastAsia="宋体" w:cs="宋体"/>
                <w:snapToGrid/>
                <w:kern w:val="2"/>
                <w:sz w:val="24"/>
              </w:rPr>
            </w:pPr>
            <w:r>
              <w:rPr>
                <w:rFonts w:hint="eastAsia" w:ascii="宋体" w:hAnsi="宋体" w:eastAsia="宋体" w:cs="宋体"/>
                <w:snapToGrid/>
                <w:kern w:val="2"/>
                <w:sz w:val="24"/>
              </w:rPr>
              <w:t>社会保险费</w:t>
            </w:r>
          </w:p>
        </w:tc>
        <w:tc>
          <w:tcPr>
            <w:tcW w:w="1531" w:type="dxa"/>
            <w:vAlign w:val="center"/>
          </w:tcPr>
          <w:p w14:paraId="550D438F">
            <w:pPr>
              <w:widowControl/>
              <w:jc w:val="center"/>
              <w:rPr>
                <w:rFonts w:ascii="宋体" w:hAnsi="宋体" w:eastAsia="宋体" w:cs="宋体"/>
                <w:snapToGrid/>
                <w:kern w:val="2"/>
                <w:sz w:val="24"/>
              </w:rPr>
            </w:pPr>
            <w:r>
              <w:rPr>
                <w:rFonts w:hint="eastAsia" w:ascii="宋体" w:hAnsi="宋体" w:eastAsia="宋体" w:cs="宋体"/>
                <w:snapToGrid/>
                <w:kern w:val="2"/>
                <w:sz w:val="24"/>
              </w:rPr>
              <w:t>A+B+C-D</w:t>
            </w:r>
          </w:p>
        </w:tc>
        <w:tc>
          <w:tcPr>
            <w:tcW w:w="1531" w:type="dxa"/>
            <w:vAlign w:val="center"/>
          </w:tcPr>
          <w:p w14:paraId="5E009543">
            <w:pPr>
              <w:widowControl/>
              <w:jc w:val="center"/>
              <w:rPr>
                <w:rFonts w:ascii="宋体" w:hAnsi="宋体" w:eastAsia="宋体" w:cs="宋体"/>
                <w:snapToGrid/>
                <w:kern w:val="2"/>
                <w:sz w:val="24"/>
              </w:rPr>
            </w:pPr>
            <w:r>
              <w:rPr>
                <w:rFonts w:hint="eastAsia" w:ascii="宋体" w:hAnsi="宋体" w:eastAsia="宋体" w:cs="宋体"/>
                <w:snapToGrid/>
                <w:kern w:val="2"/>
                <w:sz w:val="24"/>
              </w:rPr>
              <w:t>2.40</w:t>
            </w:r>
          </w:p>
        </w:tc>
      </w:tr>
      <w:tr w14:paraId="4758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1B089025">
            <w:pPr>
              <w:widowControl/>
              <w:jc w:val="center"/>
              <w:rPr>
                <w:rFonts w:ascii="宋体" w:hAnsi="宋体" w:eastAsia="宋体" w:cs="宋体"/>
                <w:snapToGrid/>
                <w:kern w:val="2"/>
                <w:sz w:val="24"/>
              </w:rPr>
            </w:pPr>
            <w:r>
              <w:rPr>
                <w:rFonts w:hint="eastAsia" w:ascii="宋体" w:hAnsi="宋体" w:eastAsia="宋体" w:cs="宋体"/>
                <w:snapToGrid/>
                <w:kern w:val="2"/>
                <w:sz w:val="24"/>
              </w:rPr>
              <w:t>2</w:t>
            </w:r>
          </w:p>
        </w:tc>
        <w:tc>
          <w:tcPr>
            <w:tcW w:w="2381" w:type="dxa"/>
            <w:vMerge w:val="continue"/>
            <w:vAlign w:val="center"/>
          </w:tcPr>
          <w:p w14:paraId="5E40C99D">
            <w:pPr>
              <w:jc w:val="center"/>
              <w:rPr>
                <w:rFonts w:ascii="宋体" w:hAnsi="宋体" w:eastAsia="宋体"/>
                <w:snapToGrid/>
                <w:kern w:val="2"/>
                <w:sz w:val="24"/>
              </w:rPr>
            </w:pPr>
          </w:p>
        </w:tc>
        <w:tc>
          <w:tcPr>
            <w:tcW w:w="2127" w:type="dxa"/>
            <w:vAlign w:val="center"/>
          </w:tcPr>
          <w:p w14:paraId="0ADB47B8">
            <w:pPr>
              <w:widowControl/>
              <w:jc w:val="center"/>
              <w:rPr>
                <w:rFonts w:ascii="宋体" w:hAnsi="宋体" w:eastAsia="宋体" w:cs="宋体"/>
                <w:snapToGrid/>
                <w:kern w:val="2"/>
                <w:sz w:val="24"/>
              </w:rPr>
            </w:pPr>
            <w:r>
              <w:rPr>
                <w:rFonts w:hint="eastAsia" w:ascii="宋体" w:hAnsi="宋体" w:eastAsia="宋体" w:cs="宋体"/>
                <w:snapToGrid/>
                <w:kern w:val="2"/>
                <w:sz w:val="24"/>
              </w:rPr>
              <w:t>住房公积金</w:t>
            </w:r>
          </w:p>
        </w:tc>
        <w:tc>
          <w:tcPr>
            <w:tcW w:w="1531" w:type="dxa"/>
            <w:vAlign w:val="center"/>
          </w:tcPr>
          <w:p w14:paraId="2D50F4F6">
            <w:pPr>
              <w:widowControl/>
              <w:jc w:val="center"/>
              <w:rPr>
                <w:rFonts w:ascii="宋体" w:hAnsi="宋体" w:eastAsia="宋体" w:cs="宋体"/>
                <w:snapToGrid/>
                <w:kern w:val="2"/>
                <w:sz w:val="24"/>
              </w:rPr>
            </w:pPr>
            <w:r>
              <w:rPr>
                <w:rFonts w:hint="eastAsia" w:ascii="宋体" w:hAnsi="宋体" w:eastAsia="宋体" w:cs="宋体"/>
                <w:snapToGrid/>
                <w:kern w:val="2"/>
                <w:sz w:val="24"/>
              </w:rPr>
              <w:t>A+B+C-D</w:t>
            </w:r>
          </w:p>
        </w:tc>
        <w:tc>
          <w:tcPr>
            <w:tcW w:w="1531" w:type="dxa"/>
            <w:vAlign w:val="center"/>
          </w:tcPr>
          <w:p w14:paraId="2D792061">
            <w:pPr>
              <w:widowControl/>
              <w:jc w:val="center"/>
              <w:rPr>
                <w:rFonts w:ascii="宋体" w:hAnsi="宋体" w:eastAsia="宋体" w:cs="宋体"/>
                <w:snapToGrid/>
                <w:kern w:val="2"/>
                <w:sz w:val="24"/>
              </w:rPr>
            </w:pPr>
            <w:r>
              <w:rPr>
                <w:rFonts w:hint="eastAsia" w:ascii="宋体" w:hAnsi="宋体" w:eastAsia="宋体" w:cs="宋体"/>
                <w:snapToGrid/>
                <w:kern w:val="2"/>
                <w:sz w:val="24"/>
              </w:rPr>
              <w:t>0.42</w:t>
            </w:r>
          </w:p>
        </w:tc>
      </w:tr>
      <w:tr w14:paraId="639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723D5B00">
            <w:pPr>
              <w:widowControl/>
              <w:jc w:val="center"/>
              <w:rPr>
                <w:rFonts w:ascii="宋体" w:hAnsi="宋体" w:eastAsia="宋体" w:cs="宋体"/>
                <w:snapToGrid/>
                <w:kern w:val="2"/>
                <w:sz w:val="24"/>
              </w:rPr>
            </w:pPr>
            <w:r>
              <w:rPr>
                <w:rFonts w:hint="eastAsia" w:ascii="宋体" w:hAnsi="宋体" w:eastAsia="宋体" w:cs="宋体"/>
                <w:snapToGrid/>
                <w:kern w:val="2"/>
                <w:sz w:val="24"/>
              </w:rPr>
              <w:t>3</w:t>
            </w:r>
          </w:p>
        </w:tc>
        <w:tc>
          <w:tcPr>
            <w:tcW w:w="2381" w:type="dxa"/>
            <w:vMerge w:val="restart"/>
            <w:vAlign w:val="center"/>
          </w:tcPr>
          <w:p w14:paraId="371B7EE0">
            <w:pPr>
              <w:widowControl/>
              <w:jc w:val="center"/>
              <w:rPr>
                <w:rFonts w:ascii="宋体" w:hAnsi="宋体" w:eastAsia="宋体" w:cs="宋体"/>
                <w:snapToGrid/>
                <w:kern w:val="2"/>
                <w:sz w:val="24"/>
              </w:rPr>
            </w:pPr>
            <w:r>
              <w:rPr>
                <w:rFonts w:hint="eastAsia" w:ascii="宋体" w:hAnsi="宋体" w:eastAsia="宋体" w:cs="宋体"/>
                <w:snapToGrid/>
                <w:kern w:val="2"/>
                <w:sz w:val="24"/>
              </w:rPr>
              <w:t>安全文明施工措施费</w:t>
            </w:r>
          </w:p>
        </w:tc>
        <w:tc>
          <w:tcPr>
            <w:tcW w:w="2127" w:type="dxa"/>
            <w:vAlign w:val="center"/>
          </w:tcPr>
          <w:p w14:paraId="035E1256">
            <w:pPr>
              <w:adjustRightInd w:val="0"/>
              <w:snapToGrid w:val="0"/>
              <w:jc w:val="center"/>
              <w:rPr>
                <w:rFonts w:ascii="宋体" w:hAnsi="宋体" w:eastAsia="宋体" w:cs="宋体"/>
                <w:snapToGrid/>
                <w:kern w:val="2"/>
                <w:sz w:val="24"/>
              </w:rPr>
            </w:pPr>
            <w:r>
              <w:rPr>
                <w:rFonts w:hint="eastAsia" w:ascii="宋体" w:hAnsi="宋体" w:eastAsia="宋体" w:cs="宋体"/>
                <w:snapToGrid/>
                <w:kern w:val="2"/>
                <w:sz w:val="24"/>
              </w:rPr>
              <w:t>基本费</w:t>
            </w:r>
          </w:p>
        </w:tc>
        <w:tc>
          <w:tcPr>
            <w:tcW w:w="1531" w:type="dxa"/>
            <w:vAlign w:val="center"/>
          </w:tcPr>
          <w:p w14:paraId="2A45A399">
            <w:pPr>
              <w:adjustRightInd w:val="0"/>
              <w:snapToGrid w:val="0"/>
              <w:jc w:val="center"/>
              <w:rPr>
                <w:rFonts w:ascii="宋体" w:hAnsi="宋体" w:eastAsia="宋体" w:cs="宋体"/>
                <w:snapToGrid/>
                <w:kern w:val="2"/>
                <w:sz w:val="24"/>
              </w:rPr>
            </w:pPr>
            <w:r>
              <w:rPr>
                <w:rFonts w:hint="eastAsia" w:ascii="宋体" w:hAnsi="宋体" w:eastAsia="宋体" w:cs="宋体"/>
                <w:snapToGrid/>
                <w:kern w:val="2"/>
                <w:sz w:val="24"/>
              </w:rPr>
              <w:t>A+</w:t>
            </w:r>
            <w:r>
              <w:rPr>
                <w:rFonts w:ascii="宋体" w:hAnsi="宋体" w:eastAsia="宋体" w:cs="宋体"/>
                <w:snapToGrid/>
                <w:kern w:val="2"/>
                <w:sz w:val="24"/>
              </w:rPr>
              <w:t>E</w:t>
            </w:r>
            <w:r>
              <w:rPr>
                <w:rFonts w:hint="eastAsia" w:ascii="宋体" w:hAnsi="宋体" w:eastAsia="宋体" w:cs="宋体"/>
                <w:snapToGrid/>
                <w:kern w:val="2"/>
                <w:sz w:val="24"/>
              </w:rPr>
              <w:t>-D</w:t>
            </w:r>
          </w:p>
        </w:tc>
        <w:tc>
          <w:tcPr>
            <w:tcW w:w="1531" w:type="dxa"/>
            <w:vAlign w:val="center"/>
          </w:tcPr>
          <w:p w14:paraId="6D932384">
            <w:pPr>
              <w:adjustRightInd w:val="0"/>
              <w:snapToGrid w:val="0"/>
              <w:jc w:val="center"/>
              <w:rPr>
                <w:rFonts w:ascii="宋体" w:hAnsi="宋体" w:eastAsia="宋体" w:cs="宋体"/>
                <w:snapToGrid/>
                <w:kern w:val="2"/>
                <w:sz w:val="24"/>
              </w:rPr>
            </w:pPr>
            <w:r>
              <w:rPr>
                <w:rFonts w:hint="eastAsia" w:ascii="宋体" w:hAnsi="宋体" w:eastAsia="宋体" w:cs="宋体"/>
                <w:snapToGrid/>
                <w:kern w:val="2"/>
                <w:sz w:val="24"/>
              </w:rPr>
              <w:t>1.50</w:t>
            </w:r>
          </w:p>
        </w:tc>
      </w:tr>
      <w:tr w14:paraId="2842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52252CE2">
            <w:pPr>
              <w:widowControl/>
              <w:jc w:val="center"/>
              <w:rPr>
                <w:rFonts w:ascii="宋体" w:hAnsi="宋体" w:eastAsia="宋体" w:cs="宋体"/>
                <w:snapToGrid/>
                <w:kern w:val="2"/>
                <w:sz w:val="24"/>
              </w:rPr>
            </w:pPr>
            <w:r>
              <w:rPr>
                <w:rFonts w:hint="eastAsia" w:ascii="宋体" w:hAnsi="宋体" w:eastAsia="宋体" w:cs="宋体"/>
                <w:snapToGrid/>
                <w:kern w:val="2"/>
                <w:sz w:val="24"/>
              </w:rPr>
              <w:t>4</w:t>
            </w:r>
          </w:p>
        </w:tc>
        <w:tc>
          <w:tcPr>
            <w:tcW w:w="2381" w:type="dxa"/>
            <w:vMerge w:val="continue"/>
            <w:vAlign w:val="center"/>
          </w:tcPr>
          <w:p w14:paraId="54FB4C2C">
            <w:pPr>
              <w:jc w:val="center"/>
              <w:rPr>
                <w:rFonts w:ascii="宋体" w:hAnsi="宋体" w:eastAsia="宋体" w:cs="宋体"/>
                <w:snapToGrid/>
                <w:kern w:val="2"/>
                <w:sz w:val="24"/>
              </w:rPr>
            </w:pPr>
          </w:p>
        </w:tc>
        <w:tc>
          <w:tcPr>
            <w:tcW w:w="2127" w:type="dxa"/>
            <w:vAlign w:val="center"/>
          </w:tcPr>
          <w:p w14:paraId="2CD82273">
            <w:pPr>
              <w:jc w:val="center"/>
              <w:rPr>
                <w:rFonts w:ascii="宋体" w:hAnsi="宋体" w:eastAsia="宋体" w:cs="宋体"/>
                <w:snapToGrid/>
                <w:kern w:val="2"/>
                <w:sz w:val="24"/>
              </w:rPr>
            </w:pPr>
            <w:r>
              <w:rPr>
                <w:rFonts w:hint="eastAsia" w:ascii="宋体" w:hAnsi="宋体" w:eastAsia="宋体" w:cs="宋体"/>
                <w:snapToGrid/>
                <w:kern w:val="2"/>
                <w:sz w:val="24"/>
              </w:rPr>
              <w:t>扬尘污染防治增加费</w:t>
            </w:r>
          </w:p>
        </w:tc>
        <w:tc>
          <w:tcPr>
            <w:tcW w:w="1531" w:type="dxa"/>
            <w:vAlign w:val="center"/>
          </w:tcPr>
          <w:p w14:paraId="5523CF7D">
            <w:pPr>
              <w:jc w:val="center"/>
              <w:rPr>
                <w:rFonts w:ascii="宋体" w:hAnsi="宋体" w:eastAsia="宋体" w:cs="宋体"/>
                <w:snapToGrid/>
                <w:kern w:val="2"/>
                <w:sz w:val="24"/>
              </w:rPr>
            </w:pPr>
            <w:r>
              <w:rPr>
                <w:rFonts w:hint="eastAsia" w:ascii="宋体" w:hAnsi="宋体" w:eastAsia="宋体" w:cs="宋体"/>
                <w:snapToGrid/>
                <w:kern w:val="2"/>
                <w:sz w:val="24"/>
              </w:rPr>
              <w:t>A+</w:t>
            </w:r>
            <w:r>
              <w:rPr>
                <w:rFonts w:ascii="宋体" w:hAnsi="宋体" w:eastAsia="宋体" w:cs="宋体"/>
                <w:snapToGrid/>
                <w:kern w:val="2"/>
                <w:sz w:val="24"/>
              </w:rPr>
              <w:t>E</w:t>
            </w:r>
            <w:r>
              <w:rPr>
                <w:rFonts w:hint="eastAsia" w:ascii="宋体" w:hAnsi="宋体" w:eastAsia="宋体" w:cs="宋体"/>
                <w:snapToGrid/>
                <w:kern w:val="2"/>
                <w:sz w:val="24"/>
              </w:rPr>
              <w:t>-D</w:t>
            </w:r>
          </w:p>
        </w:tc>
        <w:tc>
          <w:tcPr>
            <w:tcW w:w="1531" w:type="dxa"/>
            <w:vAlign w:val="center"/>
          </w:tcPr>
          <w:p w14:paraId="1A4637D5">
            <w:pPr>
              <w:jc w:val="center"/>
              <w:rPr>
                <w:rFonts w:ascii="宋体" w:hAnsi="宋体" w:eastAsia="宋体" w:cs="宋体"/>
                <w:snapToGrid/>
                <w:kern w:val="2"/>
                <w:sz w:val="24"/>
              </w:rPr>
            </w:pPr>
            <w:r>
              <w:rPr>
                <w:rFonts w:hint="eastAsia" w:ascii="宋体" w:hAnsi="宋体" w:eastAsia="宋体" w:cs="宋体"/>
                <w:snapToGrid/>
                <w:kern w:val="2"/>
                <w:sz w:val="24"/>
              </w:rPr>
              <w:t>0.21</w:t>
            </w:r>
          </w:p>
        </w:tc>
      </w:tr>
      <w:tr w14:paraId="4AA2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2" w:type="dxa"/>
            <w:vAlign w:val="center"/>
          </w:tcPr>
          <w:p w14:paraId="5076B759">
            <w:pPr>
              <w:widowControl/>
              <w:jc w:val="center"/>
              <w:rPr>
                <w:rFonts w:ascii="宋体" w:hAnsi="宋体" w:eastAsia="宋体" w:cs="宋体"/>
                <w:snapToGrid/>
                <w:kern w:val="2"/>
                <w:sz w:val="24"/>
              </w:rPr>
            </w:pPr>
            <w:r>
              <w:rPr>
                <w:rFonts w:hint="eastAsia" w:ascii="宋体" w:hAnsi="宋体" w:eastAsia="宋体" w:cs="宋体"/>
                <w:snapToGrid/>
                <w:kern w:val="2"/>
                <w:sz w:val="24"/>
              </w:rPr>
              <w:t>5</w:t>
            </w:r>
          </w:p>
        </w:tc>
        <w:tc>
          <w:tcPr>
            <w:tcW w:w="2381" w:type="dxa"/>
            <w:vAlign w:val="center"/>
          </w:tcPr>
          <w:p w14:paraId="2F9B2742">
            <w:pPr>
              <w:widowControl/>
              <w:jc w:val="center"/>
              <w:rPr>
                <w:rFonts w:ascii="宋体" w:hAnsi="宋体" w:eastAsia="宋体" w:cs="宋体"/>
                <w:snapToGrid/>
                <w:kern w:val="2"/>
                <w:sz w:val="24"/>
              </w:rPr>
            </w:pPr>
            <w:r>
              <w:rPr>
                <w:rFonts w:hint="eastAsia" w:ascii="宋体" w:hAnsi="宋体" w:eastAsia="宋体" w:cs="宋体"/>
                <w:snapToGrid/>
                <w:kern w:val="2"/>
                <w:sz w:val="24"/>
              </w:rPr>
              <w:t>税  金</w:t>
            </w:r>
          </w:p>
        </w:tc>
        <w:tc>
          <w:tcPr>
            <w:tcW w:w="2127" w:type="dxa"/>
            <w:vAlign w:val="center"/>
          </w:tcPr>
          <w:p w14:paraId="21368507">
            <w:pPr>
              <w:widowControl/>
              <w:jc w:val="center"/>
              <w:rPr>
                <w:rFonts w:ascii="宋体" w:hAnsi="宋体" w:eastAsia="宋体" w:cs="宋体"/>
                <w:snapToGrid/>
                <w:kern w:val="2"/>
                <w:sz w:val="24"/>
              </w:rPr>
            </w:pPr>
            <w:r>
              <w:rPr>
                <w:rFonts w:hint="eastAsia" w:ascii="宋体" w:hAnsi="宋体" w:eastAsia="宋体" w:cs="宋体"/>
                <w:snapToGrid/>
                <w:kern w:val="2"/>
                <w:sz w:val="24"/>
              </w:rPr>
              <w:t>税   金</w:t>
            </w:r>
          </w:p>
        </w:tc>
        <w:tc>
          <w:tcPr>
            <w:tcW w:w="1531" w:type="dxa"/>
            <w:vAlign w:val="center"/>
          </w:tcPr>
          <w:p w14:paraId="5FB48D1F">
            <w:pPr>
              <w:widowControl/>
              <w:jc w:val="center"/>
              <w:rPr>
                <w:rFonts w:ascii="宋体" w:hAnsi="宋体" w:eastAsia="宋体" w:cs="宋体"/>
                <w:snapToGrid/>
                <w:kern w:val="2"/>
                <w:sz w:val="24"/>
              </w:rPr>
            </w:pPr>
            <w:r>
              <w:rPr>
                <w:rFonts w:hint="eastAsia" w:ascii="宋体" w:hAnsi="宋体" w:eastAsia="宋体" w:cs="宋体"/>
                <w:snapToGrid/>
                <w:kern w:val="2"/>
                <w:sz w:val="24"/>
              </w:rPr>
              <w:t>税前造价</w:t>
            </w:r>
          </w:p>
        </w:tc>
        <w:tc>
          <w:tcPr>
            <w:tcW w:w="1531" w:type="dxa"/>
            <w:vAlign w:val="center"/>
          </w:tcPr>
          <w:p w14:paraId="0BEDA409">
            <w:pPr>
              <w:widowControl/>
              <w:jc w:val="center"/>
              <w:rPr>
                <w:rFonts w:ascii="宋体" w:hAnsi="宋体" w:eastAsia="宋体" w:cs="宋体"/>
                <w:snapToGrid/>
                <w:kern w:val="2"/>
                <w:sz w:val="24"/>
              </w:rPr>
            </w:pPr>
            <w:r>
              <w:rPr>
                <w:rFonts w:hint="eastAsia" w:ascii="宋体" w:hAnsi="宋体" w:eastAsia="宋体" w:cs="宋体"/>
                <w:snapToGrid/>
                <w:kern w:val="2"/>
                <w:sz w:val="24"/>
              </w:rPr>
              <w:t>9.00</w:t>
            </w:r>
          </w:p>
        </w:tc>
      </w:tr>
    </w:tbl>
    <w:p w14:paraId="01B81B07">
      <w:pPr>
        <w:snapToGrid w:val="0"/>
        <w:spacing w:line="360" w:lineRule="auto"/>
        <w:ind w:firstLine="472" w:firstLineChars="196"/>
        <w:rPr>
          <w:rFonts w:ascii="宋体" w:hAnsi="宋体" w:eastAsia="宋体" w:cs="宋体"/>
          <w:sz w:val="24"/>
        </w:rPr>
      </w:pPr>
      <w:r>
        <w:rPr>
          <w:rFonts w:hint="eastAsia" w:ascii="宋体" w:hAnsi="宋体" w:eastAsia="宋体" w:cs="宋体"/>
          <w:b/>
          <w:sz w:val="24"/>
        </w:rPr>
        <w:t>注：1、计算基数：A为分部分项工程量清单费用，B为措施项目清单费用，C其它项目的费用，D除税工程设备费，E单价措施项目费。</w:t>
      </w:r>
    </w:p>
    <w:p w14:paraId="57DAD09C">
      <w:pPr>
        <w:snapToGrid w:val="0"/>
        <w:spacing w:line="360" w:lineRule="auto"/>
        <w:ind w:firstLine="954" w:firstLineChars="396"/>
        <w:rPr>
          <w:rFonts w:ascii="宋体" w:hAnsi="宋体" w:eastAsia="宋体" w:cs="宋体"/>
          <w:b/>
          <w:sz w:val="24"/>
        </w:rPr>
      </w:pPr>
      <w:r>
        <w:rPr>
          <w:rFonts w:hint="eastAsia" w:ascii="宋体" w:hAnsi="宋体" w:eastAsia="宋体" w:cs="宋体"/>
          <w:b/>
          <w:sz w:val="24"/>
        </w:rPr>
        <w:t>2、安全文明施工措施费最终以有关部门核定的为准，否则在总价中扣除。</w:t>
      </w:r>
    </w:p>
    <w:p w14:paraId="2BB29289">
      <w:pPr>
        <w:tabs>
          <w:tab w:val="left" w:pos="0"/>
          <w:tab w:val="left" w:pos="993"/>
          <w:tab w:val="left" w:pos="1134"/>
        </w:tabs>
        <w:snapToGrid w:val="0"/>
        <w:spacing w:line="360" w:lineRule="auto"/>
        <w:ind w:firstLine="482" w:firstLineChars="200"/>
        <w:rPr>
          <w:rStyle w:val="96"/>
          <w:rFonts w:ascii="宋体" w:hAnsi="宋体" w:eastAsia="宋体" w:cs="宋体"/>
          <w:bCs/>
          <w:sz w:val="24"/>
        </w:rPr>
      </w:pPr>
      <w:r>
        <w:rPr>
          <w:rFonts w:hint="eastAsia" w:ascii="宋体" w:hAnsi="宋体" w:eastAsia="宋体" w:cs="宋体"/>
          <w:b/>
          <w:sz w:val="24"/>
        </w:rPr>
        <w:t>3.5.</w:t>
      </w:r>
      <w:r>
        <w:rPr>
          <w:rFonts w:hint="eastAsia" w:ascii="宋体" w:hAnsi="宋体" w:eastAsia="宋体" w:cs="宋体"/>
          <w:b/>
          <w:sz w:val="24"/>
          <w:lang w:val="en-US" w:eastAsia="zh-CN"/>
        </w:rPr>
        <w:t>1</w:t>
      </w:r>
      <w:r>
        <w:rPr>
          <w:rFonts w:hint="eastAsia" w:ascii="宋体" w:hAnsi="宋体" w:eastAsia="宋体" w:cs="宋体"/>
          <w:bCs/>
          <w:sz w:val="24"/>
        </w:rPr>
        <w:t>其它有关费率</w:t>
      </w:r>
      <w:r>
        <w:rPr>
          <w:rFonts w:hint="eastAsia" w:ascii="宋体" w:hAnsi="宋体" w:eastAsia="宋体" w:cs="宋体"/>
          <w:b/>
          <w:sz w:val="24"/>
        </w:rPr>
        <w:t>：详见工程量清单。</w:t>
      </w:r>
    </w:p>
    <w:p w14:paraId="05E48B0E">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4、磋商响应报价的计价依据</w:t>
      </w:r>
    </w:p>
    <w:p w14:paraId="1616AC25">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按照国家统一的工程量清单计价规范，配套使用江苏省建筑与装饰、安装工程定额、费用计算规则和项目指引，由采购单位提供工程量，各供应商自主报价确定工程造价的计价方式。</w:t>
      </w:r>
    </w:p>
    <w:p w14:paraId="7F0D4F1B">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5、磋商响应报价方式：</w:t>
      </w:r>
    </w:p>
    <w:p w14:paraId="3D72B9ED">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本工程项目采用</w:t>
      </w:r>
      <w:r>
        <w:rPr>
          <w:rFonts w:hint="eastAsia" w:ascii="宋体" w:hAnsi="宋体" w:eastAsia="宋体" w:cs="宋体"/>
          <w:b/>
          <w:bCs/>
          <w:color w:val="000000"/>
          <w:sz w:val="24"/>
          <w:u w:val="single"/>
        </w:rPr>
        <w:t>固定单价报价</w:t>
      </w:r>
      <w:r>
        <w:rPr>
          <w:rFonts w:hint="eastAsia" w:ascii="宋体" w:hAnsi="宋体" w:eastAsia="宋体" w:cs="宋体"/>
          <w:bCs/>
          <w:color w:val="000000"/>
          <w:sz w:val="24"/>
        </w:rPr>
        <w:t>方式。工程量的风险由采购单位承担，价格风险在约定风险范围内的，由成交供应商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793E0D9F">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6、磋商响应报价编制要求</w:t>
      </w:r>
      <w:bookmarkStart w:id="83" w:name="_Toc288209247"/>
      <w:bookmarkStart w:id="84" w:name="_Toc268498924"/>
      <w:bookmarkStart w:id="85" w:name="_Toc289792062"/>
    </w:p>
    <w:p w14:paraId="6D85A5F6">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6.1供应商按本企业定额，无企业定额的，参照招标控制价编制依据。</w:t>
      </w:r>
    </w:p>
    <w:p w14:paraId="66B5C3B4">
      <w:pPr>
        <w:adjustRightInd w:val="0"/>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6.2采用工程量清单计价方式，供应商不得采用总价让利或以总价百分比让利等办法进行磋商响应报价。</w:t>
      </w:r>
    </w:p>
    <w:p w14:paraId="41A83D8A">
      <w:pPr>
        <w:snapToGrid w:val="0"/>
        <w:spacing w:line="360" w:lineRule="auto"/>
        <w:ind w:firstLine="480" w:firstLineChars="200"/>
        <w:rPr>
          <w:rFonts w:ascii="宋体" w:hAnsi="宋体" w:eastAsia="宋体" w:cs="宋体"/>
          <w:bCs/>
          <w:color w:val="000000"/>
          <w:sz w:val="24"/>
        </w:rPr>
      </w:pPr>
      <w:r>
        <w:rPr>
          <w:rFonts w:hint="eastAsia" w:ascii="宋体" w:hAnsi="宋体" w:eastAsia="宋体" w:cs="宋体"/>
          <w:bCs/>
          <w:color w:val="000000"/>
          <w:sz w:val="24"/>
        </w:rPr>
        <w:t>6.3除供应商自行补充的措施项目外，磋商响应报价的项目编码、项目名称、计量单位、工程量必须与采购单位提供的一致。</w:t>
      </w:r>
    </w:p>
    <w:p w14:paraId="0AD29BE1">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6.4工程量清单中供应商没有填入单价或价格的子目，其费用视为已分摊在工程量清单中其他子目的单价或价格之中。</w:t>
      </w:r>
    </w:p>
    <w:p w14:paraId="57C47F25">
      <w:pPr>
        <w:snapToGrid w:val="0"/>
        <w:spacing w:line="360" w:lineRule="auto"/>
        <w:ind w:firstLine="482"/>
        <w:rPr>
          <w:rFonts w:ascii="宋体" w:hAnsi="宋体" w:eastAsia="宋体" w:cs="宋体"/>
          <w:color w:val="000000"/>
          <w:sz w:val="24"/>
        </w:rPr>
      </w:pPr>
      <w:r>
        <w:rPr>
          <w:rFonts w:hint="eastAsia" w:ascii="宋体" w:hAnsi="宋体" w:eastAsia="宋体" w:cs="宋体"/>
          <w:color w:val="000000"/>
          <w:sz w:val="24"/>
        </w:rPr>
        <w:t>6.5</w:t>
      </w:r>
      <w:r>
        <w:rPr>
          <w:rFonts w:hint="eastAsia" w:ascii="宋体" w:hAnsi="宋体" w:eastAsia="宋体" w:cs="宋体"/>
          <w:bCs/>
          <w:color w:val="000000"/>
          <w:sz w:val="24"/>
        </w:rPr>
        <w:t>磋商响应报价</w:t>
      </w:r>
      <w:r>
        <w:rPr>
          <w:rFonts w:hint="eastAsia" w:ascii="宋体" w:hAnsi="宋体" w:eastAsia="宋体" w:cs="宋体"/>
          <w:color w:val="000000"/>
          <w:sz w:val="24"/>
        </w:rPr>
        <w:t>应根据磋商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磋商响应报价中所报设备、材料其规格、尺寸、等级不得低于清单的要求。成交供应商应根据清单确定的标准、等级、规格组织施工。</w:t>
      </w:r>
    </w:p>
    <w:p w14:paraId="70B1C0C5">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6.6供应商不得擅自改动采购单位提供的工程量清单上的内容。若对提供的工程量清单内容有疑义，请将书面疑问材料在规定的时间和方法向</w:t>
      </w:r>
      <w:r>
        <w:rPr>
          <w:rFonts w:hint="eastAsia" w:ascii="宋体" w:hAnsi="宋体" w:eastAsia="宋体" w:cs="宋体"/>
          <w:snapToGrid/>
          <w:kern w:val="2"/>
          <w:sz w:val="24"/>
        </w:rPr>
        <w:t>采购代理机构</w:t>
      </w:r>
      <w:r>
        <w:rPr>
          <w:rFonts w:hint="eastAsia" w:ascii="宋体" w:hAnsi="宋体" w:eastAsia="宋体" w:cs="宋体"/>
          <w:color w:val="000000"/>
          <w:sz w:val="24"/>
        </w:rPr>
        <w:t>提出，其中清单内容的书面疑问材料经采购单位组织核实确认后提供最终工程量清单，供应商在磋商响应报价时，不得增减清单工程量。</w:t>
      </w:r>
    </w:p>
    <w:p w14:paraId="595B2DE6">
      <w:pPr>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rPr>
        <w:t>6.7本工程施工期间涉及环保、城市卫生、市政、居委会、派出所等相关部门收取的费用，以及夜间文明施工、保护周边地下管线和架空线的安全的费用等，供应商</w:t>
      </w:r>
      <w:r>
        <w:rPr>
          <w:rFonts w:hint="eastAsia" w:ascii="宋体" w:hAnsi="宋体" w:eastAsia="宋体" w:cs="宋体"/>
          <w:sz w:val="24"/>
        </w:rPr>
        <w:t>均应综合考虑在磋商响应报价中，竣工结算时一律不作调整。</w:t>
      </w:r>
    </w:p>
    <w:p w14:paraId="301E4026">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rPr>
        <w:t>6.8</w:t>
      </w:r>
      <w:r>
        <w:rPr>
          <w:rFonts w:hint="eastAsia" w:ascii="宋体" w:hAnsi="宋体" w:eastAsia="宋体" w:cs="宋体"/>
          <w:color w:val="000000"/>
          <w:sz w:val="24"/>
        </w:rPr>
        <w:t>供应商</w:t>
      </w:r>
      <w:r>
        <w:rPr>
          <w:rFonts w:hint="eastAsia" w:ascii="宋体" w:hAnsi="宋体" w:eastAsia="宋体" w:cs="宋体"/>
          <w:sz w:val="24"/>
        </w:rPr>
        <w:t>应认真踏勘施工现场，考虑因各种困难因素所发生的一切费用由</w:t>
      </w:r>
      <w:r>
        <w:rPr>
          <w:rFonts w:hint="eastAsia" w:ascii="宋体" w:hAnsi="宋体" w:eastAsia="宋体" w:cs="宋体"/>
          <w:color w:val="000000"/>
          <w:sz w:val="24"/>
        </w:rPr>
        <w:t>供应商</w:t>
      </w:r>
      <w:r>
        <w:rPr>
          <w:rFonts w:hint="eastAsia" w:ascii="宋体" w:hAnsi="宋体" w:eastAsia="宋体" w:cs="宋体"/>
          <w:sz w:val="24"/>
        </w:rPr>
        <w:t>自行考虑，并在</w:t>
      </w:r>
      <w:r>
        <w:rPr>
          <w:rFonts w:hint="eastAsia" w:ascii="宋体" w:hAnsi="宋体" w:eastAsia="宋体" w:cs="宋体"/>
          <w:color w:val="000000"/>
          <w:sz w:val="24"/>
        </w:rPr>
        <w:t>磋商响应报价中予以体现，以后不得以此为由提出额外增加费用的要求。水、电接驳，按发包人指定地点，定量表记、接至施工现场管线由供应商自行考虑，费用包含在磋商响应报价中。现场自来水及电源接入点现场具体位置由供应商现场踏勘。</w:t>
      </w:r>
    </w:p>
    <w:p w14:paraId="55B181F1">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6.9施工场地周围地下管线和临近建筑物及构筑物的保护，由成交供应商采取保护措施，协调处理，费用包含在磋商响应报价中，竣工结算时一律不作调整。</w:t>
      </w:r>
    </w:p>
    <w:p w14:paraId="5D618ED4">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6.10因施工场地狭小发生的一切费用由各供应商自行考虑，所有费用包含在磋商响应报价中，竣工结算时一律不作调整。</w:t>
      </w:r>
    </w:p>
    <w:p w14:paraId="5E8DA4B9">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 xml:space="preserve">6.11赶工费、按质论价费、二次搬运费、特殊条件下施工增加费、冬雨季施工增加费、夜间施工增加费、临时设施费、已完工程及设备保护费、检验试验费等措施费由各供应商自行考虑，列入磋商响应报价，一次性包定，结算时一律不作调整。 </w:t>
      </w:r>
    </w:p>
    <w:p w14:paraId="2E557D99">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6.12本工程垂直运输及安装脚手架由供应商自行考虑，并计入报价，结算时一律不做调整。</w:t>
      </w:r>
    </w:p>
    <w:p w14:paraId="450448ED">
      <w:pPr>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rPr>
        <w:t>6.13</w:t>
      </w:r>
      <w:r>
        <w:rPr>
          <w:rFonts w:hint="eastAsia" w:ascii="宋体" w:hAnsi="宋体" w:eastAsia="宋体" w:cs="宋体"/>
          <w:sz w:val="24"/>
        </w:rPr>
        <w:t>与其他承包商间的协调、配合、通信关系，由成交供应商自行解决，确保各分项工程满足设计图纸、验收规范等要求，发生的费用由成交供应商自行承担，并相互做好成品保护工作，并无条件接受采购单位的管理，成交供应商应确保各分项工程满足设计图纸、验收规范等要求，减少工序交叉施工的影响，并做好成品保护工作，采购单位不再另行支付任何涉及工序交叉影响的费用。</w:t>
      </w:r>
    </w:p>
    <w:p w14:paraId="1AB0C6D0">
      <w:pPr>
        <w:snapToGrid w:val="0"/>
        <w:spacing w:line="360" w:lineRule="auto"/>
        <w:ind w:firstLine="480" w:firstLineChars="200"/>
        <w:jc w:val="left"/>
        <w:rPr>
          <w:rFonts w:ascii="宋体" w:hAnsi="宋体" w:eastAsia="宋体" w:cs="宋体"/>
          <w:sz w:val="24"/>
        </w:rPr>
      </w:pPr>
      <w:r>
        <w:rPr>
          <w:rFonts w:hint="eastAsia" w:ascii="宋体" w:hAnsi="宋体" w:eastAsia="宋体" w:cs="宋体"/>
          <w:color w:val="000000"/>
          <w:sz w:val="24"/>
        </w:rPr>
        <w:t>6.14</w:t>
      </w:r>
      <w:r>
        <w:rPr>
          <w:rFonts w:hint="eastAsia" w:ascii="宋体" w:hAnsi="宋体" w:eastAsia="宋体" w:cs="宋体"/>
          <w:sz w:val="24"/>
        </w:rPr>
        <w:t>成交供应商</w:t>
      </w:r>
      <w:r>
        <w:rPr>
          <w:rFonts w:hint="eastAsia" w:ascii="宋体" w:hAnsi="宋体" w:eastAsia="宋体" w:cs="宋体"/>
          <w:color w:val="000000"/>
          <w:sz w:val="24"/>
        </w:rPr>
        <w:t>应</w:t>
      </w:r>
      <w:r>
        <w:rPr>
          <w:rFonts w:hint="eastAsia" w:ascii="宋体" w:hAnsi="宋体" w:eastAsia="宋体" w:cs="宋体"/>
          <w:sz w:val="24"/>
        </w:rPr>
        <w:t>独立、有效地做好该工程周边的有关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磋商响应报价，工程竣工结算时不作调整。</w:t>
      </w:r>
    </w:p>
    <w:p w14:paraId="18CD0257">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sz w:val="24"/>
        </w:rPr>
        <w:t>6.15供应商应自行踏勘施工现场，并在磋商响应报价中综合考虑施工机械设备、材料进出场、二次搬运等涉及所有费用并</w:t>
      </w:r>
      <w:r>
        <w:rPr>
          <w:rFonts w:hint="eastAsia" w:ascii="宋体" w:hAnsi="宋体" w:eastAsia="宋体" w:cs="宋体"/>
          <w:color w:val="000000"/>
          <w:sz w:val="24"/>
        </w:rPr>
        <w:t>计入报价，成交后不得以场地现状及条件为由提出额外要求和增加工程费用，采购单位不再对此项费用另行签证。</w:t>
      </w:r>
    </w:p>
    <w:p w14:paraId="3C458102">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6.16作为一个有经验的承包商，磋商响应报价时应考虑施工过程中可能发生的各种风险因素，在整个工程施工过程中，若发生对周边相关构筑物、设施损坏的，</w:t>
      </w:r>
      <w:r>
        <w:rPr>
          <w:rFonts w:hint="eastAsia" w:ascii="宋体" w:hAnsi="宋体" w:eastAsia="宋体" w:cs="宋体"/>
          <w:sz w:val="24"/>
        </w:rPr>
        <w:t>成交供应商</w:t>
      </w:r>
      <w:r>
        <w:rPr>
          <w:rFonts w:hint="eastAsia" w:ascii="宋体" w:hAnsi="宋体" w:eastAsia="宋体" w:cs="宋体"/>
          <w:color w:val="000000"/>
          <w:sz w:val="24"/>
        </w:rPr>
        <w:t>必须负责更换或修复，直至得到采购单位的认可，期间涉及的所有费用由供应商承担，采购单位不再另行支付该项费用，结算时一律不作调整。</w:t>
      </w:r>
    </w:p>
    <w:p w14:paraId="0E7835D2">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6.17在实际施工中，采购单位可以无条件要求施工单位更换不符合要求的产品，购进的材料设备与提供的样品不一致时，由</w:t>
      </w:r>
      <w:r>
        <w:rPr>
          <w:rFonts w:hint="eastAsia" w:ascii="宋体" w:hAnsi="宋体" w:eastAsia="宋体" w:cs="宋体"/>
          <w:sz w:val="24"/>
        </w:rPr>
        <w:t>成交供应商</w:t>
      </w:r>
      <w:r>
        <w:rPr>
          <w:rFonts w:hint="eastAsia" w:ascii="宋体" w:hAnsi="宋体" w:eastAsia="宋体" w:cs="宋体"/>
          <w:color w:val="000000"/>
          <w:sz w:val="24"/>
        </w:rPr>
        <w:t>无条件退货，如因使用不符合国家标准及各项指标的材料，由此引起的相关费用由</w:t>
      </w:r>
      <w:r>
        <w:rPr>
          <w:rFonts w:hint="eastAsia" w:ascii="宋体" w:hAnsi="宋体" w:eastAsia="宋体" w:cs="宋体"/>
          <w:sz w:val="24"/>
        </w:rPr>
        <w:t>成交供应商</w:t>
      </w:r>
      <w:r>
        <w:rPr>
          <w:rFonts w:hint="eastAsia" w:ascii="宋体" w:hAnsi="宋体" w:eastAsia="宋体" w:cs="宋体"/>
          <w:color w:val="000000"/>
          <w:sz w:val="24"/>
        </w:rPr>
        <w:t>承担，结算时一律不作调整。</w:t>
      </w:r>
    </w:p>
    <w:p w14:paraId="6D8DA6C8">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6.18</w:t>
      </w:r>
      <w:r>
        <w:rPr>
          <w:rFonts w:hint="eastAsia" w:ascii="宋体" w:hAnsi="宋体" w:eastAsia="宋体" w:cs="宋体"/>
          <w:color w:val="000000"/>
          <w:sz w:val="24"/>
        </w:rPr>
        <w:t>供应商根据施工现场情况及现行规定，自行根据可行的施工方案对措施费自行增加清单进行报价，结算时，除工程变更引起施工方案改变外，</w:t>
      </w:r>
      <w:r>
        <w:rPr>
          <w:rFonts w:hint="eastAsia" w:ascii="宋体" w:hAnsi="宋体" w:eastAsia="宋体" w:cs="宋体"/>
          <w:sz w:val="24"/>
        </w:rPr>
        <w:t>成交供应商</w:t>
      </w:r>
      <w:r>
        <w:rPr>
          <w:rFonts w:hint="eastAsia" w:ascii="宋体" w:hAnsi="宋体" w:eastAsia="宋体" w:cs="宋体"/>
          <w:color w:val="000000"/>
          <w:sz w:val="24"/>
        </w:rPr>
        <w:t>不得以采购工程</w:t>
      </w:r>
      <w:r>
        <w:rPr>
          <w:rFonts w:hint="eastAsia" w:ascii="宋体" w:hAnsi="宋体" w:eastAsia="宋体" w:cs="宋体"/>
          <w:sz w:val="24"/>
        </w:rPr>
        <w:t>措施项目缺项为由要求新增措施项目，结算时一律不作调整。</w:t>
      </w:r>
    </w:p>
    <w:p w14:paraId="1411FA93">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6.19若供应商在磋商响应报价时擅自改变磋商文件及清单内容，评审时未被发现，实际施工时均按磋商文件及清单内容执行，结算时不予调整。</w:t>
      </w:r>
    </w:p>
    <w:p w14:paraId="3A1DE923">
      <w:pPr>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6.20供应商确定磋商响应报价，同时应考虑合同中包含的风险、责任等各项费用。</w:t>
      </w:r>
    </w:p>
    <w:p w14:paraId="5F09CC3D">
      <w:pPr>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6.21</w:t>
      </w:r>
      <w:r>
        <w:rPr>
          <w:rFonts w:hint="eastAsia" w:ascii="宋体" w:hAnsi="宋体" w:eastAsia="宋体" w:cs="宋体"/>
          <w:sz w:val="24"/>
        </w:rPr>
        <w:t>供应商工地踏勘应充分了解工地位</w:t>
      </w:r>
      <w:r>
        <w:rPr>
          <w:rFonts w:hint="eastAsia" w:ascii="宋体" w:hAnsi="宋体" w:eastAsia="宋体" w:cs="宋体"/>
          <w:color w:val="000000"/>
          <w:sz w:val="24"/>
        </w:rPr>
        <w:t>置情况，道路、储存空间、装卸限制及任何其它足以影响报价的情况，任何忽视或误解工地情况而导致的索赔及工期延长申请将不被批准。</w:t>
      </w:r>
    </w:p>
    <w:p w14:paraId="041F25E7">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6.22成交供应商不得拒绝完成采购单位在施工地点范围内变更或要求增加和减少的工程内容。</w:t>
      </w:r>
    </w:p>
    <w:p w14:paraId="3DAA3448">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6.23报价书中的工程数量乘以综合单价必须等于合价。</w:t>
      </w:r>
    </w:p>
    <w:p w14:paraId="1C7DA3EE">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6.24磋商确定磋商响应报价时应考虑施工过程中运出的建筑垃圾等必须运出施工现场范围以外，否则，除须接受相关部门的处罚外，发现一次采购单位将视情节严重向成交供应商收取的履约保证金的10-20%，并有权要求其重新清运出。清运前成交供应商必须向采购单位指明堆放地点(该地点必须符合建筑垃圾(渣土)管理中心要求)，建筑垃圾(渣土)管理中心收取的建筑垃圾处置费由供应商考虑在报价中。</w:t>
      </w:r>
    </w:p>
    <w:p w14:paraId="7ADF1B1A">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6.25成交供应商须在工程竣工前拆除现场所有临时设施，包括所有的机械设备、建筑垃圾及剩余材料全部清运出场，相关费用由各供应商在报价时自行考虑到磋商响应报价中，竣工结算时不作任何调整。清理标准应得到采购单位的认可，否则如发生相关费用则由采购单位在工程结算价款中扣除。</w:t>
      </w:r>
    </w:p>
    <w:p w14:paraId="3F502439">
      <w:pPr>
        <w:snapToGrid w:val="0"/>
        <w:spacing w:line="360" w:lineRule="auto"/>
        <w:ind w:firstLine="480" w:firstLineChars="200"/>
        <w:jc w:val="left"/>
        <w:rPr>
          <w:rFonts w:ascii="宋体" w:hAnsi="宋体" w:eastAsia="宋体" w:cs="宋体"/>
          <w:color w:val="000000"/>
          <w:sz w:val="24"/>
        </w:rPr>
      </w:pPr>
      <w:r>
        <w:rPr>
          <w:rFonts w:ascii="宋体" w:hAnsi="宋体" w:eastAsia="宋体" w:cs="宋体"/>
          <w:color w:val="000000"/>
          <w:sz w:val="24"/>
        </w:rPr>
        <w:t>6.26本工程所有乙供材料均由成交供应商在确保质量的前提下自行采购，材料价格按照中档及以上的质量自行市场询价进入报价。采购单位对材料的质量有认定权（如采购单位对成交供应商采购的材料认定为不合格的，成交供应商必须重新采购，直至合格为止），施工时成交供应商需提供样品供采购单位选择，涉及到的价格不再调整。</w:t>
      </w:r>
    </w:p>
    <w:p w14:paraId="4CFF78BF">
      <w:pPr>
        <w:snapToGrid w:val="0"/>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6.27</w:t>
      </w:r>
      <w:r>
        <w:rPr>
          <w:rFonts w:hint="eastAsia" w:ascii="宋体" w:hAnsi="宋体" w:eastAsia="宋体" w:cs="宋体"/>
          <w:b/>
          <w:bCs/>
          <w:color w:val="000000"/>
          <w:sz w:val="24"/>
        </w:rPr>
        <w:t>本</w:t>
      </w:r>
      <w:r>
        <w:rPr>
          <w:rFonts w:hint="eastAsia" w:ascii="宋体" w:hAnsi="宋体" w:eastAsia="宋体" w:cs="宋体"/>
          <w:b/>
          <w:bCs/>
          <w:color w:val="000000"/>
          <w:sz w:val="24"/>
          <w:lang w:eastAsia="zh-CN"/>
        </w:rPr>
        <w:t>项目</w:t>
      </w:r>
      <w:r>
        <w:rPr>
          <w:rFonts w:hint="eastAsia" w:ascii="宋体" w:hAnsi="宋体" w:eastAsia="宋体" w:cs="宋体"/>
          <w:b/>
          <w:bCs/>
          <w:color w:val="000000"/>
          <w:sz w:val="24"/>
        </w:rPr>
        <w:t>主要设备、材料推荐品牌如下表，供应商须按照</w:t>
      </w:r>
      <w:r>
        <w:rPr>
          <w:rFonts w:hint="eastAsia" w:ascii="宋体" w:hAnsi="宋体" w:eastAsia="宋体" w:cs="宋体"/>
          <w:b/>
          <w:bCs/>
          <w:color w:val="000000"/>
          <w:sz w:val="24"/>
          <w:lang w:eastAsia="zh-CN"/>
        </w:rPr>
        <w:t>采购</w:t>
      </w:r>
      <w:r>
        <w:rPr>
          <w:rFonts w:hint="eastAsia" w:ascii="宋体" w:hAnsi="宋体" w:eastAsia="宋体" w:cs="宋体"/>
          <w:b/>
          <w:bCs/>
          <w:color w:val="000000"/>
          <w:sz w:val="24"/>
        </w:rPr>
        <w:t>人推荐的品牌范围并根据市场行情自行考虑报价</w:t>
      </w:r>
      <w:r>
        <w:rPr>
          <w:rFonts w:hint="eastAsia" w:ascii="宋体" w:hAnsi="宋体" w:eastAsia="宋体" w:cs="宋体"/>
          <w:b/>
          <w:bCs/>
          <w:color w:val="000000"/>
          <w:sz w:val="24"/>
          <w:lang w:eastAsia="zh-CN"/>
        </w:rPr>
        <w:t>并</w:t>
      </w:r>
      <w:r>
        <w:rPr>
          <w:rFonts w:hint="eastAsia" w:ascii="宋体" w:hAnsi="宋体" w:eastAsia="宋体" w:cs="宋体"/>
          <w:b/>
          <w:bCs/>
          <w:color w:val="000000"/>
          <w:sz w:val="24"/>
        </w:rPr>
        <w:t>注明所报品牌，若供应商在报价文件中未注明品牌的，则</w:t>
      </w:r>
      <w:r>
        <w:rPr>
          <w:rFonts w:hint="eastAsia" w:ascii="宋体" w:hAnsi="宋体" w:eastAsia="宋体" w:cs="宋体"/>
          <w:b/>
          <w:bCs/>
          <w:color w:val="000000"/>
          <w:sz w:val="24"/>
          <w:lang w:eastAsia="zh-CN"/>
        </w:rPr>
        <w:t>采购</w:t>
      </w:r>
      <w:r>
        <w:rPr>
          <w:rFonts w:hint="eastAsia" w:ascii="宋体" w:hAnsi="宋体" w:eastAsia="宋体" w:cs="宋体"/>
          <w:b/>
          <w:bCs/>
          <w:color w:val="000000"/>
          <w:sz w:val="24"/>
        </w:rPr>
        <w:t>人可指定下列推荐品牌中的任一种，且价格不予调整。主要材料推荐品牌如下：</w:t>
      </w:r>
    </w:p>
    <w:tbl>
      <w:tblPr>
        <w:tblStyle w:val="88"/>
        <w:tblW w:w="91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054"/>
        <w:gridCol w:w="5372"/>
      </w:tblGrid>
      <w:tr w14:paraId="7A01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47472092">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w:t>
            </w:r>
          </w:p>
        </w:tc>
        <w:tc>
          <w:tcPr>
            <w:tcW w:w="3054" w:type="dxa"/>
            <w:vAlign w:val="center"/>
          </w:tcPr>
          <w:p w14:paraId="51288626">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五级净水器</w:t>
            </w:r>
          </w:p>
        </w:tc>
        <w:tc>
          <w:tcPr>
            <w:tcW w:w="5372" w:type="dxa"/>
            <w:vAlign w:val="center"/>
          </w:tcPr>
          <w:p w14:paraId="71748622">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泉帝、白雪、碧涞</w:t>
            </w:r>
          </w:p>
        </w:tc>
      </w:tr>
      <w:tr w14:paraId="79E8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27F76D4A">
            <w:pPr>
              <w:snapToGrid w:val="0"/>
              <w:spacing w:line="360" w:lineRule="auto"/>
              <w:ind w:firstLine="482" w:firstLineChars="200"/>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w:t>
            </w:r>
          </w:p>
        </w:tc>
        <w:tc>
          <w:tcPr>
            <w:tcW w:w="3054" w:type="dxa"/>
            <w:vAlign w:val="center"/>
          </w:tcPr>
          <w:p w14:paraId="2F0BC606">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滤渣型榨汁机</w:t>
            </w:r>
          </w:p>
        </w:tc>
        <w:tc>
          <w:tcPr>
            <w:tcW w:w="5372" w:type="dxa"/>
            <w:vAlign w:val="center"/>
          </w:tcPr>
          <w:p w14:paraId="43E20370">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禧膳、美菱、慧仁</w:t>
            </w:r>
          </w:p>
        </w:tc>
      </w:tr>
      <w:tr w14:paraId="357A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5007526B">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3</w:t>
            </w:r>
          </w:p>
        </w:tc>
        <w:tc>
          <w:tcPr>
            <w:tcW w:w="3054" w:type="dxa"/>
            <w:vAlign w:val="center"/>
          </w:tcPr>
          <w:p w14:paraId="34315932">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风幕柜</w:t>
            </w:r>
          </w:p>
        </w:tc>
        <w:tc>
          <w:tcPr>
            <w:tcW w:w="5372" w:type="dxa"/>
            <w:vAlign w:val="center"/>
          </w:tcPr>
          <w:p w14:paraId="2B57341B">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auto"/>
                <w:sz w:val="24"/>
              </w:rPr>
              <w:t>星星</w:t>
            </w:r>
            <w:r>
              <w:rPr>
                <w:rFonts w:hint="eastAsia" w:ascii="宋体" w:hAnsi="宋体" w:eastAsia="宋体" w:cs="宋体"/>
                <w:b/>
                <w:bCs/>
                <w:color w:val="000000"/>
                <w:sz w:val="24"/>
              </w:rPr>
              <w:t>、喜莱盛、鲁戈</w:t>
            </w:r>
          </w:p>
        </w:tc>
      </w:tr>
      <w:tr w14:paraId="32A3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2EEA203B">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4</w:t>
            </w:r>
          </w:p>
        </w:tc>
        <w:tc>
          <w:tcPr>
            <w:tcW w:w="3054" w:type="dxa"/>
            <w:vAlign w:val="center"/>
          </w:tcPr>
          <w:p w14:paraId="76D5694F">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冷冻展示柜</w:t>
            </w:r>
          </w:p>
        </w:tc>
        <w:tc>
          <w:tcPr>
            <w:tcW w:w="5372" w:type="dxa"/>
            <w:vAlign w:val="center"/>
          </w:tcPr>
          <w:p w14:paraId="7AAB4305">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星星、智冰客、星奥雪</w:t>
            </w:r>
          </w:p>
        </w:tc>
      </w:tr>
      <w:tr w14:paraId="0AD0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69" w:type="dxa"/>
            <w:vAlign w:val="center"/>
          </w:tcPr>
          <w:p w14:paraId="642D2DA2">
            <w:pPr>
              <w:snapToGrid w:val="0"/>
              <w:spacing w:line="360" w:lineRule="auto"/>
              <w:ind w:firstLine="482" w:firstLineChars="200"/>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5</w:t>
            </w:r>
          </w:p>
        </w:tc>
        <w:tc>
          <w:tcPr>
            <w:tcW w:w="3054" w:type="dxa"/>
            <w:vAlign w:val="center"/>
          </w:tcPr>
          <w:p w14:paraId="30286CAF">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柜式空调</w:t>
            </w:r>
          </w:p>
        </w:tc>
        <w:tc>
          <w:tcPr>
            <w:tcW w:w="5372" w:type="dxa"/>
            <w:vAlign w:val="center"/>
          </w:tcPr>
          <w:p w14:paraId="0253648B">
            <w:pPr>
              <w:snapToGrid w:val="0"/>
              <w:spacing w:line="360" w:lineRule="auto"/>
              <w:ind w:firstLine="482" w:firstLineChars="200"/>
              <w:rPr>
                <w:rFonts w:hint="eastAsia" w:ascii="宋体" w:hAnsi="宋体" w:eastAsia="宋体" w:cs="宋体"/>
                <w:b/>
                <w:bCs/>
                <w:color w:val="000000"/>
                <w:sz w:val="24"/>
                <w:lang w:eastAsia="zh-CN"/>
              </w:rPr>
            </w:pPr>
            <w:r>
              <w:rPr>
                <w:rFonts w:hint="eastAsia" w:ascii="宋体" w:hAnsi="宋体" w:eastAsia="宋体" w:cs="宋体"/>
                <w:b/>
                <w:bCs/>
                <w:color w:val="000000"/>
                <w:sz w:val="24"/>
              </w:rPr>
              <w:t>格力、美的、大金</w:t>
            </w:r>
            <w:r>
              <w:rPr>
                <w:rFonts w:hint="eastAsia" w:ascii="宋体" w:hAnsi="宋体" w:eastAsia="宋体" w:cs="宋体"/>
                <w:b/>
                <w:bCs/>
                <w:color w:val="000000"/>
                <w:sz w:val="24"/>
                <w:lang w:eastAsia="zh-CN"/>
              </w:rPr>
              <w:t>（2级及以上能效标准）</w:t>
            </w:r>
          </w:p>
        </w:tc>
      </w:tr>
    </w:tbl>
    <w:p w14:paraId="361FFA6C">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注：</w:t>
      </w:r>
      <w:r>
        <w:rPr>
          <w:rFonts w:hint="eastAsia" w:ascii="宋体" w:hAnsi="宋体" w:eastAsia="宋体" w:cs="宋体"/>
          <w:b/>
          <w:bCs/>
          <w:color w:val="000000"/>
          <w:sz w:val="24"/>
          <w:lang w:val="en-US" w:eastAsia="zh-CN"/>
        </w:rPr>
        <w:t>能耗要求：</w:t>
      </w:r>
      <w:r>
        <w:rPr>
          <w:rFonts w:hint="eastAsia" w:ascii="宋体" w:hAnsi="宋体" w:eastAsia="宋体" w:cs="宋体"/>
          <w:b/>
          <w:bCs/>
          <w:color w:val="000000"/>
          <w:sz w:val="24"/>
        </w:rPr>
        <w:t>水处理器</w:t>
      </w:r>
      <w:r>
        <w:rPr>
          <w:rFonts w:hint="eastAsia" w:ascii="宋体" w:hAnsi="宋体" w:eastAsia="宋体" w:cs="宋体"/>
          <w:b/>
          <w:bCs/>
          <w:color w:val="000000"/>
          <w:sz w:val="24"/>
          <w:lang w:eastAsia="zh-CN"/>
        </w:rPr>
        <w:t>：能耗2级及以上水效标准；热水器、开水炉：能耗2级及以上能效标准；显示设备液晶电视机：2级及以上能效标准；成交供应商</w:t>
      </w:r>
      <w:r>
        <w:rPr>
          <w:rFonts w:hint="eastAsia" w:ascii="宋体" w:hAnsi="宋体" w:eastAsia="宋体" w:cs="宋体"/>
          <w:b/>
          <w:bCs/>
          <w:color w:val="000000"/>
          <w:sz w:val="24"/>
          <w:lang w:val="en-US" w:eastAsia="zh-CN"/>
        </w:rPr>
        <w:t>提供的设备不能低于以上能耗标准；</w:t>
      </w:r>
      <w:r>
        <w:rPr>
          <w:rFonts w:hint="eastAsia" w:ascii="宋体" w:hAnsi="宋体" w:eastAsia="宋体" w:cs="宋体"/>
          <w:b/>
          <w:bCs/>
          <w:color w:val="000000"/>
          <w:sz w:val="24"/>
        </w:rPr>
        <w:t>名录库外的材料采用国产中高档国标产品，所有材料须经</w:t>
      </w:r>
      <w:r>
        <w:rPr>
          <w:rFonts w:hint="eastAsia" w:ascii="宋体" w:hAnsi="宋体" w:eastAsia="宋体" w:cs="宋体"/>
          <w:b/>
          <w:bCs/>
          <w:color w:val="000000"/>
          <w:sz w:val="24"/>
          <w:lang w:eastAsia="zh-CN"/>
        </w:rPr>
        <w:t>采购人</w:t>
      </w:r>
      <w:r>
        <w:rPr>
          <w:rFonts w:hint="eastAsia" w:ascii="宋体" w:hAnsi="宋体" w:eastAsia="宋体" w:cs="宋体"/>
          <w:b/>
          <w:bCs/>
          <w:color w:val="000000"/>
          <w:sz w:val="24"/>
        </w:rPr>
        <w:t>确认后使用。</w:t>
      </w:r>
    </w:p>
    <w:p w14:paraId="0E749830">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6.28成交供应商所提供的设备参数不得低于原磋商文件及投标文件所提供参数。如采购单位对成交供应商采购的材料认定为不合格的，成交供应商必须重新采购直至合格为止，否则如发生相关费用则由采购单位在工程结算价款中扣除。</w:t>
      </w:r>
    </w:p>
    <w:p w14:paraId="40733472">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6.29成交供应商在磋商响应文件中未明确品牌的，采购单位有权要求使用磋商文件工程推荐品牌表中任意一种品牌，成交供应商不得提出异议且不得提出增加任何费用的要求。</w:t>
      </w:r>
    </w:p>
    <w:p w14:paraId="0A59E08F">
      <w:pPr>
        <w:snapToGrid w:val="0"/>
        <w:spacing w:line="360" w:lineRule="auto"/>
        <w:ind w:firstLine="480" w:firstLineChars="200"/>
        <w:rPr>
          <w:rFonts w:ascii="宋体" w:hAnsi="宋体" w:eastAsia="宋体" w:cs="宋体"/>
          <w:color w:val="000000"/>
          <w:sz w:val="24"/>
        </w:rPr>
      </w:pPr>
      <w:r>
        <w:rPr>
          <w:rFonts w:hint="eastAsia" w:ascii="宋体" w:hAnsi="宋体" w:eastAsia="宋体" w:cs="宋体"/>
          <w:sz w:val="24"/>
        </w:rPr>
        <w:t>6.30</w:t>
      </w:r>
      <w:r>
        <w:rPr>
          <w:rFonts w:hint="eastAsia" w:ascii="宋体" w:hAnsi="宋体" w:eastAsia="宋体" w:cs="宋体"/>
          <w:color w:val="000000"/>
          <w:sz w:val="24"/>
        </w:rPr>
        <w:t>因本项目位于办公楼内部，施工期间应尽量减少噪音或灰尘对周边的环境影响，并服从物业安排，各供应商必须在报价时综合考虑。</w:t>
      </w:r>
    </w:p>
    <w:p w14:paraId="2E6CA4D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6.31成交供应商的管理人员临时办公室、工人宿舍及配套生活用房须另行自理，不得设在施工场地区域内。因工程需要临时向其他单位租用场地的，由成交供应商自行解决，相关费用列入报价。</w:t>
      </w:r>
    </w:p>
    <w:p w14:paraId="7575220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6.32本工程量清单应与磋商文件（含合同条款）、技术要求、技术规范等文件结合起来阅读，除设计变更外，采购单位在工程量清单中未列明或项目特征描述不全，但供应商为满足采购单位、设计图纸的要求及国家、地方规范和标准等各种文件规定而必须完成的工作，供应商应计入工程量清单相应子目中，施工时不另行签证，结算时不作调整，工程结算时采购单位不为此类项目另外支付费用。 </w:t>
      </w:r>
    </w:p>
    <w:p w14:paraId="41FDE51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6.33成交供应商在施工过程中必须收集齐全所有隐蔽项目（包含但不限于管道开挖安放、开挖砌筑抹灰等）等施工全过程影像视频资料以供后期审计使用，在送审结算资料必须一并提交。所有签证资料必须附有详细影像彩色照片，所摄照片必须有可参照性。如影像资料未能反映签证、清单或磋商文件列明的工作内容，则结算时该项内容不予认可。</w:t>
      </w:r>
    </w:p>
    <w:p w14:paraId="4F76F2A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6.34施工时需做好原有建筑、结构、道路、设施、设备等现有成品的保护及清洁工作，所涉费用磋商响应报价时充分考虑，结算时不作调整。如施工时损坏或者发生污损，应按不低于原标准修复及清洁，或按目前市场价值（人工）赔付，另外造成损失的按实赔付，相关费用采购单位有权在工程款中直接扣除。 </w:t>
      </w:r>
    </w:p>
    <w:p w14:paraId="7B8663B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6.35如成交供应商在进场后发现施工图纸与现场不一致时，在施工前须与采购单位及监理方、设计方商定一致后，并按书面会商结果进行施工。</w:t>
      </w:r>
    </w:p>
    <w:p w14:paraId="615BBF0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6.36工程竣工需做好精细化保洁，保洁范围为所有施工场地，保洁内容包括但不限于玻璃门窗擦拭、内墙、地及顶面清洁及顺色等，符合采购单位竣工清洁要求后方可竣工验收，供应商务必在踏勘现场后计算所涉工程量，相关费用在报价中考虑，结算时不作调整。 </w:t>
      </w:r>
    </w:p>
    <w:p w14:paraId="1C238A5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6.3</w:t>
      </w:r>
      <w:r>
        <w:rPr>
          <w:rFonts w:hint="eastAsia" w:ascii="宋体" w:hAnsi="宋体" w:eastAsia="宋体" w:cs="宋体"/>
          <w:sz w:val="24"/>
          <w:lang w:val="en-US" w:eastAsia="zh-CN"/>
        </w:rPr>
        <w:t>7</w:t>
      </w:r>
      <w:r>
        <w:rPr>
          <w:rFonts w:hint="eastAsia" w:ascii="宋体" w:hAnsi="宋体" w:eastAsia="宋体" w:cs="宋体"/>
          <w:sz w:val="24"/>
        </w:rPr>
        <w:t>其他未尽事宜在书面答疑中明确。</w:t>
      </w:r>
      <w:bookmarkEnd w:id="83"/>
      <w:bookmarkEnd w:id="84"/>
      <w:bookmarkEnd w:id="85"/>
    </w:p>
    <w:p w14:paraId="324C58E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7、</w:t>
      </w:r>
      <w:r>
        <w:rPr>
          <w:rFonts w:hint="eastAsia" w:ascii="宋体" w:hAnsi="宋体" w:eastAsia="宋体" w:cs="宋体"/>
          <w:b/>
          <w:bCs/>
          <w:sz w:val="24"/>
          <w:szCs w:val="24"/>
          <w:highlight w:val="none"/>
        </w:rPr>
        <w:t>产品设备交付及安装调试服务日期：合同签订生效后</w:t>
      </w:r>
      <w:r>
        <w:rPr>
          <w:rFonts w:hint="eastAsia" w:ascii="宋体" w:hAnsi="宋体" w:eastAsia="宋体" w:cs="宋体"/>
          <w:b/>
          <w:bCs/>
          <w:sz w:val="24"/>
          <w:szCs w:val="24"/>
          <w:highlight w:val="none"/>
          <w:u w:val="single"/>
          <w:lang w:val="en-US" w:eastAsia="zh-CN"/>
        </w:rPr>
        <w:t>30</w:t>
      </w:r>
      <w:r>
        <w:rPr>
          <w:rFonts w:hint="eastAsia" w:ascii="宋体" w:hAnsi="宋体" w:eastAsia="宋体" w:cs="宋体"/>
          <w:b/>
          <w:bCs/>
          <w:sz w:val="24"/>
          <w:szCs w:val="24"/>
          <w:highlight w:val="none"/>
          <w:u w:val="none"/>
          <w:lang w:val="en-US" w:eastAsia="zh-CN"/>
        </w:rPr>
        <w:t>日</w:t>
      </w:r>
      <w:r>
        <w:rPr>
          <w:rFonts w:hint="eastAsia" w:ascii="宋体" w:hAnsi="宋体" w:eastAsia="宋体" w:cs="宋体"/>
          <w:b/>
          <w:bCs/>
          <w:sz w:val="24"/>
          <w:szCs w:val="24"/>
          <w:highlight w:val="none"/>
        </w:rPr>
        <w:t>历天完成所有产品生产及安装调试。</w:t>
      </w:r>
    </w:p>
    <w:p w14:paraId="26514D9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8、采购单位提供的工程量清单详见本文件第七部分。</w:t>
      </w:r>
    </w:p>
    <w:p w14:paraId="66E694D7">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lang w:val="en-US" w:eastAsia="zh-CN"/>
        </w:rPr>
        <w:t>9</w:t>
      </w:r>
      <w:r>
        <w:rPr>
          <w:rFonts w:hint="eastAsia" w:ascii="宋体" w:hAnsi="宋体" w:eastAsia="宋体" w:cs="宋体"/>
          <w:snapToGrid/>
          <w:kern w:val="2"/>
          <w:sz w:val="24"/>
        </w:rPr>
        <w:t>、</w:t>
      </w:r>
      <w:r>
        <w:rPr>
          <w:rFonts w:hint="eastAsia" w:ascii="宋体" w:hAnsi="宋体" w:eastAsia="宋体" w:cs="宋体"/>
          <w:sz w:val="24"/>
        </w:rPr>
        <w:t>其他未尽事宜按磋商文件相关规定执行。如磋商文件或合同文件未提及，则由双方协商解决处理。</w:t>
      </w:r>
    </w:p>
    <w:p w14:paraId="2AA3F7B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、履约保证金</w:t>
      </w:r>
    </w:p>
    <w:p w14:paraId="4692FD09">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1本项目成交后的履约保证金为项目成交价的10%，成交供应商的履约保证金须在成交通知书发出之日起至合同签订前汇入采购单位账户（应当以支票、汇票或者金融机构、担保机构出具的保函等非现金形式提交），成交供应商凭成交通知书与采购单位签订合同。超期或未有协商，则视为自动放弃成交资格。</w:t>
      </w:r>
    </w:p>
    <w:p w14:paraId="350C924E">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.2成交供应商全部履约合同义务，经采购单位验收合格无质量、进度等问题的，采购单位在验收合格后一次性退还履约保证金。</w:t>
      </w:r>
    </w:p>
    <w:p w14:paraId="28B6E71E">
      <w:pPr>
        <w:adjustRightInd w:val="0"/>
        <w:snapToGrid w:val="0"/>
        <w:spacing w:line="360" w:lineRule="auto"/>
        <w:ind w:left="479" w:leftChars="228"/>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0</w:t>
      </w:r>
      <w:r>
        <w:rPr>
          <w:rFonts w:hint="eastAsia" w:ascii="宋体" w:hAnsi="宋体" w:eastAsia="宋体" w:cs="宋体"/>
          <w:snapToGrid/>
          <w:kern w:val="2"/>
          <w:sz w:val="24"/>
        </w:rPr>
        <w:t>.3发生以下情况的，履约保证金不予退还或部分退还：</w:t>
      </w:r>
    </w:p>
    <w:p w14:paraId="6BE6E85A">
      <w:pPr>
        <w:adjustRightInd w:val="0"/>
        <w:snapToGrid w:val="0"/>
        <w:spacing w:line="360" w:lineRule="auto"/>
        <w:ind w:left="19" w:leftChars="9" w:firstLine="458" w:firstLineChars="191"/>
        <w:rPr>
          <w:rFonts w:ascii="宋体" w:hAnsi="宋体" w:eastAsia="宋体" w:cs="宋体"/>
          <w:snapToGrid/>
          <w:kern w:val="2"/>
          <w:sz w:val="24"/>
        </w:rPr>
      </w:pPr>
      <w:r>
        <w:rPr>
          <w:rFonts w:hint="eastAsia" w:ascii="宋体" w:hAnsi="宋体" w:eastAsia="宋体" w:cs="宋体"/>
          <w:snapToGrid/>
          <w:kern w:val="2"/>
          <w:sz w:val="24"/>
        </w:rPr>
        <w:t>a.签订合同后，成交供应商不履行合同义务的，采购单位有权全额扣除履约保证金，全额不予退还，同时采购单位亦有权终止合同，成交供应商还须承担相应的法律赔偿责任。</w:t>
      </w:r>
    </w:p>
    <w:p w14:paraId="6A270D45">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b.成交供应商在履约过程中发生违约行为，给采购单位造成损失的，采购单位有权在成交供应商缴纳的履约保证金中予以扣款，以弥补采购单位经济损失，不足的部分成交供应商另外补齐。</w:t>
      </w:r>
    </w:p>
    <w:p w14:paraId="4A98AC47">
      <w:pPr>
        <w:snapToGrid w:val="0"/>
        <w:spacing w:line="360" w:lineRule="auto"/>
        <w:ind w:firstLine="494" w:firstLineChars="206"/>
        <w:textAlignment w:val="baseline"/>
        <w:rPr>
          <w:rFonts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color w:val="000000"/>
          <w:sz w:val="24"/>
        </w:rPr>
        <w:t>付款方式</w:t>
      </w:r>
    </w:p>
    <w:p w14:paraId="6B613C04">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.1成交供应商履约</w:t>
      </w:r>
      <w:r>
        <w:rPr>
          <w:rFonts w:hint="eastAsia" w:ascii="宋体" w:hAnsi="宋体" w:eastAsia="宋体" w:cs="宋体"/>
          <w:snapToGrid/>
          <w:kern w:val="2"/>
          <w:sz w:val="24"/>
          <w:u w:val="single"/>
        </w:rPr>
        <w:t>保证金缴纳且合同签订生效后15日内，</w:t>
      </w:r>
      <w:r>
        <w:rPr>
          <w:rFonts w:hint="eastAsia" w:ascii="宋体" w:hAnsi="宋体" w:eastAsia="宋体" w:cs="宋体"/>
          <w:b/>
          <w:bCs/>
          <w:snapToGrid/>
          <w:kern w:val="2"/>
          <w:sz w:val="24"/>
          <w:u w:val="single"/>
        </w:rPr>
        <w:t>成交供应商提供的货物经采购人确认合格后</w:t>
      </w:r>
      <w:r>
        <w:rPr>
          <w:rFonts w:hint="eastAsia" w:ascii="宋体" w:hAnsi="宋体" w:eastAsia="宋体" w:cs="宋体"/>
          <w:snapToGrid/>
          <w:kern w:val="2"/>
          <w:sz w:val="24"/>
          <w:u w:val="single"/>
        </w:rPr>
        <w:t>，采购人支付合同价的30%作为预付款；</w:t>
      </w:r>
    </w:p>
    <w:p w14:paraId="0712DB7C">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.2工程竣工验收合格后；</w:t>
      </w:r>
      <w:r>
        <w:rPr>
          <w:rFonts w:hint="eastAsia" w:ascii="宋体" w:hAnsi="宋体" w:eastAsia="宋体" w:cs="宋体"/>
          <w:snapToGrid/>
          <w:kern w:val="2"/>
          <w:sz w:val="24"/>
          <w:u w:val="single"/>
        </w:rPr>
        <w:t>审计结束后15日(收到审计报告及成交供应商正式合法有效税务发票)内付至审定价的97%；余款3%作为质量保修金</w:t>
      </w:r>
      <w:r>
        <w:rPr>
          <w:rFonts w:hint="eastAsia" w:ascii="宋体" w:hAnsi="宋体" w:eastAsia="宋体" w:cs="宋体"/>
          <w:b w:val="0"/>
          <w:bCs w:val="0"/>
          <w:snapToGrid/>
          <w:color w:val="auto"/>
          <w:kern w:val="2"/>
          <w:sz w:val="24"/>
          <w:u w:val="single"/>
        </w:rPr>
        <w:t>，质保期满叁年且无质量问</w:t>
      </w:r>
      <w:r>
        <w:rPr>
          <w:rFonts w:hint="eastAsia" w:ascii="宋体" w:hAnsi="宋体" w:eastAsia="宋体" w:cs="宋体"/>
          <w:snapToGrid/>
          <w:kern w:val="2"/>
          <w:sz w:val="24"/>
          <w:u w:val="single"/>
        </w:rPr>
        <w:t>题并经甲方书面确认后15日内无息返还。</w:t>
      </w:r>
    </w:p>
    <w:p w14:paraId="0F6C1676">
      <w:pPr>
        <w:adjustRightInd w:val="0"/>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.3采购项目结算必须按规范编制，并经采购人确认后报有关部门审计。结算审计核减额超过送审数额的5%以外部分的审计费用由中标供应商承担，超额部分按核减额的6%计取。核减额=初审核减额+终审核减额。</w:t>
      </w:r>
    </w:p>
    <w:p w14:paraId="4335745A">
      <w:pPr>
        <w:snapToGrid w:val="0"/>
        <w:spacing w:line="360" w:lineRule="auto"/>
        <w:ind w:firstLine="480" w:firstLineChars="200"/>
        <w:rPr>
          <w:rFonts w:ascii="宋体" w:hAnsi="宋体" w:eastAsia="宋体" w:cs="宋体"/>
          <w:b/>
          <w:bCs/>
          <w:snapToGrid/>
          <w:w w:val="80"/>
          <w:kern w:val="2"/>
          <w:sz w:val="44"/>
          <w:szCs w:val="44"/>
        </w:rPr>
      </w:pPr>
      <w:r>
        <w:rPr>
          <w:rFonts w:hint="eastAsia" w:ascii="宋体" w:hAnsi="宋体" w:eastAsia="宋体" w:cs="宋体"/>
          <w:snapToGrid/>
          <w:kern w:val="2"/>
          <w:sz w:val="24"/>
        </w:rPr>
        <w:t>1</w:t>
      </w:r>
      <w:r>
        <w:rPr>
          <w:rFonts w:hint="eastAsia" w:ascii="宋体" w:hAnsi="宋体" w:eastAsia="宋体" w:cs="宋体"/>
          <w:snapToGrid/>
          <w:kern w:val="2"/>
          <w:sz w:val="24"/>
          <w:lang w:val="en-US" w:eastAsia="zh-CN"/>
        </w:rPr>
        <w:t>1</w:t>
      </w:r>
      <w:r>
        <w:rPr>
          <w:rFonts w:hint="eastAsia" w:ascii="宋体" w:hAnsi="宋体" w:eastAsia="宋体" w:cs="宋体"/>
          <w:snapToGrid/>
          <w:kern w:val="2"/>
          <w:sz w:val="24"/>
        </w:rPr>
        <w:t>.4所有款项由采购人按相关财务支付规定办理支付手续，不得故意拖延支付时间。</w:t>
      </w:r>
      <w:r>
        <w:rPr>
          <w:rFonts w:hint="eastAsia" w:ascii="宋体" w:hAnsi="宋体" w:eastAsia="宋体" w:cs="宋体"/>
          <w:b/>
          <w:bCs/>
          <w:snapToGrid/>
          <w:w w:val="80"/>
          <w:kern w:val="2"/>
          <w:sz w:val="44"/>
          <w:szCs w:val="44"/>
        </w:rPr>
        <w:br w:type="page"/>
      </w:r>
    </w:p>
    <w:p w14:paraId="5D06B4FA">
      <w:pPr>
        <w:snapToGrid w:val="0"/>
        <w:spacing w:before="24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6" w:name="_Toc182848996"/>
      <w:bookmarkStart w:id="87" w:name="_Toc37322565"/>
      <w:bookmarkStart w:id="88" w:name="_Toc38121794"/>
      <w:bookmarkStart w:id="89" w:name="_Toc43217893"/>
      <w:bookmarkStart w:id="90" w:name="_Toc85627670"/>
      <w:r>
        <w:rPr>
          <w:rFonts w:hint="eastAsia" w:ascii="宋体" w:hAnsi="宋体" w:eastAsia="宋体" w:cs="宋体"/>
          <w:b/>
          <w:bCs/>
          <w:snapToGrid/>
          <w:w w:val="80"/>
          <w:kern w:val="2"/>
          <w:sz w:val="44"/>
          <w:szCs w:val="44"/>
        </w:rPr>
        <w:t xml:space="preserve">部分 </w:t>
      </w:r>
      <w:bookmarkEnd w:id="86"/>
      <w:bookmarkEnd w:id="87"/>
      <w:bookmarkEnd w:id="88"/>
      <w:bookmarkEnd w:id="89"/>
      <w:bookmarkEnd w:id="90"/>
      <w:r>
        <w:rPr>
          <w:rFonts w:hint="eastAsia" w:ascii="宋体" w:hAnsi="宋体" w:eastAsia="宋体" w:cs="宋体"/>
          <w:b/>
          <w:bCs/>
          <w:snapToGrid/>
          <w:w w:val="80"/>
          <w:kern w:val="2"/>
          <w:sz w:val="44"/>
          <w:szCs w:val="44"/>
        </w:rPr>
        <w:t>评审方法和评审标准</w:t>
      </w:r>
    </w:p>
    <w:p w14:paraId="04138984">
      <w:pPr>
        <w:adjustRightInd w:val="0"/>
        <w:snapToGrid w:val="0"/>
        <w:spacing w:line="360" w:lineRule="auto"/>
        <w:ind w:firstLine="482" w:firstLineChars="200"/>
        <w:jc w:val="left"/>
        <w:textAlignment w:val="baseline"/>
        <w:rPr>
          <w:rFonts w:ascii="宋体" w:hAnsi="宋体" w:eastAsia="宋体" w:cs="宋体"/>
          <w:b/>
          <w:sz w:val="24"/>
        </w:rPr>
      </w:pPr>
      <w:bookmarkStart w:id="91" w:name="OLE_LINK1"/>
      <w:bookmarkStart w:id="92" w:name="OLE_LINK2"/>
      <w:r>
        <w:rPr>
          <w:rFonts w:hint="eastAsia" w:ascii="宋体" w:hAnsi="宋体" w:eastAsia="宋体" w:cs="宋体"/>
          <w:b/>
          <w:sz w:val="24"/>
        </w:rPr>
        <w:t>一、磋商方式</w:t>
      </w:r>
    </w:p>
    <w:p w14:paraId="74D9D03F">
      <w:pPr>
        <w:tabs>
          <w:tab w:val="left" w:pos="3585"/>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项目磋商活动模式：本项目采用现场开标模式。</w:t>
      </w:r>
    </w:p>
    <w:p w14:paraId="63466F3A">
      <w:pPr>
        <w:adjustRightInd w:val="0"/>
        <w:snapToGrid w:val="0"/>
        <w:spacing w:line="360" w:lineRule="auto"/>
        <w:ind w:firstLine="482" w:firstLineChars="200"/>
        <w:jc w:val="left"/>
        <w:textAlignment w:val="baseline"/>
        <w:rPr>
          <w:rFonts w:ascii="宋体" w:hAnsi="宋体" w:eastAsia="宋体" w:cs="宋体"/>
          <w:b/>
          <w:sz w:val="24"/>
        </w:rPr>
      </w:pPr>
      <w:r>
        <w:rPr>
          <w:rFonts w:hint="eastAsia" w:ascii="宋体" w:hAnsi="宋体" w:eastAsia="宋体" w:cs="宋体"/>
          <w:b/>
          <w:sz w:val="24"/>
        </w:rPr>
        <w:t>二、磋商程序及评审方法和标准</w:t>
      </w:r>
    </w:p>
    <w:p w14:paraId="70754B1E">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评审方法：综合评分法，经磋商确定最终采购需求和提交最后报价的供应商后，由磋商小组采用综合评分法对提交最后报价的供应商的响应文件和最后报价进行综合评分。</w:t>
      </w:r>
    </w:p>
    <w:p w14:paraId="7EDE8D3B">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73F5ECB1">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商务技术部分评审结束后进入最后报价环节，最后报价将作为评审价。在代理机构通知最终报价后，所有的响应供应商须在15分钟内填写并提交最后报价，未在规定时间内提交最后报价的，视作无效响应处理。</w:t>
      </w:r>
    </w:p>
    <w:p w14:paraId="30BB4941">
      <w:pPr>
        <w:tabs>
          <w:tab w:val="left" w:pos="900"/>
        </w:tabs>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74686483">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供应商商务技术部分和价格部分的合计分值，为该供应商的评审总得分。</w:t>
      </w:r>
    </w:p>
    <w:p w14:paraId="42AD9F9F">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评审结果按评审后得分由高到低顺序排列。总得分相同的，按响应报价由低到高顺序排列。若总得分且最终报价得分均相同，则采取现场抽签的方式确定（由供应商按递交响应文件签到顺序号抽签确定）。响应文件满足磋商文件全部实质性要求，且按照评审因素的量化指标评审得分前三名的供应商为成交候选人。</w:t>
      </w:r>
    </w:p>
    <w:p w14:paraId="07C1708F">
      <w:pPr>
        <w:adjustRightInd w:val="0"/>
        <w:snapToGrid w:val="0"/>
        <w:spacing w:line="360" w:lineRule="auto"/>
        <w:ind w:firstLine="555"/>
        <w:rPr>
          <w:rFonts w:ascii="宋体" w:hAnsi="宋体" w:eastAsia="宋体" w:cs="宋体"/>
          <w:sz w:val="24"/>
        </w:rPr>
      </w:pPr>
      <w:r>
        <w:rPr>
          <w:rFonts w:hint="eastAsia" w:ascii="宋体" w:hAnsi="宋体" w:eastAsia="宋体" w:cs="宋体"/>
          <w:sz w:val="24"/>
        </w:rPr>
        <w:t>评委在认真审阅响应文件的基础上，根据各响应文件的响应程度独立评判，不得统一打分。</w:t>
      </w:r>
    </w:p>
    <w:p w14:paraId="75B0F754">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（一）采购单位（代表）对供应商资格进行审查。</w:t>
      </w:r>
    </w:p>
    <w:p w14:paraId="67A69C19">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供应商资格不合格的，其响应文件判定为无效响应文件。</w:t>
      </w:r>
    </w:p>
    <w:p w14:paraId="7566DF7A">
      <w:pPr>
        <w:adjustRightInd w:val="0"/>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（二）磋商小组对符合资格供应商的响应文件进行符合性审查。</w:t>
      </w:r>
    </w:p>
    <w:p w14:paraId="1908F211">
      <w:pPr>
        <w:adjustRightInd w:val="0"/>
        <w:snapToGrid w:val="0"/>
        <w:spacing w:line="360" w:lineRule="auto"/>
        <w:ind w:firstLine="494" w:firstLineChars="206"/>
        <w:rPr>
          <w:rFonts w:ascii="宋体" w:hAnsi="宋体" w:eastAsia="宋体" w:cs="宋体"/>
          <w:sz w:val="24"/>
        </w:rPr>
      </w:pPr>
      <w:r>
        <w:rPr>
          <w:rFonts w:hint="eastAsia" w:ascii="宋体" w:hAnsi="宋体" w:eastAsia="宋体" w:cs="宋体"/>
          <w:sz w:val="24"/>
        </w:rPr>
        <w:t xml:space="preserve">未通过符合性审查的响应文件，将被判为不满足磋商文件实质性要求。 </w:t>
      </w:r>
    </w:p>
    <w:p w14:paraId="0D23651A">
      <w:pPr>
        <w:numPr>
          <w:ilvl w:val="0"/>
          <w:numId w:val="7"/>
        </w:numPr>
        <w:adjustRightInd w:val="0"/>
        <w:snapToGrid w:val="0"/>
        <w:spacing w:line="360" w:lineRule="auto"/>
        <w:ind w:firstLine="496" w:firstLineChars="206"/>
        <w:rPr>
          <w:rFonts w:ascii="宋体" w:hAnsi="宋体" w:eastAsia="宋体" w:cs="宋体"/>
          <w:b/>
          <w:sz w:val="24"/>
          <w:lang w:val="zh-CN"/>
        </w:rPr>
      </w:pPr>
      <w:r>
        <w:rPr>
          <w:rFonts w:hint="eastAsia" w:ascii="宋体" w:hAnsi="宋体" w:eastAsia="宋体" w:cs="宋体"/>
          <w:b/>
          <w:sz w:val="24"/>
        </w:rPr>
        <w:t>商务技术分</w:t>
      </w:r>
      <w:r>
        <w:rPr>
          <w:rFonts w:hint="eastAsia" w:ascii="宋体" w:hAnsi="宋体" w:eastAsia="宋体" w:cs="宋体"/>
          <w:b/>
          <w:sz w:val="24"/>
          <w:lang w:val="zh-CN"/>
        </w:rPr>
        <w:t>：</w:t>
      </w:r>
      <w:r>
        <w:rPr>
          <w:rFonts w:hint="eastAsia" w:ascii="宋体" w:hAnsi="宋体" w:eastAsia="宋体" w:cs="宋体"/>
          <w:b/>
          <w:sz w:val="24"/>
        </w:rPr>
        <w:t>70</w:t>
      </w:r>
      <w:r>
        <w:rPr>
          <w:rFonts w:hint="eastAsia" w:ascii="宋体" w:hAnsi="宋体" w:eastAsia="宋体" w:cs="宋体"/>
          <w:b/>
          <w:sz w:val="24"/>
          <w:lang w:val="zh-CN"/>
        </w:rPr>
        <w:t>分</w:t>
      </w:r>
    </w:p>
    <w:p w14:paraId="5EF286A8">
      <w:pPr>
        <w:pStyle w:val="9"/>
        <w:keepNext w:val="0"/>
        <w:keepLines w:val="0"/>
        <w:snapToGrid w:val="0"/>
        <w:spacing w:before="0" w:after="0" w:line="360" w:lineRule="auto"/>
        <w:ind w:firstLine="480" w:firstLineChars="200"/>
        <w:rPr>
          <w:rFonts w:asciiTheme="majorEastAsia" w:hAnsiTheme="majorEastAsia" w:eastAsiaTheme="majorEastAsia" w:cstheme="majorEastAsia"/>
          <w:b w:val="0"/>
          <w:bCs w:val="0"/>
          <w:sz w:val="24"/>
          <w:szCs w:val="24"/>
          <w:lang w:val="zh-CN"/>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8"/>
        <w:tblW w:w="9072"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58"/>
        <w:gridCol w:w="6396"/>
        <w:gridCol w:w="709"/>
      </w:tblGrid>
      <w:tr w14:paraId="7A7EC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bottom w:val="single" w:color="auto" w:sz="4" w:space="0"/>
              <w:right w:val="single" w:color="auto" w:sz="4" w:space="0"/>
            </w:tcBorders>
            <w:vAlign w:val="center"/>
          </w:tcPr>
          <w:p w14:paraId="0C27D9A2">
            <w:pPr>
              <w:autoSpaceDE w:val="0"/>
              <w:autoSpaceDN w:val="0"/>
              <w:adjustRightInd w:val="0"/>
              <w:spacing w:line="360" w:lineRule="auto"/>
              <w:jc w:val="center"/>
              <w:rPr>
                <w:rFonts w:ascii="宋体" w:hAnsi="宋体" w:eastAsia="宋体"/>
                <w:b/>
                <w:bCs/>
                <w:snapToGrid/>
                <w:sz w:val="24"/>
              </w:rPr>
            </w:pPr>
            <w:r>
              <w:rPr>
                <w:rFonts w:ascii="宋体" w:hAnsi="宋体" w:eastAsia="宋体"/>
                <w:b/>
                <w:bCs/>
                <w:snapToGrid/>
                <w:sz w:val="24"/>
              </w:rPr>
              <w:t>序号</w:t>
            </w:r>
          </w:p>
        </w:tc>
        <w:tc>
          <w:tcPr>
            <w:tcW w:w="1258" w:type="dxa"/>
            <w:tcBorders>
              <w:top w:val="single" w:color="auto" w:sz="4" w:space="0"/>
              <w:bottom w:val="single" w:color="auto" w:sz="4" w:space="0"/>
              <w:right w:val="single" w:color="auto" w:sz="4" w:space="0"/>
            </w:tcBorders>
            <w:vAlign w:val="center"/>
          </w:tcPr>
          <w:p w14:paraId="203B1431">
            <w:pPr>
              <w:autoSpaceDE w:val="0"/>
              <w:autoSpaceDN w:val="0"/>
              <w:adjustRightInd w:val="0"/>
              <w:spacing w:line="360" w:lineRule="auto"/>
              <w:jc w:val="center"/>
              <w:rPr>
                <w:rFonts w:ascii="宋体" w:hAnsi="宋体" w:eastAsia="宋体"/>
                <w:b/>
                <w:bCs/>
                <w:snapToGrid/>
                <w:sz w:val="24"/>
              </w:rPr>
            </w:pPr>
            <w:r>
              <w:rPr>
                <w:rFonts w:hint="eastAsia" w:ascii="宋体" w:hAnsi="宋体" w:eastAsia="宋体" w:cs="宋体"/>
                <w:b/>
                <w:bCs/>
                <w:snapToGrid/>
                <w:sz w:val="24"/>
                <w:lang w:val="zh-CN"/>
              </w:rPr>
              <w:t>评标项目</w:t>
            </w:r>
          </w:p>
        </w:tc>
        <w:tc>
          <w:tcPr>
            <w:tcW w:w="6396" w:type="dxa"/>
            <w:tcBorders>
              <w:top w:val="single" w:color="auto" w:sz="4" w:space="0"/>
              <w:left w:val="single" w:color="auto" w:sz="4" w:space="0"/>
              <w:bottom w:val="single" w:color="auto" w:sz="4" w:space="0"/>
              <w:right w:val="single" w:color="auto" w:sz="4" w:space="0"/>
            </w:tcBorders>
            <w:vAlign w:val="center"/>
          </w:tcPr>
          <w:p w14:paraId="7FB1AB76">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cs="宋体"/>
                <w:b/>
                <w:bCs/>
                <w:snapToGrid/>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126B0ECE">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b/>
                <w:bCs/>
                <w:snapToGrid/>
                <w:kern w:val="2"/>
                <w:sz w:val="24"/>
              </w:rPr>
              <w:t>分值</w:t>
            </w:r>
          </w:p>
        </w:tc>
      </w:tr>
      <w:tr w14:paraId="451C9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1106B2DF">
            <w:pPr>
              <w:autoSpaceDE w:val="0"/>
              <w:autoSpaceDN w:val="0"/>
              <w:adjustRightInd w:val="0"/>
              <w:spacing w:line="360" w:lineRule="auto"/>
              <w:jc w:val="center"/>
              <w:rPr>
                <w:rFonts w:ascii="宋体" w:hAnsi="宋体" w:eastAsia="宋体"/>
                <w:snapToGrid/>
                <w:kern w:val="2"/>
                <w:sz w:val="24"/>
              </w:rPr>
            </w:pPr>
            <w:r>
              <w:rPr>
                <w:rFonts w:hint="eastAsia" w:ascii="宋体" w:hAnsi="宋体" w:eastAsia="宋体"/>
                <w:snapToGrid/>
                <w:kern w:val="2"/>
                <w:sz w:val="24"/>
              </w:rPr>
              <w:t>1</w:t>
            </w:r>
          </w:p>
        </w:tc>
        <w:tc>
          <w:tcPr>
            <w:tcW w:w="1258" w:type="dxa"/>
            <w:tcBorders>
              <w:top w:val="single" w:color="auto" w:sz="4" w:space="0"/>
              <w:left w:val="single" w:color="auto" w:sz="4" w:space="0"/>
              <w:bottom w:val="single" w:color="auto" w:sz="4" w:space="0"/>
              <w:right w:val="single" w:color="auto" w:sz="4" w:space="0"/>
            </w:tcBorders>
            <w:vAlign w:val="center"/>
          </w:tcPr>
          <w:p w14:paraId="6BBB0BFB">
            <w:pPr>
              <w:spacing w:line="360" w:lineRule="auto"/>
              <w:jc w:val="center"/>
              <w:rPr>
                <w:rFonts w:ascii="宋体" w:hAnsi="宋体" w:eastAsia="宋体" w:cs="宋体"/>
                <w:snapToGrid/>
                <w:kern w:val="2"/>
                <w:sz w:val="24"/>
                <w:lang w:val="en-GB"/>
              </w:rPr>
            </w:pPr>
            <w:r>
              <w:rPr>
                <w:rFonts w:hint="eastAsia" w:ascii="宋体" w:hAnsi="宋体" w:eastAsia="宋体" w:cs="宋体"/>
                <w:snapToGrid/>
                <w:kern w:val="2"/>
                <w:sz w:val="24"/>
                <w:lang w:val="en-GB"/>
              </w:rPr>
              <w:t>类似业绩</w:t>
            </w:r>
          </w:p>
        </w:tc>
        <w:tc>
          <w:tcPr>
            <w:tcW w:w="6396" w:type="dxa"/>
            <w:tcBorders>
              <w:top w:val="single" w:color="auto" w:sz="4" w:space="0"/>
              <w:left w:val="single" w:color="auto" w:sz="4" w:space="0"/>
              <w:right w:val="single" w:color="auto" w:sz="4" w:space="0"/>
            </w:tcBorders>
            <w:vAlign w:val="center"/>
          </w:tcPr>
          <w:p w14:paraId="68C6975C">
            <w:pPr>
              <w:widowControl/>
              <w:adjustRightInd w:val="0"/>
              <w:snapToGrid w:val="0"/>
              <w:spacing w:line="276" w:lineRule="auto"/>
              <w:textAlignment w:val="center"/>
              <w:rPr>
                <w:rFonts w:ascii="宋体" w:hAnsi="宋体" w:eastAsia="宋体" w:cs="仿宋"/>
                <w:snapToGrid/>
                <w:color w:val="000000"/>
                <w:sz w:val="24"/>
                <w:lang w:bidi="ar"/>
              </w:rPr>
            </w:pPr>
            <w:r>
              <w:rPr>
                <w:rFonts w:hint="eastAsia" w:ascii="宋体" w:hAnsi="宋体" w:eastAsia="宋体" w:cs="仿宋"/>
                <w:snapToGrid/>
                <w:color w:val="000000"/>
                <w:sz w:val="24"/>
                <w:lang w:bidi="ar"/>
              </w:rPr>
              <w:t>供应商自2021年1月1日以来（以竣工验收证明时间为准）承担过的</w:t>
            </w:r>
            <w:r>
              <w:rPr>
                <w:rFonts w:hint="eastAsia" w:ascii="宋体" w:hAnsi="宋体" w:eastAsia="宋体" w:cs="仿宋"/>
                <w:snapToGrid/>
                <w:color w:val="000000"/>
                <w:sz w:val="24"/>
                <w:lang w:eastAsia="zh-CN" w:bidi="ar"/>
              </w:rPr>
              <w:t>类似食堂设备采购</w:t>
            </w:r>
            <w:r>
              <w:rPr>
                <w:rFonts w:hint="eastAsia" w:ascii="宋体" w:hAnsi="宋体" w:eastAsia="宋体" w:cs="仿宋"/>
                <w:snapToGrid/>
                <w:color w:val="000000"/>
                <w:sz w:val="24"/>
                <w:lang w:bidi="ar"/>
              </w:rPr>
              <w:t>业绩的，有一个得5分，最多得</w:t>
            </w:r>
            <w:r>
              <w:rPr>
                <w:rFonts w:hint="eastAsia" w:ascii="宋体" w:hAnsi="宋体" w:eastAsia="宋体" w:cs="仿宋"/>
                <w:snapToGrid/>
                <w:color w:val="000000"/>
                <w:sz w:val="24"/>
                <w:lang w:val="en-US" w:eastAsia="zh-CN" w:bidi="ar"/>
              </w:rPr>
              <w:t>20</w:t>
            </w:r>
            <w:r>
              <w:rPr>
                <w:rFonts w:hint="eastAsia" w:ascii="宋体" w:hAnsi="宋体" w:eastAsia="宋体" w:cs="仿宋"/>
                <w:snapToGrid/>
                <w:color w:val="000000"/>
                <w:sz w:val="24"/>
                <w:lang w:bidi="ar"/>
              </w:rPr>
              <w:t>分。</w:t>
            </w:r>
          </w:p>
          <w:p w14:paraId="14D109CD">
            <w:pPr>
              <w:widowControl/>
              <w:adjustRightInd w:val="0"/>
              <w:snapToGrid w:val="0"/>
              <w:spacing w:line="276" w:lineRule="auto"/>
              <w:textAlignment w:val="center"/>
              <w:rPr>
                <w:rFonts w:ascii="宋体" w:hAnsi="宋体" w:eastAsia="宋体" w:cs="宋体"/>
                <w:bCs/>
                <w:snapToGrid/>
                <w:kern w:val="2"/>
                <w:sz w:val="24"/>
              </w:rPr>
            </w:pPr>
            <w:r>
              <w:rPr>
                <w:rFonts w:hint="eastAsia" w:ascii="宋体" w:hAnsi="宋体" w:eastAsia="宋体" w:cs="仿宋"/>
                <w:snapToGrid/>
                <w:color w:val="000000"/>
                <w:sz w:val="24"/>
                <w:lang w:bidi="ar"/>
              </w:rPr>
              <w:t>注：提供合同原件的复印件或扫描件，并加盖公章，合同中须能明确体现业绩的相关要求，合同中未能提供的则另需提供业主加盖公章的证明材料，否则不得分。</w:t>
            </w:r>
          </w:p>
        </w:tc>
        <w:tc>
          <w:tcPr>
            <w:tcW w:w="709" w:type="dxa"/>
            <w:tcBorders>
              <w:top w:val="single" w:color="auto" w:sz="4" w:space="0"/>
              <w:left w:val="single" w:color="auto" w:sz="4" w:space="0"/>
            </w:tcBorders>
            <w:vAlign w:val="center"/>
          </w:tcPr>
          <w:p w14:paraId="426BE6FD">
            <w:pPr>
              <w:spacing w:line="360" w:lineRule="auto"/>
              <w:jc w:val="center"/>
              <w:rPr>
                <w:rFonts w:hint="default" w:ascii="宋体" w:hAnsi="宋体" w:eastAsia="宋体"/>
                <w:snapToGrid/>
                <w:kern w:val="2"/>
                <w:sz w:val="24"/>
                <w:lang w:val="en-US" w:eastAsia="zh-CN"/>
              </w:rPr>
            </w:pPr>
            <w:r>
              <w:rPr>
                <w:rFonts w:hint="eastAsia" w:ascii="宋体" w:hAnsi="宋体" w:eastAsia="宋体"/>
                <w:snapToGrid/>
                <w:kern w:val="2"/>
                <w:sz w:val="24"/>
                <w:lang w:val="en-US" w:eastAsia="zh-CN"/>
              </w:rPr>
              <w:t>20</w:t>
            </w:r>
          </w:p>
        </w:tc>
      </w:tr>
      <w:tr w14:paraId="1DA25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53D61E57">
            <w:pPr>
              <w:autoSpaceDE w:val="0"/>
              <w:autoSpaceDN w:val="0"/>
              <w:adjustRightInd w:val="0"/>
              <w:spacing w:line="360" w:lineRule="auto"/>
              <w:jc w:val="center"/>
              <w:rPr>
                <w:rFonts w:ascii="宋体" w:hAnsi="宋体" w:eastAsia="宋体"/>
                <w:snapToGrid/>
                <w:kern w:val="2"/>
                <w:sz w:val="24"/>
              </w:rPr>
            </w:pPr>
            <w:r>
              <w:rPr>
                <w:rFonts w:hint="eastAsia" w:ascii="宋体" w:hAnsi="宋体" w:eastAsia="宋体"/>
                <w:snapToGrid/>
                <w:kern w:val="2"/>
                <w:sz w:val="24"/>
              </w:rPr>
              <w:t>2</w:t>
            </w:r>
          </w:p>
        </w:tc>
        <w:tc>
          <w:tcPr>
            <w:tcW w:w="1258" w:type="dxa"/>
            <w:tcBorders>
              <w:top w:val="single" w:color="auto" w:sz="4" w:space="0"/>
              <w:left w:val="single" w:color="auto" w:sz="4" w:space="0"/>
              <w:bottom w:val="single" w:color="auto" w:sz="4" w:space="0"/>
              <w:right w:val="single" w:color="auto" w:sz="4" w:space="0"/>
            </w:tcBorders>
            <w:vAlign w:val="center"/>
          </w:tcPr>
          <w:p w14:paraId="04BC4E24">
            <w:pPr>
              <w:spacing w:line="360" w:lineRule="auto"/>
              <w:jc w:val="center"/>
              <w:rPr>
                <w:rFonts w:ascii="宋体" w:hAnsi="宋体" w:eastAsia="宋体" w:cs="宋体"/>
                <w:b w:val="0"/>
                <w:bCs w:val="0"/>
                <w:snapToGrid/>
                <w:kern w:val="2"/>
                <w:sz w:val="24"/>
                <w:lang w:val="en-GB"/>
              </w:rPr>
            </w:pPr>
            <w:r>
              <w:rPr>
                <w:rFonts w:hint="eastAsia" w:ascii="宋体" w:hAnsi="宋体" w:eastAsia="宋体" w:cs="宋体"/>
                <w:b w:val="0"/>
                <w:bCs w:val="0"/>
                <w:snapToGrid/>
                <w:kern w:val="2"/>
                <w:sz w:val="24"/>
                <w:lang w:val="en-GB"/>
              </w:rPr>
              <w:t>设备参数</w:t>
            </w:r>
          </w:p>
        </w:tc>
        <w:tc>
          <w:tcPr>
            <w:tcW w:w="6396" w:type="dxa"/>
            <w:tcBorders>
              <w:top w:val="single" w:color="auto" w:sz="4" w:space="0"/>
              <w:left w:val="single" w:color="auto" w:sz="4" w:space="0"/>
              <w:right w:val="single" w:color="auto" w:sz="4" w:space="0"/>
            </w:tcBorders>
            <w:vAlign w:val="center"/>
          </w:tcPr>
          <w:p w14:paraId="6989C92C">
            <w:pPr>
              <w:widowControl/>
              <w:adjustRightInd w:val="0"/>
              <w:snapToGrid w:val="0"/>
              <w:spacing w:line="276" w:lineRule="auto"/>
              <w:textAlignment w:val="center"/>
              <w:rPr>
                <w:rFonts w:ascii="宋体" w:hAnsi="宋体" w:eastAsia="宋体" w:cs="仿宋"/>
                <w:b w:val="0"/>
                <w:bCs w:val="0"/>
                <w:snapToGrid/>
                <w:color w:val="000000"/>
                <w:sz w:val="24"/>
                <w:lang w:bidi="ar"/>
              </w:rPr>
            </w:pPr>
            <w:r>
              <w:rPr>
                <w:rFonts w:hint="eastAsia" w:ascii="宋体" w:hAnsi="宋体" w:eastAsia="宋体" w:cs="仿宋"/>
                <w:b w:val="0"/>
                <w:bCs w:val="0"/>
                <w:snapToGrid/>
                <w:color w:val="000000"/>
                <w:sz w:val="24"/>
                <w:lang w:bidi="ar"/>
              </w:rPr>
              <w:t>提供拟投入本项目使用</w:t>
            </w:r>
            <w:r>
              <w:rPr>
                <w:rFonts w:hint="eastAsia" w:ascii="宋体" w:hAnsi="宋体" w:eastAsia="宋体" w:cs="仿宋"/>
                <w:b w:val="0"/>
                <w:bCs w:val="0"/>
                <w:snapToGrid/>
                <w:sz w:val="24"/>
                <w:lang w:bidi="ar"/>
              </w:rPr>
              <w:t>的风幕柜、冷冻展示柜</w:t>
            </w:r>
            <w:r>
              <w:rPr>
                <w:rFonts w:hint="eastAsia" w:ascii="宋体" w:hAnsi="宋体" w:eastAsia="宋体" w:cs="仿宋"/>
                <w:b w:val="0"/>
                <w:bCs w:val="0"/>
                <w:snapToGrid/>
                <w:sz w:val="24"/>
                <w:lang w:eastAsia="zh-CN" w:bidi="ar"/>
              </w:rPr>
              <w:t>、柜式空调</w:t>
            </w:r>
            <w:r>
              <w:rPr>
                <w:rFonts w:hint="eastAsia" w:ascii="宋体" w:hAnsi="宋体" w:eastAsia="宋体" w:cs="仿宋"/>
                <w:b w:val="0"/>
                <w:bCs w:val="0"/>
                <w:snapToGrid/>
                <w:sz w:val="24"/>
                <w:lang w:bidi="ar"/>
              </w:rPr>
              <w:t>的技术参数及品牌，</w:t>
            </w:r>
            <w:r>
              <w:rPr>
                <w:rFonts w:hint="eastAsia" w:ascii="宋体" w:hAnsi="宋体" w:eastAsia="宋体" w:cs="仿宋"/>
                <w:b w:val="0"/>
                <w:bCs w:val="0"/>
                <w:snapToGrid/>
                <w:color w:val="000000"/>
                <w:sz w:val="24"/>
                <w:lang w:bidi="ar"/>
              </w:rPr>
              <w:t>优于或能够满足清单中提出的参数及品牌要求的每个得</w:t>
            </w:r>
            <w:r>
              <w:rPr>
                <w:rFonts w:hint="eastAsia" w:ascii="宋体" w:hAnsi="宋体" w:eastAsia="宋体" w:cs="仿宋"/>
                <w:b w:val="0"/>
                <w:bCs w:val="0"/>
                <w:snapToGrid/>
                <w:color w:val="000000"/>
                <w:sz w:val="24"/>
                <w:lang w:val="en-US" w:eastAsia="zh-CN" w:bidi="ar"/>
              </w:rPr>
              <w:t>5</w:t>
            </w:r>
            <w:r>
              <w:rPr>
                <w:rFonts w:hint="eastAsia" w:ascii="宋体" w:hAnsi="宋体" w:eastAsia="宋体" w:cs="仿宋"/>
                <w:b w:val="0"/>
                <w:bCs w:val="0"/>
                <w:snapToGrid/>
                <w:color w:val="000000"/>
                <w:sz w:val="24"/>
                <w:lang w:bidi="ar"/>
              </w:rPr>
              <w:t>分，低于要求的或未提供的不得分，本项最多得1</w:t>
            </w:r>
            <w:r>
              <w:rPr>
                <w:rFonts w:hint="eastAsia" w:ascii="宋体" w:hAnsi="宋体" w:eastAsia="宋体" w:cs="仿宋"/>
                <w:b w:val="0"/>
                <w:bCs w:val="0"/>
                <w:snapToGrid/>
                <w:color w:val="000000"/>
                <w:sz w:val="24"/>
                <w:lang w:val="en-US" w:eastAsia="zh-CN" w:bidi="ar"/>
              </w:rPr>
              <w:t>5</w:t>
            </w:r>
            <w:r>
              <w:rPr>
                <w:rFonts w:hint="eastAsia" w:ascii="宋体" w:hAnsi="宋体" w:eastAsia="宋体" w:cs="仿宋"/>
                <w:b w:val="0"/>
                <w:bCs w:val="0"/>
                <w:snapToGrid/>
                <w:color w:val="000000"/>
                <w:sz w:val="24"/>
                <w:lang w:bidi="ar"/>
              </w:rPr>
              <w:t>分。</w:t>
            </w:r>
          </w:p>
          <w:p w14:paraId="46C1F47D">
            <w:pPr>
              <w:widowControl/>
              <w:adjustRightInd w:val="0"/>
              <w:snapToGrid w:val="0"/>
              <w:spacing w:line="276" w:lineRule="auto"/>
              <w:textAlignment w:val="center"/>
              <w:rPr>
                <w:rFonts w:ascii="宋体" w:hAnsi="宋体" w:eastAsia="宋体" w:cs="仿宋"/>
                <w:b w:val="0"/>
                <w:bCs w:val="0"/>
                <w:snapToGrid/>
                <w:color w:val="000000"/>
                <w:sz w:val="24"/>
                <w:lang w:bidi="ar"/>
              </w:rPr>
            </w:pPr>
            <w:r>
              <w:rPr>
                <w:rFonts w:hint="eastAsia" w:ascii="宋体" w:hAnsi="宋体" w:eastAsia="宋体" w:cs="仿宋"/>
                <w:b w:val="0"/>
                <w:bCs w:val="0"/>
                <w:snapToGrid/>
                <w:color w:val="000000"/>
                <w:sz w:val="24"/>
                <w:lang w:bidi="ar"/>
              </w:rPr>
              <w:t>磋商文件项目需求提供的设备、参数规格、品牌等，仅作为说明并没有限制性，供应商在磋商时可以选用替代，但这些替代的品牌、产品技术标准要优于或相当于项目需求技术规格中要求的标准，以满足采购人的需要。</w:t>
            </w:r>
          </w:p>
        </w:tc>
        <w:tc>
          <w:tcPr>
            <w:tcW w:w="709" w:type="dxa"/>
            <w:tcBorders>
              <w:top w:val="single" w:color="auto" w:sz="4" w:space="0"/>
              <w:left w:val="single" w:color="auto" w:sz="4" w:space="0"/>
            </w:tcBorders>
            <w:vAlign w:val="center"/>
          </w:tcPr>
          <w:p w14:paraId="15821094">
            <w:pPr>
              <w:spacing w:line="360" w:lineRule="auto"/>
              <w:jc w:val="center"/>
              <w:rPr>
                <w:rFonts w:hint="eastAsia" w:ascii="宋体" w:hAnsi="宋体" w:eastAsia="宋体"/>
                <w:snapToGrid/>
                <w:kern w:val="2"/>
                <w:sz w:val="24"/>
                <w:lang w:eastAsia="zh-CN"/>
              </w:rPr>
            </w:pPr>
            <w:r>
              <w:rPr>
                <w:rFonts w:hint="eastAsia" w:ascii="宋体" w:hAnsi="宋体" w:eastAsia="宋体"/>
                <w:snapToGrid/>
                <w:kern w:val="2"/>
                <w:sz w:val="24"/>
              </w:rPr>
              <w:t>1</w:t>
            </w:r>
            <w:r>
              <w:rPr>
                <w:rFonts w:hint="eastAsia" w:ascii="宋体" w:hAnsi="宋体" w:eastAsia="宋体"/>
                <w:snapToGrid/>
                <w:kern w:val="2"/>
                <w:sz w:val="24"/>
                <w:lang w:val="en-US" w:eastAsia="zh-CN"/>
              </w:rPr>
              <w:t>5</w:t>
            </w:r>
          </w:p>
        </w:tc>
      </w:tr>
      <w:tr w14:paraId="7DA5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1C3DFD4E">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3</w:t>
            </w:r>
          </w:p>
        </w:tc>
        <w:tc>
          <w:tcPr>
            <w:tcW w:w="1258" w:type="dxa"/>
            <w:tcBorders>
              <w:top w:val="single" w:color="auto" w:sz="4" w:space="0"/>
              <w:left w:val="single" w:color="auto" w:sz="4" w:space="0"/>
              <w:bottom w:val="single" w:color="auto" w:sz="4" w:space="0"/>
              <w:right w:val="single" w:color="auto" w:sz="4" w:space="0"/>
            </w:tcBorders>
            <w:vAlign w:val="center"/>
          </w:tcPr>
          <w:p w14:paraId="06C77179">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施工计划</w:t>
            </w:r>
          </w:p>
        </w:tc>
        <w:tc>
          <w:tcPr>
            <w:tcW w:w="6396" w:type="dxa"/>
            <w:tcBorders>
              <w:top w:val="single" w:color="auto" w:sz="4" w:space="0"/>
              <w:left w:val="single" w:color="auto" w:sz="4" w:space="0"/>
              <w:bottom w:val="single" w:color="auto" w:sz="4" w:space="0"/>
              <w:right w:val="single" w:color="auto" w:sz="4" w:space="0"/>
            </w:tcBorders>
            <w:vAlign w:val="center"/>
          </w:tcPr>
          <w:p w14:paraId="43612D8B">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施工网络计划图或施工进度横道图，评委根据用时长短、工序安排合理性等。用时短、工序安排合理的，得5分；用时较短、工序安排较合理性的，得3分；用时长、工序安排不合理的，得1分；未提供不得分。</w:t>
            </w:r>
          </w:p>
        </w:tc>
        <w:tc>
          <w:tcPr>
            <w:tcW w:w="709" w:type="dxa"/>
            <w:tcBorders>
              <w:top w:val="single" w:color="auto" w:sz="4" w:space="0"/>
              <w:left w:val="single" w:color="auto" w:sz="4" w:space="0"/>
              <w:bottom w:val="single" w:color="auto" w:sz="4" w:space="0"/>
            </w:tcBorders>
            <w:vAlign w:val="center"/>
          </w:tcPr>
          <w:p w14:paraId="5CE53568">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5</w:t>
            </w:r>
          </w:p>
        </w:tc>
      </w:tr>
      <w:tr w14:paraId="55588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4A1896E3">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4</w:t>
            </w:r>
          </w:p>
        </w:tc>
        <w:tc>
          <w:tcPr>
            <w:tcW w:w="1258" w:type="dxa"/>
            <w:tcBorders>
              <w:top w:val="single" w:color="auto" w:sz="4" w:space="0"/>
              <w:left w:val="single" w:color="auto" w:sz="4" w:space="0"/>
              <w:bottom w:val="single" w:color="auto" w:sz="4" w:space="0"/>
              <w:right w:val="single" w:color="auto" w:sz="4" w:space="0"/>
            </w:tcBorders>
            <w:vAlign w:val="center"/>
          </w:tcPr>
          <w:p w14:paraId="2319AC19">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工期保证措施</w:t>
            </w:r>
          </w:p>
        </w:tc>
        <w:tc>
          <w:tcPr>
            <w:tcW w:w="6396" w:type="dxa"/>
            <w:tcBorders>
              <w:top w:val="single" w:color="auto" w:sz="4" w:space="0"/>
              <w:left w:val="single" w:color="auto" w:sz="4" w:space="0"/>
              <w:bottom w:val="single" w:color="auto" w:sz="4" w:space="0"/>
              <w:right w:val="single" w:color="auto" w:sz="4" w:space="0"/>
            </w:tcBorders>
            <w:vAlign w:val="center"/>
          </w:tcPr>
          <w:p w14:paraId="28911CC0">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工期目标及工期保证措施。工期保证措施可行的，得5分；工期保证措施较可行的，得3分；工期保证措施不可行的，得1分；未提供不得分。</w:t>
            </w:r>
          </w:p>
        </w:tc>
        <w:tc>
          <w:tcPr>
            <w:tcW w:w="709" w:type="dxa"/>
            <w:tcBorders>
              <w:top w:val="single" w:color="auto" w:sz="4" w:space="0"/>
              <w:left w:val="single" w:color="auto" w:sz="4" w:space="0"/>
              <w:bottom w:val="single" w:color="auto" w:sz="4" w:space="0"/>
            </w:tcBorders>
            <w:vAlign w:val="center"/>
          </w:tcPr>
          <w:p w14:paraId="359EA4F1">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5</w:t>
            </w:r>
          </w:p>
        </w:tc>
      </w:tr>
      <w:tr w14:paraId="372833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2DADEE72">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5</w:t>
            </w:r>
          </w:p>
        </w:tc>
        <w:tc>
          <w:tcPr>
            <w:tcW w:w="1258" w:type="dxa"/>
            <w:tcBorders>
              <w:top w:val="single" w:color="auto" w:sz="4" w:space="0"/>
              <w:left w:val="single" w:color="auto" w:sz="4" w:space="0"/>
              <w:bottom w:val="single" w:color="auto" w:sz="4" w:space="0"/>
              <w:right w:val="single" w:color="auto" w:sz="4" w:space="0"/>
            </w:tcBorders>
            <w:vAlign w:val="center"/>
          </w:tcPr>
          <w:p w14:paraId="618C028F">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文明施工措施</w:t>
            </w:r>
          </w:p>
        </w:tc>
        <w:tc>
          <w:tcPr>
            <w:tcW w:w="6396" w:type="dxa"/>
            <w:tcBorders>
              <w:top w:val="single" w:color="auto" w:sz="4" w:space="0"/>
              <w:left w:val="single" w:color="auto" w:sz="4" w:space="0"/>
              <w:bottom w:val="single" w:color="auto" w:sz="4" w:space="0"/>
              <w:right w:val="single" w:color="auto" w:sz="4" w:space="0"/>
            </w:tcBorders>
            <w:vAlign w:val="center"/>
          </w:tcPr>
          <w:p w14:paraId="4E255355">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包括防火、现场文明施工、垃圾清运等措施。文明施工措施可行的，得5分；文明施工措施较可行的，得3分,</w:t>
            </w:r>
            <w:r>
              <w:rPr>
                <w:rFonts w:hint="eastAsia"/>
              </w:rPr>
              <w:t xml:space="preserve"> </w:t>
            </w:r>
            <w:r>
              <w:rPr>
                <w:rFonts w:hint="eastAsia" w:ascii="宋体" w:hAnsi="宋体" w:eastAsia="宋体" w:cs="仿宋"/>
                <w:sz w:val="24"/>
              </w:rPr>
              <w:t>文明施工措施不可行的，得1分；未提供不得分。</w:t>
            </w:r>
          </w:p>
        </w:tc>
        <w:tc>
          <w:tcPr>
            <w:tcW w:w="709" w:type="dxa"/>
            <w:tcBorders>
              <w:top w:val="single" w:color="auto" w:sz="4" w:space="0"/>
              <w:left w:val="single" w:color="auto" w:sz="4" w:space="0"/>
              <w:bottom w:val="single" w:color="auto" w:sz="4" w:space="0"/>
            </w:tcBorders>
            <w:vAlign w:val="center"/>
          </w:tcPr>
          <w:p w14:paraId="2A2F674C">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5</w:t>
            </w:r>
          </w:p>
        </w:tc>
      </w:tr>
      <w:tr w14:paraId="58257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63A92A9A">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6</w:t>
            </w:r>
          </w:p>
        </w:tc>
        <w:tc>
          <w:tcPr>
            <w:tcW w:w="1258" w:type="dxa"/>
            <w:tcBorders>
              <w:top w:val="single" w:color="auto" w:sz="4" w:space="0"/>
              <w:left w:val="single" w:color="auto" w:sz="4" w:space="0"/>
              <w:bottom w:val="single" w:color="auto" w:sz="4" w:space="0"/>
              <w:right w:val="single" w:color="auto" w:sz="4" w:space="0"/>
            </w:tcBorders>
            <w:vAlign w:val="center"/>
          </w:tcPr>
          <w:p w14:paraId="30B8A2B0">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质量保证措施</w:t>
            </w:r>
          </w:p>
        </w:tc>
        <w:tc>
          <w:tcPr>
            <w:tcW w:w="6396" w:type="dxa"/>
            <w:tcBorders>
              <w:top w:val="single" w:color="auto" w:sz="4" w:space="0"/>
              <w:left w:val="single" w:color="auto" w:sz="4" w:space="0"/>
              <w:bottom w:val="single" w:color="auto" w:sz="4" w:space="0"/>
              <w:right w:val="single" w:color="auto" w:sz="4" w:space="0"/>
            </w:tcBorders>
            <w:vAlign w:val="center"/>
          </w:tcPr>
          <w:p w14:paraId="495BA54B">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质量目标，结合本项目特点，制定具体项目中的质量保证措施。质量保证措施完善的，得10分；质量保证措施较可行的，得7分；质量保证措施略有欠缺的，得4分；质量保证措施不可行的，得1分；未提供不得分。</w:t>
            </w:r>
          </w:p>
        </w:tc>
        <w:tc>
          <w:tcPr>
            <w:tcW w:w="709" w:type="dxa"/>
            <w:tcBorders>
              <w:top w:val="single" w:color="auto" w:sz="4" w:space="0"/>
              <w:left w:val="single" w:color="auto" w:sz="4" w:space="0"/>
              <w:bottom w:val="single" w:color="auto" w:sz="4" w:space="0"/>
            </w:tcBorders>
            <w:vAlign w:val="center"/>
          </w:tcPr>
          <w:p w14:paraId="49A72BA8">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10</w:t>
            </w:r>
          </w:p>
        </w:tc>
      </w:tr>
      <w:tr w14:paraId="5A1762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09" w:type="dxa"/>
            <w:tcBorders>
              <w:top w:val="single" w:color="auto" w:sz="4" w:space="0"/>
              <w:bottom w:val="single" w:color="auto" w:sz="4" w:space="0"/>
              <w:right w:val="single" w:color="auto" w:sz="4" w:space="0"/>
            </w:tcBorders>
            <w:vAlign w:val="center"/>
          </w:tcPr>
          <w:p w14:paraId="11CF5D50">
            <w:pPr>
              <w:autoSpaceDE w:val="0"/>
              <w:autoSpaceDN w:val="0"/>
              <w:adjustRightInd w:val="0"/>
              <w:spacing w:line="360" w:lineRule="auto"/>
              <w:jc w:val="center"/>
              <w:rPr>
                <w:rFonts w:hint="eastAsia" w:ascii="宋体" w:hAnsi="宋体" w:eastAsia="宋体"/>
                <w:snapToGrid/>
                <w:kern w:val="2"/>
                <w:sz w:val="24"/>
                <w:lang w:val="en-US" w:eastAsia="zh-CN"/>
              </w:rPr>
            </w:pPr>
            <w:r>
              <w:rPr>
                <w:rFonts w:hint="eastAsia" w:ascii="宋体" w:hAnsi="宋体" w:eastAsia="宋体"/>
                <w:snapToGrid/>
                <w:kern w:val="2"/>
                <w:sz w:val="24"/>
                <w:lang w:val="en-US" w:eastAsia="zh-CN"/>
              </w:rPr>
              <w:t>7</w:t>
            </w:r>
          </w:p>
        </w:tc>
        <w:tc>
          <w:tcPr>
            <w:tcW w:w="1258" w:type="dxa"/>
            <w:tcBorders>
              <w:top w:val="single" w:color="auto" w:sz="4" w:space="0"/>
              <w:left w:val="single" w:color="auto" w:sz="4" w:space="0"/>
              <w:bottom w:val="single" w:color="auto" w:sz="4" w:space="0"/>
              <w:right w:val="single" w:color="auto" w:sz="4" w:space="0"/>
            </w:tcBorders>
            <w:vAlign w:val="center"/>
          </w:tcPr>
          <w:p w14:paraId="7687BCDB">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安全保证措施</w:t>
            </w:r>
          </w:p>
        </w:tc>
        <w:tc>
          <w:tcPr>
            <w:tcW w:w="6396" w:type="dxa"/>
            <w:tcBorders>
              <w:top w:val="single" w:color="auto" w:sz="4" w:space="0"/>
              <w:left w:val="single" w:color="auto" w:sz="4" w:space="0"/>
              <w:bottom w:val="single" w:color="auto" w:sz="4" w:space="0"/>
              <w:right w:val="single" w:color="auto" w:sz="4" w:space="0"/>
            </w:tcBorders>
            <w:vAlign w:val="center"/>
          </w:tcPr>
          <w:p w14:paraId="726C5A8C">
            <w:pPr>
              <w:widowControl/>
              <w:snapToGrid w:val="0"/>
              <w:spacing w:line="276" w:lineRule="auto"/>
              <w:jc w:val="left"/>
              <w:textAlignment w:val="center"/>
              <w:rPr>
                <w:rFonts w:ascii="宋体" w:hAnsi="宋体" w:eastAsia="宋体" w:cs="仿宋"/>
                <w:sz w:val="24"/>
              </w:rPr>
            </w:pPr>
            <w:r>
              <w:rPr>
                <w:rFonts w:hint="eastAsia" w:ascii="宋体" w:hAnsi="宋体" w:eastAsia="宋体" w:cs="仿宋"/>
                <w:sz w:val="24"/>
              </w:rPr>
              <w:t>结合本项目特点制定安全保证措施，包括安全管理目标、安全管理体系、施工安全措施。安全保证措施全面科学的，得10分；安全保证措施较全面、较科学的，得7分；安全保证措施略有欠缺的，得4分；安全保证措施不全面、不科学的，得1分；未提供不得分。</w:t>
            </w:r>
          </w:p>
        </w:tc>
        <w:tc>
          <w:tcPr>
            <w:tcW w:w="709" w:type="dxa"/>
            <w:tcBorders>
              <w:top w:val="single" w:color="auto" w:sz="4" w:space="0"/>
              <w:left w:val="single" w:color="auto" w:sz="4" w:space="0"/>
              <w:bottom w:val="single" w:color="auto" w:sz="4" w:space="0"/>
            </w:tcBorders>
            <w:vAlign w:val="center"/>
          </w:tcPr>
          <w:p w14:paraId="75A21A0F">
            <w:pPr>
              <w:widowControl/>
              <w:snapToGrid w:val="0"/>
              <w:spacing w:line="276" w:lineRule="auto"/>
              <w:jc w:val="center"/>
              <w:textAlignment w:val="center"/>
              <w:rPr>
                <w:rFonts w:ascii="宋体" w:hAnsi="宋体" w:eastAsia="宋体" w:cs="仿宋"/>
                <w:sz w:val="24"/>
              </w:rPr>
            </w:pPr>
            <w:r>
              <w:rPr>
                <w:rFonts w:hint="eastAsia" w:ascii="宋体" w:hAnsi="宋体" w:eastAsia="宋体" w:cs="仿宋"/>
                <w:sz w:val="24"/>
              </w:rPr>
              <w:t>10</w:t>
            </w:r>
          </w:p>
        </w:tc>
      </w:tr>
    </w:tbl>
    <w:p w14:paraId="2DD30CA9">
      <w:pPr>
        <w:adjustRightInd w:val="0"/>
        <w:snapToGrid w:val="0"/>
        <w:spacing w:before="240" w:line="360" w:lineRule="auto"/>
        <w:ind w:firstLine="482" w:firstLineChars="200"/>
        <w:rPr>
          <w:rFonts w:hint="eastAsia" w:ascii="宋体" w:hAnsi="宋体" w:eastAsia="宋体" w:cs="宋体"/>
          <w:b/>
          <w:sz w:val="24"/>
        </w:rPr>
      </w:pPr>
    </w:p>
    <w:p w14:paraId="24EB2BE7">
      <w:pPr>
        <w:adjustRightInd w:val="0"/>
        <w:snapToGrid w:val="0"/>
        <w:spacing w:before="240" w:line="360" w:lineRule="auto"/>
        <w:ind w:firstLine="482" w:firstLineChars="200"/>
        <w:rPr>
          <w:rFonts w:ascii="宋体" w:hAnsi="宋体" w:eastAsia="宋体" w:cs="宋体"/>
          <w:sz w:val="24"/>
        </w:rPr>
      </w:pPr>
      <w:r>
        <w:rPr>
          <w:rFonts w:hint="eastAsia" w:ascii="宋体" w:hAnsi="宋体" w:eastAsia="宋体" w:cs="宋体"/>
          <w:b/>
          <w:sz w:val="24"/>
        </w:rPr>
        <w:t>（四）报价</w:t>
      </w:r>
      <w:r>
        <w:rPr>
          <w:rFonts w:hint="eastAsia" w:ascii="宋体" w:hAnsi="宋体" w:eastAsia="宋体" w:cs="宋体"/>
          <w:b/>
          <w:sz w:val="24"/>
          <w:lang w:val="zh-CN"/>
        </w:rPr>
        <w:t>分</w:t>
      </w:r>
      <w:r>
        <w:rPr>
          <w:rFonts w:hint="eastAsia" w:ascii="宋体" w:hAnsi="宋体" w:eastAsia="宋体" w:cs="宋体"/>
          <w:b/>
          <w:sz w:val="24"/>
        </w:rPr>
        <w:t>：30</w:t>
      </w:r>
      <w:r>
        <w:rPr>
          <w:rFonts w:hint="eastAsia" w:ascii="宋体" w:hAnsi="宋体" w:eastAsia="宋体" w:cs="宋体"/>
          <w:b/>
          <w:sz w:val="24"/>
          <w:lang w:val="zh-CN"/>
        </w:rPr>
        <w:t>分</w:t>
      </w:r>
    </w:p>
    <w:p w14:paraId="5D21883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报价分统一采用低价优先法计算，即满足磋商文件要求且最后报价最低的供应商的价格为磋商基准价，其价格分为满分。其他供应商的价格分统一按照下列公式计算：</w:t>
      </w:r>
    </w:p>
    <w:p w14:paraId="15BB142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磋商报价得分=（磋商基准价/最后磋商报价）×价格权值×100。</w:t>
      </w:r>
    </w:p>
    <w:p w14:paraId="6E74EAF9">
      <w:pPr>
        <w:adjustRightInd w:val="0"/>
        <w:snapToGrid w:val="0"/>
        <w:spacing w:line="360" w:lineRule="auto"/>
        <w:ind w:firstLine="570"/>
        <w:rPr>
          <w:rFonts w:ascii="宋体" w:hAnsi="宋体" w:eastAsia="宋体" w:cs="宋体"/>
          <w:bCs/>
          <w:sz w:val="24"/>
        </w:rPr>
      </w:pPr>
      <w:r>
        <w:rPr>
          <w:rFonts w:hint="eastAsia" w:ascii="宋体" w:hAnsi="宋体" w:eastAsia="宋体" w:cs="宋体"/>
          <w:b/>
          <w:sz w:val="24"/>
        </w:rPr>
        <w:t>（</w:t>
      </w:r>
      <w:r>
        <w:rPr>
          <w:rFonts w:hint="eastAsia" w:ascii="宋体" w:hAnsi="宋体" w:eastAsia="宋体" w:cs="宋体"/>
          <w:b/>
          <w:sz w:val="24"/>
          <w:lang w:eastAsia="zh-CN"/>
        </w:rPr>
        <w:t>五</w:t>
      </w:r>
      <w:r>
        <w:rPr>
          <w:rFonts w:hint="eastAsia" w:ascii="宋体" w:hAnsi="宋体" w:eastAsia="宋体" w:cs="宋体"/>
          <w:b/>
          <w:sz w:val="24"/>
        </w:rPr>
        <w:t>）成交供应商的确定</w:t>
      </w:r>
    </w:p>
    <w:p w14:paraId="39067397">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磋商小组汇总各评委评分后，按照得分从高到低的顺序推荐三名成交候选人，并编写评审报告。</w:t>
      </w:r>
    </w:p>
    <w:p w14:paraId="465B7AE5">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采购单位委托磋商小组直接确定排名第一的成交候选人为成交供应商。</w:t>
      </w:r>
    </w:p>
    <w:p w14:paraId="5B46E4C2">
      <w:pPr>
        <w:adjustRightInd w:val="0"/>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w:t>
      </w:r>
      <w:r>
        <w:rPr>
          <w:rFonts w:hint="eastAsia" w:ascii="宋体" w:hAnsi="宋体" w:eastAsia="宋体" w:cs="宋体"/>
          <w:b/>
          <w:sz w:val="24"/>
          <w:lang w:eastAsia="zh-CN"/>
        </w:rPr>
        <w:t>六</w:t>
      </w:r>
      <w:r>
        <w:rPr>
          <w:rFonts w:hint="eastAsia" w:ascii="宋体" w:hAnsi="宋体" w:eastAsia="宋体" w:cs="宋体"/>
          <w:b/>
          <w:sz w:val="24"/>
        </w:rPr>
        <w:t>）公告成交结果</w:t>
      </w:r>
    </w:p>
    <w:p w14:paraId="3B98A781">
      <w:pPr>
        <w:adjustRightInd w:val="0"/>
        <w:snapToGrid w:val="0"/>
        <w:spacing w:line="360" w:lineRule="auto"/>
        <w:ind w:firstLine="570"/>
        <w:rPr>
          <w:rFonts w:ascii="宋体" w:hAnsi="宋体" w:eastAsia="宋体" w:cs="宋体"/>
          <w:sz w:val="24"/>
        </w:rPr>
      </w:pPr>
      <w:r>
        <w:rPr>
          <w:rFonts w:hint="eastAsia" w:ascii="宋体" w:hAnsi="宋体" w:eastAsia="宋体" w:cs="宋体"/>
          <w:sz w:val="24"/>
        </w:rPr>
        <w:t>自确定成交供应商之日起2个工作日内，在“南通市机关事务管理局→公告公示”栏公告成交结果，公告期限为1个工作日。</w:t>
      </w:r>
    </w:p>
    <w:p w14:paraId="1C528241">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sz w:val="24"/>
        </w:rPr>
        <w:t>（</w:t>
      </w:r>
      <w:r>
        <w:rPr>
          <w:rFonts w:hint="eastAsia" w:ascii="宋体" w:hAnsi="宋体" w:eastAsia="宋体" w:cs="宋体"/>
          <w:b/>
          <w:sz w:val="24"/>
          <w:lang w:eastAsia="zh-CN"/>
        </w:rPr>
        <w:t>七</w:t>
      </w:r>
      <w:r>
        <w:rPr>
          <w:rFonts w:hint="eastAsia" w:ascii="宋体" w:hAnsi="宋体" w:eastAsia="宋体" w:cs="宋体"/>
          <w:b/>
          <w:sz w:val="24"/>
        </w:rPr>
        <w:t>）</w:t>
      </w:r>
      <w:r>
        <w:rPr>
          <w:rFonts w:hint="eastAsia" w:ascii="宋体" w:hAnsi="宋体" w:eastAsia="宋体" w:cs="宋体"/>
          <w:b/>
          <w:bCs/>
          <w:sz w:val="24"/>
        </w:rPr>
        <w:t>发放成交通知书</w:t>
      </w:r>
    </w:p>
    <w:p w14:paraId="777C5399">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sz w:val="24"/>
        </w:rPr>
        <w:t>公告成交结果的同时，采购单位</w:t>
      </w:r>
      <w:r>
        <w:rPr>
          <w:rFonts w:hint="eastAsia" w:ascii="宋体" w:hAnsi="宋体" w:eastAsia="宋体" w:cs="宋体"/>
          <w:bCs/>
          <w:sz w:val="24"/>
        </w:rPr>
        <w:t>向成交供应商发放成交通知书。</w:t>
      </w:r>
    </w:p>
    <w:p w14:paraId="2D9913B5">
      <w:pPr>
        <w:adjustRightInd w:val="0"/>
        <w:snapToGrid w:val="0"/>
        <w:spacing w:line="360" w:lineRule="auto"/>
        <w:ind w:firstLine="480" w:firstLineChars="200"/>
        <w:rPr>
          <w:rFonts w:ascii="宋体" w:hAnsi="宋体" w:eastAsia="宋体" w:cs="宋体"/>
          <w:b/>
          <w:bCs/>
          <w:sz w:val="36"/>
          <w:szCs w:val="36"/>
          <w:lang w:val="zh-CN"/>
        </w:rPr>
      </w:pPr>
      <w:r>
        <w:rPr>
          <w:rFonts w:hint="eastAsia" w:ascii="宋体" w:hAnsi="宋体" w:eastAsia="宋体" w:cs="宋体"/>
          <w:sz w:val="24"/>
        </w:rPr>
        <w:t>成交通知书发出后，采购单位不得违法改变成交结果，成交供应商无正当理由不得放弃成交。</w:t>
      </w:r>
      <w:r>
        <w:rPr>
          <w:rFonts w:ascii="宋体" w:hAnsi="宋体" w:eastAsia="宋体" w:cs="宋体"/>
          <w:b/>
          <w:bCs/>
          <w:sz w:val="36"/>
          <w:szCs w:val="36"/>
          <w:lang w:val="zh-CN"/>
        </w:rPr>
        <w:br w:type="page"/>
      </w:r>
    </w:p>
    <w:p w14:paraId="5DD0F764">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第五部分  </w:t>
      </w:r>
      <w:bookmarkEnd w:id="91"/>
      <w:bookmarkEnd w:id="92"/>
      <w:r>
        <w:rPr>
          <w:rFonts w:hint="eastAsia" w:ascii="宋体" w:hAnsi="宋体" w:eastAsia="宋体" w:cs="宋体"/>
          <w:b/>
          <w:bCs/>
          <w:snapToGrid/>
          <w:w w:val="80"/>
          <w:kern w:val="2"/>
          <w:sz w:val="44"/>
          <w:szCs w:val="44"/>
        </w:rPr>
        <w:t>合同条款</w:t>
      </w:r>
    </w:p>
    <w:p w14:paraId="45BC1D31">
      <w:pPr>
        <w:adjustRightInd w:val="0"/>
        <w:spacing w:line="500" w:lineRule="exact"/>
        <w:ind w:firstLine="480" w:firstLineChars="200"/>
        <w:contextualSpacing/>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采购单位（或称甲方）：</w:t>
      </w:r>
      <w:r>
        <w:rPr>
          <w:rFonts w:hint="eastAsia" w:ascii="宋体" w:hAnsi="宋体" w:eastAsia="宋体" w:cs="宋体"/>
          <w:sz w:val="24"/>
          <w:szCs w:val="24"/>
          <w:highlight w:val="none"/>
          <w:u w:val="single"/>
        </w:rPr>
        <w:t xml:space="preserve">                             </w:t>
      </w:r>
    </w:p>
    <w:p w14:paraId="763B780B">
      <w:pPr>
        <w:adjustRightInd w:val="0"/>
        <w:spacing w:line="500" w:lineRule="exact"/>
        <w:ind w:firstLine="480" w:firstLineChars="200"/>
        <w:contextualSpacing/>
        <w:jc w:val="left"/>
        <w:rPr>
          <w:rFonts w:hint="eastAsia" w:ascii="宋体" w:hAnsi="宋体" w:eastAsia="宋体" w:cs="宋体"/>
          <w:bCs/>
          <w:sz w:val="24"/>
          <w:szCs w:val="24"/>
          <w:highlight w:val="none"/>
        </w:rPr>
      </w:pPr>
      <w:r>
        <w:rPr>
          <w:rFonts w:hint="eastAsia" w:ascii="宋体" w:hAnsi="宋体" w:eastAsia="宋体" w:cs="宋体"/>
          <w:sz w:val="24"/>
          <w:szCs w:val="24"/>
          <w:highlight w:val="none"/>
        </w:rPr>
        <w:t>中标人（或称乙方）：</w:t>
      </w:r>
      <w:r>
        <w:rPr>
          <w:rFonts w:hint="eastAsia" w:ascii="宋体" w:hAnsi="宋体" w:eastAsia="宋体" w:cs="宋体"/>
          <w:sz w:val="24"/>
          <w:szCs w:val="24"/>
          <w:highlight w:val="none"/>
          <w:u w:val="single"/>
        </w:rPr>
        <w:t xml:space="preserve">                           </w:t>
      </w:r>
    </w:p>
    <w:p w14:paraId="2635D82C">
      <w:pPr>
        <w:adjustRightIn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67D855CD">
      <w:pPr>
        <w:adjustRightInd w:val="0"/>
        <w:spacing w:line="500" w:lineRule="exact"/>
        <w:ind w:firstLine="480" w:firstLineChars="200"/>
        <w:contextualSpacing/>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签订地点：</w:t>
      </w:r>
      <w:r>
        <w:rPr>
          <w:rFonts w:hint="eastAsia" w:ascii="宋体" w:hAnsi="宋体" w:eastAsia="宋体" w:cs="宋体"/>
          <w:sz w:val="24"/>
          <w:szCs w:val="24"/>
          <w:highlight w:val="none"/>
          <w:u w:val="single"/>
        </w:rPr>
        <w:t xml:space="preserve">                                 </w:t>
      </w:r>
    </w:p>
    <w:p w14:paraId="16C64A9A">
      <w:pPr>
        <w:adjustRightInd w:val="0"/>
        <w:spacing w:line="500" w:lineRule="exact"/>
        <w:ind w:firstLine="480" w:firstLineChars="200"/>
        <w:contextualSpacing/>
        <w:jc w:val="left"/>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根据《政府采购法》、《民法典》及（项目名称）</w:t>
      </w:r>
      <w:r>
        <w:rPr>
          <w:rFonts w:hint="eastAsia" w:ascii="宋体" w:hAnsi="宋体" w:eastAsia="宋体" w:cs="宋体"/>
          <w:sz w:val="24"/>
          <w:szCs w:val="24"/>
          <w:highlight w:val="none"/>
          <w:u w:val="single"/>
        </w:rPr>
        <w:t xml:space="preserve">                     </w:t>
      </w:r>
    </w:p>
    <w:p w14:paraId="660FAB54">
      <w:pPr>
        <w:adjustRightInd w:val="0"/>
        <w:spacing w:line="500" w:lineRule="exact"/>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采购</w:t>
      </w:r>
      <w:r>
        <w:rPr>
          <w:rFonts w:hint="eastAsia" w:ascii="宋体" w:hAnsi="宋体" w:eastAsia="宋体" w:cs="宋体"/>
          <w:sz w:val="24"/>
          <w:szCs w:val="24"/>
          <w:highlight w:val="none"/>
        </w:rPr>
        <w:t>项目(采购编号：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的采购结果、采购文件及投标文件，经双方协商一致，签订本合同。</w:t>
      </w:r>
    </w:p>
    <w:p w14:paraId="0C478298">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一、合同的标的物</w:t>
      </w:r>
    </w:p>
    <w:p w14:paraId="750A8C12">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1.1甲方向乙方采购标的物，具体的品种、规格要求详见投标文件：</w:t>
      </w:r>
    </w:p>
    <w:p w14:paraId="6166B098">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1.2 乙方对提供的标的物应当拥有完整的物权，并且负有保证第三人不得向甲方主张任何权利（包括知识产权）的义务。</w:t>
      </w:r>
    </w:p>
    <w:p w14:paraId="7BABE4F2">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二、合同价格与支付</w:t>
      </w:r>
    </w:p>
    <w:p w14:paraId="2BB3338A">
      <w:pPr>
        <w:snapToGrid w:val="0"/>
        <w:spacing w:line="360" w:lineRule="auto"/>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2.1 合同价格按此次中标价格执行，合同总金额为人民币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包含从项目成交起到验收止(含免费质保期）所发生的一切费用（设备费、安装费、运输费、辅材费、人工费、调试费、税金、伴随服务等为完成本项目发生的所有费用）。在安装、调试、验收、伴随服务等全过程中，如发现有漏项、缺件，</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应无条件、无偿补齐，售后服务等以及为确保</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 xml:space="preserve">正常使用所产生的一切配套费用等，项目实施过程中不另结其它所有费用。 </w:t>
      </w:r>
    </w:p>
    <w:p w14:paraId="244C58D0">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z w:val="24"/>
          <w:szCs w:val="24"/>
          <w:highlight w:val="none"/>
        </w:rPr>
        <w:t>2.2付款方式：</w:t>
      </w:r>
      <w:r>
        <w:rPr>
          <w:rFonts w:hint="eastAsia" w:ascii="宋体" w:hAnsi="宋体" w:eastAsia="宋体" w:cs="宋体"/>
          <w:snapToGrid/>
          <w:kern w:val="2"/>
          <w:sz w:val="24"/>
        </w:rPr>
        <w:t>成交供应商履约</w:t>
      </w:r>
      <w:r>
        <w:rPr>
          <w:rFonts w:hint="eastAsia" w:ascii="宋体" w:hAnsi="宋体" w:eastAsia="宋体" w:cs="宋体"/>
          <w:snapToGrid/>
          <w:kern w:val="2"/>
          <w:sz w:val="24"/>
          <w:u w:val="single"/>
        </w:rPr>
        <w:t>保证金缴纳且合同签订生效后15日内，</w:t>
      </w:r>
      <w:r>
        <w:rPr>
          <w:rFonts w:hint="eastAsia" w:ascii="宋体" w:hAnsi="宋体" w:eastAsia="宋体" w:cs="宋体"/>
          <w:b/>
          <w:bCs/>
          <w:snapToGrid/>
          <w:kern w:val="2"/>
          <w:sz w:val="24"/>
          <w:u w:val="single"/>
        </w:rPr>
        <w:t>成交供应商提供的货物经采购人确认合格后</w:t>
      </w:r>
      <w:r>
        <w:rPr>
          <w:rFonts w:hint="eastAsia" w:ascii="宋体" w:hAnsi="宋体" w:eastAsia="宋体" w:cs="宋体"/>
          <w:snapToGrid/>
          <w:kern w:val="2"/>
          <w:sz w:val="24"/>
          <w:u w:val="single"/>
        </w:rPr>
        <w:t>，采购人支付合同价的30%作为预付款；</w:t>
      </w:r>
    </w:p>
    <w:p w14:paraId="3BBE56DB">
      <w:pPr>
        <w:adjustRightInd w:val="0"/>
        <w:snapToGrid w:val="0"/>
        <w:spacing w:line="360" w:lineRule="auto"/>
        <w:ind w:firstLine="480" w:firstLineChars="200"/>
        <w:rPr>
          <w:rFonts w:ascii="宋体" w:hAnsi="宋体" w:eastAsia="宋体" w:cs="宋体"/>
          <w:snapToGrid/>
          <w:kern w:val="2"/>
          <w:sz w:val="24"/>
          <w:u w:val="single"/>
        </w:rPr>
      </w:pPr>
      <w:r>
        <w:rPr>
          <w:rFonts w:hint="eastAsia" w:ascii="宋体" w:hAnsi="宋体" w:eastAsia="宋体" w:cs="宋体"/>
          <w:snapToGrid/>
          <w:kern w:val="2"/>
          <w:sz w:val="24"/>
        </w:rPr>
        <w:t>竣工验收合格后；</w:t>
      </w:r>
      <w:r>
        <w:rPr>
          <w:rFonts w:hint="eastAsia" w:ascii="宋体" w:hAnsi="宋体" w:eastAsia="宋体" w:cs="宋体"/>
          <w:snapToGrid/>
          <w:kern w:val="2"/>
          <w:sz w:val="24"/>
          <w:u w:val="single"/>
        </w:rPr>
        <w:t>审计结束后15日(收到审计报告及成交供应商正式合法有效税务发票)内付至审定价的97%；余款3%作为质量保修金</w:t>
      </w:r>
      <w:r>
        <w:rPr>
          <w:rFonts w:hint="eastAsia" w:ascii="宋体" w:hAnsi="宋体" w:eastAsia="宋体" w:cs="宋体"/>
          <w:b w:val="0"/>
          <w:bCs w:val="0"/>
          <w:snapToGrid/>
          <w:color w:val="auto"/>
          <w:kern w:val="2"/>
          <w:sz w:val="24"/>
          <w:u w:val="single"/>
        </w:rPr>
        <w:t>，质保期满叁年且无质量问</w:t>
      </w:r>
      <w:r>
        <w:rPr>
          <w:rFonts w:hint="eastAsia" w:ascii="宋体" w:hAnsi="宋体" w:eastAsia="宋体" w:cs="宋体"/>
          <w:snapToGrid/>
          <w:kern w:val="2"/>
          <w:sz w:val="24"/>
          <w:u w:val="single"/>
        </w:rPr>
        <w:t>题并经甲方书面确认后15日内无息返还。</w:t>
      </w:r>
    </w:p>
    <w:p w14:paraId="0D569AF8">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2.3 乙方按期交货后向甲方结算货款时须提供下列单据：质量保证书及随产品附带的所有有关资料、甲方盖章签收后的运货回单和验收合格证明。</w:t>
      </w:r>
    </w:p>
    <w:p w14:paraId="48A2EE9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2.4 根据现行税法对甲方征收的与本合同有关的一切税费均由甲方承担；根据现行税法对乙方征收的与本合同有关的一切税费均由乙方承担。</w:t>
      </w:r>
    </w:p>
    <w:p w14:paraId="1BF3B86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2.5 支付（结算）方式：由甲方通知乙方提交相关发票并至国库支付（结算）中心办理支付手续，支付（结算）中心在各项手续、票据齐全的情况下完成对外支付。</w:t>
      </w:r>
    </w:p>
    <w:p w14:paraId="5181B9F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2.6乙方按采购文件规定缴纳了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元的履约保证金，乙方在按要求保质保量的完成该项目合同并通过验收后，甲方凭乙方提交的申请，一次性无息退还该合同项目的履约保证金。</w:t>
      </w:r>
    </w:p>
    <w:p w14:paraId="27EB8399">
      <w:pPr>
        <w:adjustRightInd w:val="0"/>
        <w:snapToGrid w:val="0"/>
        <w:spacing w:line="500" w:lineRule="exact"/>
        <w:ind w:firstLine="480" w:firstLineChars="200"/>
        <w:contextualSpacing/>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2.7、由于乙方原因，在签订合同后出现不按合同履行的情况，甲方有权将履约保证金作为违约金，全额不予退还，同时甲方亦有权终止合同，乙方还须承担相应的法律赔偿责任。</w:t>
      </w:r>
    </w:p>
    <w:p w14:paraId="4AE12567">
      <w:pPr>
        <w:adjustRightInd w:val="0"/>
        <w:snapToGrid w:val="0"/>
        <w:spacing w:line="500" w:lineRule="exact"/>
        <w:ind w:firstLine="480" w:firstLineChars="200"/>
        <w:contextualSpacing/>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三、质量保证</w:t>
      </w:r>
    </w:p>
    <w:p w14:paraId="613F39B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3.1供应商应保证货物是全新、未使用过的原厂合格产品，并完全符合采购文件及本合同规定的质量、规格和参数的要求。验收过程中发现供货设备价值超过5%的产品不符合上述要求的，将视作不合格产品，使用方有权终止合同，造成的一切损失由供应商承担。</w:t>
      </w:r>
    </w:p>
    <w:p w14:paraId="43DF870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3.2报价产品的技术标准按国家标准执行，无国家标准的，按行业标准执行，无国家和行业标准的，按企业标准执行；但在采购文件中有特别要求的，按采购文件中规定的要求执行，并且符合相关法律、法规规定的要求。</w:t>
      </w:r>
    </w:p>
    <w:p w14:paraId="0FBDFDA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3.3供应商应保证提供的产品不得侵犯第三方专利权、商标权和设计权、版权等。否则，供应商应负全部责任，并承担由此引起的一切后果。</w:t>
      </w:r>
    </w:p>
    <w:p w14:paraId="398CF60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3.4供应商应保证其货物在正确安装、正常使用下，在其使用寿命期内应具有满意的性能。</w:t>
      </w:r>
    </w:p>
    <w:p w14:paraId="3252B4E0">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3.5供应商应采取必要的安全措施保证货物的运输及安装的安全，并承担货物的运输及安装过程中产生的风险。</w:t>
      </w:r>
    </w:p>
    <w:p w14:paraId="3A016B9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3.6供应商必须保证所提供的产品符合国家相应质量要求。</w:t>
      </w:r>
    </w:p>
    <w:p w14:paraId="67B4875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四、包装</w:t>
      </w:r>
    </w:p>
    <w:p w14:paraId="6D47FDD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乙方提供的设备必须为原包装，在送交甲方验收前不得拆箱。</w:t>
      </w:r>
    </w:p>
    <w:p w14:paraId="55226523">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五、标的物的交付</w:t>
      </w:r>
    </w:p>
    <w:p w14:paraId="5262C19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5.1 标的物的所有权自标的物交付时转移。</w:t>
      </w:r>
    </w:p>
    <w:p w14:paraId="5F75032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5.2 乙方应当按照约定的期限和约定的地点交付标的物。</w:t>
      </w:r>
    </w:p>
    <w:p w14:paraId="4F3EB653">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5.3 乙方应当按照约定或者交易习惯向甲方交付提取标的物单证以外的有关单证和资料。</w:t>
      </w:r>
    </w:p>
    <w:p w14:paraId="38F0CE53">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5.4</w:t>
      </w:r>
      <w:r>
        <w:rPr>
          <w:rFonts w:hint="eastAsia" w:ascii="宋体" w:hAnsi="宋体" w:eastAsia="宋体" w:cs="宋体"/>
          <w:bCs/>
          <w:sz w:val="24"/>
          <w:szCs w:val="24"/>
          <w:highlight w:val="none"/>
        </w:rPr>
        <w:t>产品设备交货、安装固定服务</w:t>
      </w:r>
    </w:p>
    <w:p w14:paraId="048BCD7F">
      <w:pPr>
        <w:adjustRightInd w:val="0"/>
        <w:spacing w:line="500" w:lineRule="exact"/>
        <w:ind w:firstLine="480" w:firstLineChars="200"/>
        <w:contextualSpacing/>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5.4.1产品设备交付： </w:t>
      </w:r>
    </w:p>
    <w:p w14:paraId="279DAF87">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① 交货地点：产品设备送至采购单位指定的地点并负责安装.。</w:t>
      </w:r>
    </w:p>
    <w:p w14:paraId="5120C4C8">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② 货物装卸、运输涉及到的保险，其费用包含在合同总价中。</w:t>
      </w:r>
    </w:p>
    <w:p w14:paraId="647BECB8">
      <w:pPr>
        <w:adjustRightInd w:val="0"/>
        <w:snapToGrid w:val="0"/>
        <w:spacing w:line="500" w:lineRule="exact"/>
        <w:ind w:firstLine="482" w:firstLineChars="200"/>
        <w:contextualSpacing/>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5.4.2产品设备交付及安装调试服务日期：合同签订生效后</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rPr>
        <w:t>日历天完成所有产品生产及安装调试。</w:t>
      </w:r>
    </w:p>
    <w:p w14:paraId="34BF2A4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5.4.3中标人发货到采购人指定地点前应先告知采购人。</w:t>
      </w:r>
    </w:p>
    <w:p w14:paraId="6E254FB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5.4.4全部货物的外包装必须采用防漏、防潮、防震、防锈、防盗和考虑到可能会发生的野蛮装卸等长途运输及多次装卸之需要。如因供方包装不当以及其它原因造成损坏或丢失，应由供方负一切责任。</w:t>
      </w:r>
    </w:p>
    <w:p w14:paraId="06EB247E">
      <w:pPr>
        <w:adjustRightIn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5.5 交货及安装地点：</w:t>
      </w:r>
      <w:r>
        <w:rPr>
          <w:rFonts w:hint="eastAsia" w:ascii="宋体" w:hAnsi="宋体" w:eastAsia="宋体" w:cs="宋体"/>
          <w:sz w:val="24"/>
          <w:szCs w:val="24"/>
          <w:highlight w:val="none"/>
          <w:u w:val="single"/>
        </w:rPr>
        <w:t xml:space="preserve">甲方指定地点   </w:t>
      </w:r>
      <w:r>
        <w:rPr>
          <w:rFonts w:hint="eastAsia" w:ascii="宋体" w:hAnsi="宋体" w:eastAsia="宋体" w:cs="宋体"/>
          <w:sz w:val="24"/>
          <w:szCs w:val="24"/>
          <w:highlight w:val="none"/>
        </w:rPr>
        <w:t>。</w:t>
      </w:r>
    </w:p>
    <w:p w14:paraId="0839D4E1">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六、伴随服务</w:t>
      </w:r>
    </w:p>
    <w:p w14:paraId="660DB82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 乙方除应履行按期按量交付合格标的物的义务外，还应当提供下列服务：</w:t>
      </w:r>
    </w:p>
    <w:p w14:paraId="07CF6D2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6.1.1 标的物的现场安装、启动、调试、监督（如果必须安装、调试的话）；</w:t>
      </w:r>
    </w:p>
    <w:p w14:paraId="6E17E3D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6.1.2 提供标的物组装和一般维修所必需的工具；</w:t>
      </w:r>
    </w:p>
    <w:p w14:paraId="378EEC2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6.1.3 在合同规定的期限内对所提供的标的物实行运行监督、维修服务的前提条件是该服务并不能免除乙方在质量保证期内所承担的义务；</w:t>
      </w:r>
    </w:p>
    <w:p w14:paraId="404A568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6.1.4 对甲方技术人员的技术指导或培训。</w:t>
      </w:r>
    </w:p>
    <w:p w14:paraId="0845918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6.2 除合同另有规定之外，伴随服务的费用均已含在合同价款中，甲方不再另行支付。</w:t>
      </w:r>
    </w:p>
    <w:p w14:paraId="41F499AD">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七、标的物的检验和验收</w:t>
      </w:r>
    </w:p>
    <w:p w14:paraId="7C301DC9">
      <w:pPr>
        <w:adjustRightInd w:val="0"/>
        <w:snapToGrid w:val="0"/>
        <w:spacing w:line="500" w:lineRule="exact"/>
        <w:ind w:firstLine="480" w:firstLineChars="200"/>
        <w:contextualSpacing/>
        <w:rPr>
          <w:rFonts w:hint="eastAsia" w:ascii="宋体" w:hAnsi="宋体" w:eastAsia="宋体" w:cs="宋体"/>
          <w:bCs/>
          <w:sz w:val="24"/>
          <w:szCs w:val="24"/>
          <w:highlight w:val="none"/>
        </w:rPr>
      </w:pPr>
      <w:r>
        <w:rPr>
          <w:rFonts w:hint="eastAsia" w:ascii="宋体" w:hAnsi="宋体" w:eastAsia="宋体" w:cs="宋体"/>
          <w:sz w:val="24"/>
          <w:szCs w:val="24"/>
          <w:highlight w:val="none"/>
        </w:rPr>
        <w:t>使用方有权在产品制造过程中进行中期验收和交付后抽样检测，如验收不合格，</w:t>
      </w:r>
      <w:r>
        <w:rPr>
          <w:rFonts w:hint="eastAsia" w:ascii="宋体" w:hAnsi="宋体" w:eastAsia="宋体" w:cs="宋体"/>
          <w:b/>
          <w:bCs/>
          <w:sz w:val="24"/>
          <w:szCs w:val="24"/>
          <w:highlight w:val="none"/>
        </w:rPr>
        <w:t>使用方有权中止合同、履约保证金不予退还并进行相关违约金处理。</w:t>
      </w:r>
      <w:r>
        <w:rPr>
          <w:rFonts w:hint="eastAsia" w:ascii="宋体" w:hAnsi="宋体" w:eastAsia="宋体" w:cs="宋体"/>
          <w:sz w:val="24"/>
          <w:szCs w:val="24"/>
          <w:highlight w:val="none"/>
        </w:rPr>
        <w:t>验收所发生的费用由供应商承担。</w:t>
      </w:r>
    </w:p>
    <w:p w14:paraId="4EEA9D6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八、质保期限及售后服务</w:t>
      </w:r>
    </w:p>
    <w:p w14:paraId="2D8BB691">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8.1本项目质保期为</w:t>
      </w:r>
      <w:r>
        <w:rPr>
          <w:rFonts w:hint="eastAsia" w:ascii="宋体" w:hAnsi="宋体" w:eastAsia="宋体" w:cs="宋体"/>
          <w:sz w:val="24"/>
          <w:szCs w:val="24"/>
          <w:highlight w:val="none"/>
          <w:u w:val="single"/>
          <w:lang w:eastAsia="zh-CN"/>
        </w:rPr>
        <w:t>叁</w:t>
      </w:r>
      <w:r>
        <w:rPr>
          <w:rFonts w:hint="eastAsia" w:ascii="宋体" w:hAnsi="宋体" w:eastAsia="宋体" w:cs="宋体"/>
          <w:sz w:val="24"/>
          <w:szCs w:val="24"/>
          <w:highlight w:val="none"/>
        </w:rPr>
        <w:t>年（包括原厂质保和中标人免费维护，含所有保障</w:t>
      </w:r>
      <w:r>
        <w:rPr>
          <w:rFonts w:hint="eastAsia" w:ascii="宋体" w:hAnsi="宋体" w:eastAsia="宋体" w:cs="宋体"/>
          <w:sz w:val="24"/>
          <w:szCs w:val="24"/>
          <w:highlight w:val="none"/>
          <w:lang w:val="en-US" w:eastAsia="zh-CN"/>
        </w:rPr>
        <w:t>设备</w:t>
      </w:r>
      <w:r>
        <w:rPr>
          <w:rFonts w:hint="eastAsia" w:ascii="宋体" w:hAnsi="宋体" w:eastAsia="宋体" w:cs="宋体"/>
          <w:sz w:val="24"/>
          <w:szCs w:val="24"/>
          <w:highlight w:val="none"/>
        </w:rPr>
        <w:t>正常运行的主件、配件及材料等）。</w:t>
      </w:r>
    </w:p>
    <w:p w14:paraId="2DF455C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8.2售后服务要求</w:t>
      </w:r>
    </w:p>
    <w:p w14:paraId="56DC4F9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在免费质保期内，采购人向中标人发出故障通知后，中标人应当在1小时以内响应，在2小时以内到达现场，一般故障须在6小时内解决，重大故障须在24小时内解决。在质保期内，同一商品、同一质量问题连续两次维修仍无法正常使用，中标人必须无条件给予全套全新更换。</w:t>
      </w:r>
    </w:p>
    <w:p w14:paraId="79EA54D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九、违约责任</w:t>
      </w:r>
    </w:p>
    <w:p w14:paraId="7B892D8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合同一方不履行合同义务或者履行合同义务不符合约定的，应当承担继续履行、采取补救措施或赔偿损失等违约责任。</w:t>
      </w:r>
    </w:p>
    <w:p w14:paraId="4BE5C00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 甲方违约责任</w:t>
      </w:r>
    </w:p>
    <w:p w14:paraId="130B73A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9.1.1在合同生效后，非乙方原因甲方要求退货的，应向乙方偿付合同总价款的</w:t>
      </w:r>
      <w:r>
        <w:rPr>
          <w:rFonts w:hint="eastAsia" w:ascii="宋体" w:hAnsi="宋体" w:eastAsia="宋体" w:cs="宋体"/>
          <w:sz w:val="24"/>
          <w:szCs w:val="24"/>
          <w:highlight w:val="none"/>
          <w:u w:val="single"/>
        </w:rPr>
        <w:t xml:space="preserve"> 5 </w:t>
      </w:r>
      <w:r>
        <w:rPr>
          <w:rFonts w:hint="eastAsia" w:ascii="宋体" w:hAnsi="宋体" w:eastAsia="宋体" w:cs="宋体"/>
          <w:sz w:val="24"/>
          <w:szCs w:val="24"/>
          <w:highlight w:val="none"/>
        </w:rPr>
        <w:t>%，作为违约金，违约金不足以补偿损失的，乙方有权要求甲方补足。</w:t>
      </w:r>
    </w:p>
    <w:p w14:paraId="793BC4A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9.1.2 甲方逾期支付货款的应按照逾期付款金额的每天</w:t>
      </w:r>
      <w:r>
        <w:rPr>
          <w:rFonts w:hint="eastAsia" w:ascii="宋体" w:hAnsi="宋体" w:eastAsia="宋体" w:cs="宋体"/>
          <w:sz w:val="24"/>
          <w:szCs w:val="24"/>
          <w:highlight w:val="none"/>
          <w:u w:val="single"/>
        </w:rPr>
        <w:t>0. 1%</w:t>
      </w:r>
      <w:r>
        <w:rPr>
          <w:rFonts w:hint="eastAsia" w:ascii="宋体" w:hAnsi="宋体" w:eastAsia="宋体" w:cs="宋体"/>
          <w:sz w:val="24"/>
          <w:szCs w:val="24"/>
          <w:highlight w:val="none"/>
        </w:rPr>
        <w:t>支付逾期付款违约金。</w:t>
      </w:r>
    </w:p>
    <w:p w14:paraId="37E1D55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9.1.3 甲方违反合同规定，拒绝接收乙方交付的合格标的物，应当承担乙方由此造成的损失。</w:t>
      </w:r>
    </w:p>
    <w:p w14:paraId="0C48B0E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9.2 乙方违约责任</w:t>
      </w:r>
    </w:p>
    <w:p w14:paraId="610AAC5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9.2.1 乙方不能交货，或交货不合格从而影响甲方按期正常使用的，应向甲方偿付合同总价款</w:t>
      </w:r>
      <w:r>
        <w:rPr>
          <w:rFonts w:hint="eastAsia" w:ascii="宋体" w:hAnsi="宋体" w:eastAsia="宋体" w:cs="宋体"/>
          <w:sz w:val="24"/>
          <w:szCs w:val="24"/>
          <w:highlight w:val="none"/>
          <w:u w:val="single"/>
        </w:rPr>
        <w:t xml:space="preserve">  10 </w:t>
      </w:r>
      <w:r>
        <w:rPr>
          <w:rFonts w:hint="eastAsia" w:ascii="宋体" w:hAnsi="宋体" w:eastAsia="宋体" w:cs="宋体"/>
          <w:sz w:val="24"/>
          <w:szCs w:val="24"/>
          <w:highlight w:val="none"/>
        </w:rPr>
        <w:t>%的违约金，违约金不足以补偿损失的，甲方有权要求乙方补足。</w:t>
      </w:r>
    </w:p>
    <w:p w14:paraId="531CDB1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9.2.2 乙方逾期交货的 ，应在发货前与甲方和政府采购管理部门协商，甲方仍需求的，乙方应立即发货，按照逾期交货部分货款的每天</w:t>
      </w:r>
      <w:r>
        <w:rPr>
          <w:rFonts w:hint="eastAsia" w:ascii="宋体" w:hAnsi="宋体" w:eastAsia="宋体" w:cs="宋体"/>
          <w:sz w:val="24"/>
          <w:szCs w:val="24"/>
          <w:highlight w:val="none"/>
          <w:u w:val="single"/>
        </w:rPr>
        <w:t xml:space="preserve"> 0.1% </w:t>
      </w:r>
      <w:r>
        <w:rPr>
          <w:rFonts w:hint="eastAsia" w:ascii="宋体" w:hAnsi="宋体" w:eastAsia="宋体" w:cs="宋体"/>
          <w:sz w:val="24"/>
          <w:szCs w:val="24"/>
          <w:highlight w:val="none"/>
        </w:rPr>
        <w:t>支付逾期交货违约金，同时承担甲方因此遭致的损失费用。</w:t>
      </w:r>
    </w:p>
    <w:p w14:paraId="15F6AE7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十、不可抗力</w:t>
      </w:r>
    </w:p>
    <w:p w14:paraId="0D9D05A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10.1 因不可抗力不能履行合同的，根据不可抗力的影响，部分或者全部免除责任。但合同一方延迟履行后发生不可抗力的，不能免除责任。</w:t>
      </w:r>
    </w:p>
    <w:p w14:paraId="63E6B39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10.2 合同一方因不可抗力不能履行合同的，应当及时通知对方，以减轻可能给对方造成的损失，并应当在合理期限内提供证明。</w:t>
      </w:r>
    </w:p>
    <w:p w14:paraId="4828115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十一、索赔</w:t>
      </w:r>
    </w:p>
    <w:p w14:paraId="1A12F64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11.1 甲方有权根据当地产品质量检验机构或其他有权部门出具的检验证书向乙方提出索赔。</w:t>
      </w:r>
    </w:p>
    <w:p w14:paraId="599FDD3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 在本合同规定的检验期限和质量保证期内，如果乙方对甲方提出的索赔或差异有责任，则乙方应按甲方同意的下列一种或多种方式解决索赔事宜：</w:t>
      </w:r>
    </w:p>
    <w:p w14:paraId="545846A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11.2.1 乙方同意退货，并按合同规定的货币将货款退还给甲方，并且承担由此发生的一切损失和费用，包括利息、银行手续费、运费、保险费、检验费、仓储费、装卸费以及为保护退回标的物所需的其他必要费用。</w:t>
      </w:r>
    </w:p>
    <w:p w14:paraId="013AC39B">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11.2.2 根据标的物的低劣程度、损坏程度以及甲方遭受损失的数额，经双方协商确定降低标的物的价格。</w:t>
      </w:r>
    </w:p>
    <w:p w14:paraId="7D069A98">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11.2.3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14:paraId="7D15E06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14:paraId="21676C18">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十二、合同的解除和转让</w:t>
      </w:r>
    </w:p>
    <w:p w14:paraId="72583C2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12.1 甲方和乙方协商一致，可以解除合同。</w:t>
      </w:r>
    </w:p>
    <w:p w14:paraId="3CC26A7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 有下列情形之一，合同一方可以解除合同：</w:t>
      </w:r>
    </w:p>
    <w:p w14:paraId="299934D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12.2.1 因不可抗力致使不能实现合同目的，未受不可抗力影响的一方有权解除合同；</w:t>
      </w:r>
    </w:p>
    <w:p w14:paraId="1943E2F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12.2.2 因合同一方违约导致合同不能履行，另一方有权解除合同</w:t>
      </w:r>
    </w:p>
    <w:p w14:paraId="15FA6E0C">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12.2.3 有权解除合同的一方，应当在违约事实或不可抗力发生之后三十天内书面通知对方以主张解除合同，合同在书面通知到达对方时解除。</w:t>
      </w:r>
    </w:p>
    <w:p w14:paraId="555F5BD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12.3 合同的部分和全部都不得转让。</w:t>
      </w:r>
    </w:p>
    <w:p w14:paraId="13D67D3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十三、合同的生效及备案</w:t>
      </w:r>
    </w:p>
    <w:p w14:paraId="202E69A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本合同在乙方缴纳履约保证金，甲乙双方签字盖章后生效。</w:t>
      </w:r>
    </w:p>
    <w:p w14:paraId="7930D3B2">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十四、争议的解决</w:t>
      </w:r>
    </w:p>
    <w:p w14:paraId="750E3BDF">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甲乙双方因合同发生争议，应在采购人的主持下进行调解，协商不成，任何一方可以向甲方所在地人民法院起诉。</w:t>
      </w:r>
    </w:p>
    <w:p w14:paraId="572EC7FE">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十五、附则</w:t>
      </w:r>
    </w:p>
    <w:p w14:paraId="6327CEB1">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15.1 合同份数：本合同一式</w:t>
      </w:r>
      <w:r>
        <w:rPr>
          <w:rFonts w:hint="eastAsia" w:ascii="宋体" w:hAnsi="宋体" w:eastAsia="宋体" w:cs="宋体"/>
          <w:sz w:val="24"/>
          <w:szCs w:val="24"/>
          <w:highlight w:val="none"/>
          <w:lang w:val="en-US" w:eastAsia="zh-CN"/>
        </w:rPr>
        <w:t>肆</w:t>
      </w:r>
      <w:r>
        <w:rPr>
          <w:rFonts w:hint="eastAsia" w:ascii="宋体" w:hAnsi="宋体" w:eastAsia="宋体" w:cs="宋体"/>
          <w:sz w:val="24"/>
          <w:szCs w:val="24"/>
          <w:highlight w:val="none"/>
        </w:rPr>
        <w:t>份，采购人、供应商各贰份。</w:t>
      </w:r>
    </w:p>
    <w:p w14:paraId="3ABEF497">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15.2 本合同文件使用中文书写、解释和说明。</w:t>
      </w:r>
    </w:p>
    <w:p w14:paraId="5FE21BB5">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15.3 本合同履行过程中产生的纪要、协议以及中标通知书、采购响应文件和采购文件为本合同的附件，与合同具有同等效力。</w:t>
      </w:r>
    </w:p>
    <w:p w14:paraId="4BAAE856">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15.4 未尽事宜</w:t>
      </w:r>
    </w:p>
    <w:p w14:paraId="18802E9E">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本合同未尽事宜应按照《中华人民共和国民法典》、《中华人民共和国政府采购法》及其相关配套法律法规之规定解释。</w:t>
      </w:r>
    </w:p>
    <w:p w14:paraId="297791A9">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采购单位（盖章）：                中标供应商（盖章）：</w:t>
      </w:r>
    </w:p>
    <w:p w14:paraId="217EA364">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法定代表人（签字）：              法定代表人（签字）：</w:t>
      </w:r>
    </w:p>
    <w:p w14:paraId="0F7A96EA">
      <w:pPr>
        <w:adjustRightInd w:val="0"/>
        <w:snapToGrid w:val="0"/>
        <w:spacing w:line="500" w:lineRule="exact"/>
        <w:ind w:firstLine="480" w:firstLineChars="200"/>
        <w:contextualSpacing/>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委托代理人（签字）：              委托代理人（签字）：</w:t>
      </w:r>
    </w:p>
    <w:p w14:paraId="45887FAD">
      <w:pPr>
        <w:adjustRightInd w:val="0"/>
        <w:snapToGrid w:val="0"/>
        <w:spacing w:line="500" w:lineRule="exact"/>
        <w:ind w:firstLine="480" w:firstLineChars="200"/>
        <w:contextualSpacing/>
        <w:rPr>
          <w:rFonts w:hint="eastAsia" w:ascii="宋体" w:hAnsi="宋体" w:eastAsia="宋体" w:cs="宋体"/>
          <w:b/>
          <w:sz w:val="24"/>
          <w:szCs w:val="24"/>
          <w:highlight w:val="none"/>
        </w:rPr>
        <w:sectPr>
          <w:pgSz w:w="11906" w:h="16838"/>
          <w:pgMar w:top="1134" w:right="1474" w:bottom="1134" w:left="1474" w:header="851" w:footer="907" w:gutter="0"/>
          <w:cols w:space="720" w:num="1"/>
          <w:docGrid w:type="lines" w:linePitch="312" w:charSpace="0"/>
        </w:sectPr>
      </w:pPr>
      <w:r>
        <w:rPr>
          <w:rFonts w:hint="eastAsia" w:ascii="宋体" w:hAnsi="宋体" w:eastAsia="宋体" w:cs="宋体"/>
          <w:sz w:val="24"/>
          <w:szCs w:val="24"/>
          <w:highlight w:val="none"/>
        </w:rPr>
        <w:t xml:space="preserve">                                     年  月  </w:t>
      </w:r>
    </w:p>
    <w:p w14:paraId="1CFF321D">
      <w:pPr>
        <w:spacing w:line="360" w:lineRule="auto"/>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安全生产合同</w:t>
      </w:r>
    </w:p>
    <w:p w14:paraId="368B1A97">
      <w:pPr>
        <w:spacing w:line="360" w:lineRule="auto"/>
        <w:ind w:firstLine="480" w:firstLineChars="200"/>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为在合同的实施过程中创造安全、高效的施工环境，切实搞好本项目的安全管理工作，本项目业主南通市机关事务管理局（以下简称“甲方”）与承包人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（以下简称“乙方”）特此签订生产合同：</w:t>
      </w:r>
    </w:p>
    <w:p w14:paraId="5471C8F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一、甲方职责</w:t>
      </w:r>
    </w:p>
    <w:p w14:paraId="248465B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1、严格遵守国家有关安全生产的法律法规，负责组织</w:t>
      </w:r>
      <w:r>
        <w:rPr>
          <w:rFonts w:hint="eastAsia" w:asciiTheme="minorEastAsia" w:hAnsiTheme="minorEastAsia" w:eastAsiaTheme="minorEastAsia" w:cstheme="minorEastAsia"/>
          <w:b w:val="0"/>
          <w:bCs w:val="0"/>
          <w:sz w:val="24"/>
          <w:szCs w:val="24"/>
          <w:highlight w:val="none"/>
          <w:lang w:eastAsia="zh-CN"/>
        </w:rPr>
        <w:t>乙方</w:t>
      </w:r>
      <w:r>
        <w:rPr>
          <w:rFonts w:hint="eastAsia" w:asciiTheme="minorEastAsia" w:hAnsiTheme="minorEastAsia" w:eastAsiaTheme="minorEastAsia" w:cstheme="minorEastAsia"/>
          <w:b w:val="0"/>
          <w:bCs w:val="0"/>
          <w:sz w:val="24"/>
          <w:szCs w:val="24"/>
          <w:highlight w:val="none"/>
        </w:rPr>
        <w:t>按</w:t>
      </w:r>
      <w:r>
        <w:rPr>
          <w:rFonts w:hint="eastAsia" w:asciiTheme="minorEastAsia" w:hAnsiTheme="minorEastAsia" w:eastAsiaTheme="minorEastAsia" w:cstheme="minorEastAsia"/>
          <w:sz w:val="24"/>
          <w:szCs w:val="24"/>
          <w:highlight w:val="none"/>
        </w:rPr>
        <w:t>照行</w:t>
      </w:r>
      <w:bookmarkStart w:id="93" w:name="_GoBack"/>
      <w:bookmarkEnd w:id="93"/>
      <w:r>
        <w:rPr>
          <w:rFonts w:hint="eastAsia" w:asciiTheme="minorEastAsia" w:hAnsiTheme="minorEastAsia" w:eastAsiaTheme="minorEastAsia" w:cstheme="minorEastAsia"/>
          <w:sz w:val="24"/>
          <w:szCs w:val="24"/>
          <w:highlight w:val="none"/>
        </w:rPr>
        <w:t>业主管部门要求进行安全报监备案，认真执行工程承包合同中的有关安全要求。</w:t>
      </w:r>
    </w:p>
    <w:p w14:paraId="2DD6CDA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2、按照“安全第一、预防为主、综合治理”和坚持“管生产必须管安全”的原则进行安全生产管理，做到生产与安全工作同时计划、布置、检查、总结和评比。</w:t>
      </w:r>
    </w:p>
    <w:p w14:paraId="0219CADB">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3、重要的安全设施必须坚持与主体工程“三同时”的原则，即：同时设计、审批，同时施工，同时验收，投入使用。</w:t>
      </w:r>
    </w:p>
    <w:p w14:paraId="20E686E5">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4、定期召开安全生产调度会，及时传达中央及地方有关安全生产的文件精神。</w:t>
      </w:r>
    </w:p>
    <w:p w14:paraId="32F7C11E">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5、组织对乙方施工现场安全生产检查，监督乙方及时处理发现的各种安全隐患。</w:t>
      </w:r>
    </w:p>
    <w:p w14:paraId="07C370B3">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二、乙方职责</w:t>
      </w:r>
    </w:p>
    <w:p w14:paraId="6D6B782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1、严格遵守国家有关安全生产的法律法规及有关安全生产的规定，认真执行工程承包合同中的有关安全要求，主动积极配合上级主管部门的安全措施费考评和标化工地评审检验工作。</w:t>
      </w:r>
    </w:p>
    <w:p w14:paraId="7940F2D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人员和具体操作人员，必须熟悉和遵守本条款的各项规定，做到生产与安全工作同时计划、布置、检查、总结和评比。</w:t>
      </w:r>
    </w:p>
    <w:p w14:paraId="7CE9BFB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层层落实。项目经理是安全生产的第一责任人。现场设置的安全机构，应按施工人员的1％~3％配备安全员，专职负责所有员工的安全和治安保卫工作及预防事故的发生。安全机构人员须持有建设部制定的安全生产考核证书，有权按有关规定发布指令，并采取保护性措施防止事故发生。</w:t>
      </w:r>
    </w:p>
    <w:p w14:paraId="613E59B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4、乙方在任何时候都应采取各种合理的预防措施，防止其员工发生任何违法、违禁、暴力或妨碍治安的行为。</w:t>
      </w:r>
    </w:p>
    <w:p w14:paraId="1D8D53F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乙方必须具有省建管部门颁发的安全生产许可证书，参加施工的人员，必须经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特种作业操作证》后，方准持证上岗。施工现场如出现特种作业无证操作现象时,项目经理必须承担管理责任。</w:t>
      </w:r>
    </w:p>
    <w:p w14:paraId="660383A2">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对于易燃易爆的材料除应专门妥善保管之外，还应配备有足够的消防设施，所有施工人员都应熟悉消防设备的性能和使用方法；乙方不得将任何各类的爆炸物给予、易货或以其他方式转让给任何其他人，或允许、容忍上述同样行为。</w:t>
      </w:r>
    </w:p>
    <w:p w14:paraId="6143DCBD">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7、操作人员上岗，必须按规定穿戴防护用品，施工负责人和安全检查员应随时检查劳动防护用品的穿戴情况，不按规定穿戴防护用品的人员不得上岗。</w:t>
      </w:r>
    </w:p>
    <w:p w14:paraId="3D62629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8、所有施工机具设备和高空作业的设备均需检测合格，并有安全员经常性检查的签字记录，保证其经常处于完好状态；不合格的机具、设备和劳动保护用品严禁使用。</w:t>
      </w:r>
    </w:p>
    <w:p w14:paraId="55B3F304">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9、施工中采用新技术、新工艺、新设备、新材料时，必须制定相应的安全技术措施，施工现场必须具有相关的安全警告标志牌和安全操作规程牌。</w:t>
      </w:r>
    </w:p>
    <w:p w14:paraId="63D89C8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乙方必须按照本工程项目特点，组织制定本工程实施中的生产安全专项方案和事故应急救援预案；如果发生安全事故，应按照《国务院关于特大安全事故行政责任追究的规定》以及其它有关规定，及时上报有关部门，并坚持“四不放过”的原则，严肃处理相关责任人。</w:t>
      </w:r>
    </w:p>
    <w:p w14:paraId="435A499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三、违约责任</w:t>
      </w:r>
    </w:p>
    <w:p w14:paraId="3737B109">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如因甲方或乙方违约造成安全事故，将依法追究责任。</w:t>
      </w:r>
    </w:p>
    <w:p w14:paraId="0C591A41">
      <w:pPr>
        <w:spacing w:line="360" w:lineRule="auto"/>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本安全生产合同一式六份，双方各执三份。</w:t>
      </w:r>
    </w:p>
    <w:p w14:paraId="2C0A6CC3">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本合同由双方法定代表人或其授权的代理人签署与加盖公章后生效，全部工程竣工验收后失效。</w:t>
      </w:r>
    </w:p>
    <w:p w14:paraId="463E2619">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业  主： （盖章）                       承包人： （盖章）</w:t>
      </w:r>
    </w:p>
    <w:p w14:paraId="76EC0C88">
      <w:pPr>
        <w:spacing w:line="360" w:lineRule="auto"/>
        <w:ind w:firstLine="450"/>
        <w:rPr>
          <w:rFonts w:hint="eastAsia" w:asciiTheme="minorEastAsia" w:hAnsiTheme="minorEastAsia" w:eastAsiaTheme="minorEastAsia" w:cstheme="minorEastAsia"/>
          <w:sz w:val="24"/>
          <w:szCs w:val="24"/>
          <w:highlight w:val="none"/>
        </w:rPr>
      </w:pPr>
    </w:p>
    <w:p w14:paraId="6393899D">
      <w:pPr>
        <w:spacing w:line="360" w:lineRule="auto"/>
        <w:ind w:firstLine="4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法定代表人或其授权的代理人              法定代表或其授权的代理人:           </w:t>
      </w:r>
    </w:p>
    <w:p w14:paraId="2E999F56">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（签字）                                （签字）  </w:t>
      </w:r>
    </w:p>
    <w:p w14:paraId="6B6EAD8E">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32"/>
          <w:szCs w:val="32"/>
          <w:highlight w:val="none"/>
        </w:rPr>
        <w:br w:type="page"/>
      </w:r>
      <w:r>
        <w:rPr>
          <w:rFonts w:hint="eastAsia" w:asciiTheme="minorEastAsia" w:hAnsiTheme="minorEastAsia" w:eastAsiaTheme="minorEastAsia" w:cstheme="minorEastAsia"/>
          <w:b/>
          <w:bCs/>
          <w:sz w:val="32"/>
          <w:szCs w:val="32"/>
          <w:highlight w:val="none"/>
        </w:rPr>
        <w:t xml:space="preserve"> 工程建设项目廉政责任书</w:t>
      </w:r>
    </w:p>
    <w:p w14:paraId="0C26CA1B">
      <w:pPr>
        <w:adjustRightInd w:val="0"/>
        <w:snapToGrid w:val="0"/>
        <w:spacing w:line="360" w:lineRule="auto"/>
        <w:jc w:val="left"/>
        <w:rPr>
          <w:rFonts w:hint="eastAsia" w:asciiTheme="minorEastAsia" w:hAnsiTheme="minorEastAsia" w:eastAsiaTheme="minorEastAsia" w:cstheme="minorEastAsia"/>
          <w:sz w:val="24"/>
          <w:szCs w:val="24"/>
          <w:highlight w:val="none"/>
          <w:u w:val="single"/>
          <w:lang w:eastAsia="zh-CN"/>
        </w:rPr>
      </w:pPr>
      <w:r>
        <w:rPr>
          <w:rFonts w:hint="eastAsia" w:asciiTheme="minorEastAsia" w:hAnsiTheme="minorEastAsia" w:eastAsiaTheme="minorEastAsia" w:cstheme="minorEastAsia"/>
          <w:sz w:val="24"/>
          <w:szCs w:val="24"/>
          <w:highlight w:val="none"/>
        </w:rPr>
        <w:t>工程项目名称：</w:t>
      </w:r>
      <w:r>
        <w:rPr>
          <w:rFonts w:hint="eastAsia" w:asciiTheme="minorEastAsia" w:hAnsiTheme="minorEastAsia" w:eastAsiaTheme="minorEastAsia" w:cstheme="minorEastAsia"/>
          <w:sz w:val="24"/>
          <w:szCs w:val="24"/>
          <w:highlight w:val="none"/>
          <w:u w:val="single"/>
        </w:rPr>
        <w:t xml:space="preserve">                   </w:t>
      </w:r>
    </w:p>
    <w:p w14:paraId="07692093">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工程项目地址：</w:t>
      </w:r>
      <w:r>
        <w:rPr>
          <w:rFonts w:hint="eastAsia" w:asciiTheme="minorEastAsia" w:hAnsiTheme="minorEastAsia" w:eastAsiaTheme="minorEastAsia" w:cstheme="minorEastAsia"/>
          <w:sz w:val="24"/>
          <w:szCs w:val="24"/>
          <w:highlight w:val="none"/>
          <w:u w:val="single"/>
        </w:rPr>
        <w:t xml:space="preserve">                   </w:t>
      </w:r>
    </w:p>
    <w:p w14:paraId="056C35AF">
      <w:pPr>
        <w:adjustRightInd w:val="0"/>
        <w:snapToGrid w:val="0"/>
        <w:spacing w:line="360" w:lineRule="auto"/>
        <w:jc w:val="left"/>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建设单位（甲方）：</w:t>
      </w:r>
      <w:r>
        <w:rPr>
          <w:rFonts w:hint="eastAsia" w:asciiTheme="minorEastAsia" w:hAnsiTheme="minorEastAsia" w:eastAsiaTheme="minorEastAsia" w:cstheme="minorEastAsia"/>
          <w:sz w:val="24"/>
          <w:szCs w:val="24"/>
          <w:highlight w:val="none"/>
          <w:u w:val="single"/>
        </w:rPr>
        <w:t xml:space="preserve">                   </w:t>
      </w:r>
    </w:p>
    <w:p w14:paraId="068CD910">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施工单位（乙方）：</w:t>
      </w:r>
      <w:r>
        <w:rPr>
          <w:rFonts w:hint="eastAsia" w:asciiTheme="minorEastAsia" w:hAnsiTheme="minorEastAsia" w:eastAsiaTheme="minorEastAsia" w:cstheme="minorEastAsia"/>
          <w:sz w:val="24"/>
          <w:szCs w:val="24"/>
          <w:highlight w:val="none"/>
          <w:u w:val="single"/>
        </w:rPr>
        <w:t xml:space="preserve">                   </w:t>
      </w:r>
    </w:p>
    <w:p w14:paraId="314D10C2">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7653A2CD">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第一条 甲乙双方的责任</w:t>
      </w:r>
    </w:p>
    <w:p w14:paraId="28BA25D3">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1、应严格遵守国家关于市场准入、项目招标投标、工程建设、施工安装和市场活动等有关法律法规、相关政策，以及廉政建设的各项规定。</w:t>
      </w:r>
    </w:p>
    <w:p w14:paraId="3535FAA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2、严格执行建设工程项目承发包合同文件，自觉按合同办事。</w:t>
      </w:r>
    </w:p>
    <w:p w14:paraId="29692DA0">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3、业务活动必须坚持公开、公平、公正、诚信、透明的原则（除法律法规另有规定者外），不得为获取不正当的利益，损害国家、集体和对方利益，不得违反工程建设管理的规章制度。</w:t>
      </w:r>
    </w:p>
    <w:p w14:paraId="0BBA0B1F">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4、发现对方在业务活动中有违规、违纪、违法行为的，应及时提醒对方，情节严重的，向其上级主管部门或纪检监察、司法等有关机关举报。</w:t>
      </w:r>
    </w:p>
    <w:p w14:paraId="2F674B52">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第二条 甲方的责任</w:t>
      </w:r>
    </w:p>
    <w:p w14:paraId="5DA41213">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甲方的领导和从事该建设工程项目的工作人员，在工程建设的事前、事中、事后应遵守以下规定：</w:t>
      </w:r>
    </w:p>
    <w:p w14:paraId="0FF32CB9">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1、不准向乙方和相关单位索要或接受现金、代币购物券、礼仪储蓄单、债券、股票及其他有价证券、消费卡、购物卡、电话充值卡、商品提贷单等各种支付凭证和高档耐用物品、金银制品等贵重物品。</w:t>
      </w:r>
    </w:p>
    <w:p w14:paraId="0051F74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2、不准在乙方和相关单位报销应由甲方或个人支付的费用。</w:t>
      </w:r>
    </w:p>
    <w:p w14:paraId="4B649B4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3、不准要求、暗示和接受乙方和相关单位为个人装修住房、婚丧嫁娶、配偶子女的工作安排以及出国（境）、旅游等提供方便。</w:t>
      </w:r>
    </w:p>
    <w:p w14:paraId="2E44FEF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4、不准参加有可能影响公正执行公务的乙方和相关单位的宴请和健身、娱乐活动。</w:t>
      </w:r>
    </w:p>
    <w:p w14:paraId="3AFF0D5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615E537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6、不准在逢年过节、婚丧喜庆、工作调动、子女上学等方面收受乙方和相关单位的礼金、礼品。</w:t>
      </w:r>
    </w:p>
    <w:p w14:paraId="01BBECCA">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第三条 乙方的责任</w:t>
      </w:r>
    </w:p>
    <w:p w14:paraId="54863B0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应与甲方保持正常的业务交往，按照有关法律法规和程序开展业务工作，严格执行工程建设的有关方针、政策，尤其是有关建筑施工安装的强制性标准和规范，并遵守以下规定：</w:t>
      </w:r>
    </w:p>
    <w:p w14:paraId="21E1447C">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不准以任何理由向甲方、相关单位及其工作人员索要、接受或赠送现金、代币购物券、礼仪储蓄单、债券、股票及其他有价证券、消费卡、购物卡、电话充值卡、商品提贷单等各种支付凭证和高档耐用物品、金银制品等贵重物品。</w:t>
      </w:r>
    </w:p>
    <w:p w14:paraId="5B3F13DF">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2、不准以任何理由为甲方和相关单位报销应由对方或个人支付的费用。</w:t>
      </w:r>
    </w:p>
    <w:p w14:paraId="1F572F2D">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3、不准接受或暗示为甲方、相关单位或个人装修住房、婚丧嫁娶、配偶子女的工作安排以及出国（境）、旅游等提供方便。</w:t>
      </w:r>
    </w:p>
    <w:p w14:paraId="0F020AF7">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4、不准以任何理由为甲方、相关单位或个人组织有可能影响公正执行公务的宴请、健身、娱乐等活动。</w:t>
      </w:r>
    </w:p>
    <w:p w14:paraId="749DC177">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5、不准利用逢年过节、婚丧喜庆、工作调动、子女上学等机会向甲方或个人赠送礼金、礼品。</w:t>
      </w:r>
    </w:p>
    <w:p w14:paraId="642FE5C4">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第四条 违约责任</w:t>
      </w:r>
    </w:p>
    <w:p w14:paraId="5FF9BD06">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甲方工作人员有违反本责任书第一、二条责任行为的，按照管理权限，依据有关法律法规和规定给予党纪、政纪处分或组织处理；涉嫌犯罪的，移交司法机关追究刑事责任；给乙方单位造成经济损失的，应予以赔偿。</w:t>
      </w:r>
    </w:p>
    <w:p w14:paraId="608A3146">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2、乙方工作人员有违反本责任书第一、三条责任行为的，甲方有权终止施工合同，并报请主管部门取消参与本市范围内工程建设资格；给甲方单位造成经济损失的，应予以赔偿。</w:t>
      </w:r>
    </w:p>
    <w:p w14:paraId="07DD076B">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第五条 本责任书作为工程施工合同的附件；与工程施工合同具有同等法律效力。经双方签署后立即生效。</w:t>
      </w:r>
    </w:p>
    <w:p w14:paraId="1DB130A5">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第六条 本责任书的有效期为双方签署之日起至该工程项目缺陷责任期满时止。</w:t>
      </w:r>
    </w:p>
    <w:p w14:paraId="480328A1">
      <w:pPr>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w:t>
      </w:r>
      <w:r>
        <w:rPr>
          <w:rFonts w:hint="eastAsia" w:asciiTheme="minorEastAsia" w:hAnsiTheme="minorEastAsia" w:eastAsiaTheme="minorEastAsia" w:cstheme="minorEastAsia"/>
          <w:bCs/>
          <w:sz w:val="24"/>
          <w:szCs w:val="24"/>
          <w:highlight w:val="none"/>
        </w:rPr>
        <w:t>七条 本责任书一式六份，双方各执二份，招标办一份，招标人一份。</w:t>
      </w:r>
    </w:p>
    <w:p w14:paraId="5D8CC479">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甲方单位：（盖章）                   乙方单位：（盖章）</w:t>
      </w:r>
    </w:p>
    <w:p w14:paraId="1B95EBA8">
      <w:pPr>
        <w:snapToGri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代表人：                            代表人：</w:t>
      </w:r>
    </w:p>
    <w:p w14:paraId="04A6BDEF">
      <w:pPr>
        <w:snapToGrid w:val="0"/>
        <w:spacing w:line="360" w:lineRule="auto"/>
        <w:ind w:firstLine="6240" w:firstLineChars="26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14:paraId="2E805AC5">
      <w:pPr>
        <w:spacing w:line="460" w:lineRule="exact"/>
        <w:jc w:val="center"/>
        <w:rPr>
          <w:rFonts w:ascii="宋体" w:hAnsi="宋体" w:eastAsia="宋体" w:cs="宋体"/>
          <w:b/>
          <w:color w:val="000000"/>
          <w:sz w:val="24"/>
        </w:rPr>
      </w:pPr>
      <w:r>
        <w:rPr>
          <w:rFonts w:hint="eastAsia" w:ascii="宋体" w:hAnsi="宋体" w:eastAsia="宋体" w:cs="宋体"/>
          <w:b/>
          <w:color w:val="000000"/>
          <w:sz w:val="24"/>
        </w:rPr>
        <w:t>工程质量保修书</w:t>
      </w:r>
    </w:p>
    <w:p w14:paraId="4D7AB5BB">
      <w:pPr>
        <w:spacing w:line="460" w:lineRule="exact"/>
        <w:ind w:firstLine="480" w:firstLineChars="200"/>
        <w:rPr>
          <w:rFonts w:ascii="宋体" w:hAnsi="宋体" w:eastAsia="宋体" w:cs="宋体"/>
          <w:color w:val="000000"/>
          <w:sz w:val="24"/>
        </w:rPr>
      </w:pPr>
    </w:p>
    <w:p w14:paraId="33ECA2E9">
      <w:pPr>
        <w:spacing w:line="360" w:lineRule="auto"/>
        <w:ind w:firstLine="480" w:firstLineChars="200"/>
        <w:rPr>
          <w:rFonts w:ascii="宋体" w:hAnsi="宋体" w:eastAsia="宋体" w:cs="宋体"/>
          <w:sz w:val="24"/>
          <w:u w:val="single"/>
        </w:rPr>
      </w:pPr>
      <w:r>
        <w:rPr>
          <w:rFonts w:hint="eastAsia" w:ascii="宋体" w:hAnsi="宋体" w:eastAsia="宋体" w:cs="宋体"/>
          <w:sz w:val="24"/>
        </w:rPr>
        <w:t>发包人：</w:t>
      </w:r>
      <w:r>
        <w:rPr>
          <w:rFonts w:hint="eastAsia" w:ascii="宋体" w:hAnsi="宋体" w:eastAsia="宋体" w:cs="宋体"/>
          <w:b/>
          <w:sz w:val="24"/>
          <w:u w:val="single"/>
        </w:rPr>
        <w:t>南通市机关事务管理局</w:t>
      </w:r>
    </w:p>
    <w:p w14:paraId="2710B756">
      <w:pPr>
        <w:tabs>
          <w:tab w:val="left" w:pos="3936"/>
        </w:tabs>
        <w:spacing w:line="360" w:lineRule="auto"/>
        <w:ind w:firstLine="480" w:firstLineChars="200"/>
        <w:rPr>
          <w:rFonts w:ascii="宋体" w:hAnsi="宋体" w:eastAsia="宋体" w:cs="宋体"/>
          <w:sz w:val="24"/>
          <w:u w:val="single"/>
        </w:rPr>
      </w:pPr>
      <w:r>
        <w:rPr>
          <w:rFonts w:hint="eastAsia" w:ascii="宋体" w:hAnsi="宋体" w:eastAsia="宋体" w:cs="宋体"/>
          <w:sz w:val="24"/>
        </w:rPr>
        <w:t>承包人：</w:t>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p>
    <w:p w14:paraId="4A1B2C54">
      <w:pPr>
        <w:shd w:val="clear" w:color="auto"/>
        <w:spacing w:line="560" w:lineRule="exact"/>
        <w:ind w:firstLine="480" w:firstLineChars="200"/>
        <w:rPr>
          <w:rFonts w:ascii="宋体" w:hAnsi="宋体" w:eastAsia="宋体" w:cs="宋体"/>
          <w:color w:val="000000"/>
          <w:sz w:val="24"/>
        </w:rPr>
      </w:pPr>
      <w:r>
        <w:rPr>
          <w:rFonts w:hint="eastAsia" w:ascii="宋体" w:hAnsi="宋体" w:eastAsia="宋体" w:cs="宋体"/>
          <w:color w:val="000000"/>
          <w:sz w:val="24"/>
        </w:rPr>
        <w:t>发包人和承包人根据《中华人民共和国建筑法》和《建设工程质量管理条例》，经协商一致就</w:t>
      </w:r>
      <w:r>
        <w:rPr>
          <w:rFonts w:hint="eastAsia" w:ascii="宋体" w:hAnsi="宋体" w:eastAsia="宋体" w:cs="宋体"/>
          <w:b/>
          <w:bCs/>
          <w:color w:val="000000"/>
          <w:sz w:val="24"/>
          <w:u w:val="single"/>
          <w:lang w:eastAsia="zh-CN"/>
        </w:rPr>
        <w:t>南通市政务中心食堂服务中心设备采购项目（二次）</w:t>
      </w:r>
      <w:r>
        <w:rPr>
          <w:rFonts w:hint="eastAsia" w:ascii="宋体" w:hAnsi="宋体" w:eastAsia="宋体" w:cs="宋体"/>
          <w:color w:val="000000"/>
          <w:sz w:val="24"/>
          <w:u w:val="single"/>
        </w:rPr>
        <w:t>（工程全称）</w:t>
      </w:r>
      <w:r>
        <w:rPr>
          <w:rFonts w:hint="eastAsia" w:ascii="宋体" w:hAnsi="宋体" w:eastAsia="宋体" w:cs="宋体"/>
          <w:color w:val="000000"/>
          <w:sz w:val="24"/>
        </w:rPr>
        <w:t>签订工程质量保修书。</w:t>
      </w:r>
    </w:p>
    <w:p w14:paraId="43CDF9B9">
      <w:pPr>
        <w:autoSpaceDE w:val="0"/>
        <w:autoSpaceDN w:val="0"/>
        <w:adjustRightIn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一、工程质量保修范围和内容</w:t>
      </w:r>
    </w:p>
    <w:p w14:paraId="2765E7D3">
      <w:pPr>
        <w:autoSpaceDE w:val="0"/>
        <w:autoSpaceDN w:val="0"/>
        <w:adjustRightIn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承包人在质量保修期内，按照有关法律规定和合同约定，承担工程质量保修责任。</w:t>
      </w:r>
    </w:p>
    <w:p w14:paraId="796B3526">
      <w:pPr>
        <w:autoSpaceDE w:val="0"/>
        <w:autoSpaceDN w:val="0"/>
        <w:adjustRightInd w:val="0"/>
        <w:spacing w:line="360" w:lineRule="auto"/>
        <w:ind w:firstLine="480" w:firstLineChars="200"/>
        <w:rPr>
          <w:rFonts w:ascii="宋体" w:hAnsi="宋体" w:eastAsia="宋体" w:cs="宋体"/>
          <w:b/>
          <w:color w:val="000000"/>
          <w:sz w:val="24"/>
          <w:u w:val="single"/>
        </w:rPr>
      </w:pPr>
      <w:r>
        <w:rPr>
          <w:rFonts w:hint="eastAsia" w:ascii="宋体" w:hAnsi="宋体" w:eastAsia="宋体" w:cs="宋体"/>
          <w:color w:val="000000"/>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color w:val="000000"/>
          <w:sz w:val="24"/>
          <w:u w:val="single"/>
        </w:rPr>
        <w:t>承包人所施工的内容。</w:t>
      </w:r>
    </w:p>
    <w:p w14:paraId="43B982A5">
      <w:pPr>
        <w:autoSpaceDE w:val="0"/>
        <w:autoSpaceDN w:val="0"/>
        <w:adjustRightInd w:val="0"/>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二、质量保修期</w:t>
      </w:r>
    </w:p>
    <w:p w14:paraId="7BD7AC52">
      <w:pPr>
        <w:spacing w:line="360" w:lineRule="auto"/>
        <w:ind w:firstLine="480" w:firstLineChars="200"/>
        <w:rPr>
          <w:rFonts w:ascii="宋体" w:hAnsi="宋体" w:eastAsia="宋体" w:cs="宋体"/>
          <w:sz w:val="24"/>
        </w:rPr>
      </w:pPr>
      <w:r>
        <w:rPr>
          <w:rFonts w:hint="eastAsia" w:ascii="宋体" w:hAnsi="宋体" w:eastAsia="宋体" w:cs="宋体"/>
          <w:sz w:val="24"/>
        </w:rPr>
        <w:t>根据《建设工程质量管理条例》及有关规定，工程的质量保修期如下：</w:t>
      </w:r>
    </w:p>
    <w:p w14:paraId="56365CD6">
      <w:pPr>
        <w:spacing w:line="360" w:lineRule="auto"/>
        <w:ind w:firstLine="480" w:firstLineChars="200"/>
        <w:rPr>
          <w:rFonts w:ascii="宋体" w:hAnsi="宋体" w:eastAsia="宋体" w:cs="宋体"/>
          <w:sz w:val="24"/>
        </w:rPr>
      </w:pPr>
      <w:r>
        <w:rPr>
          <w:rFonts w:hint="eastAsia" w:ascii="宋体" w:hAnsi="宋体" w:eastAsia="宋体" w:cs="宋体"/>
          <w:sz w:val="24"/>
        </w:rPr>
        <w:t>1．地基基础工程和主体结构工程为设计文件规定的工程合理使用年限；</w:t>
      </w:r>
    </w:p>
    <w:p w14:paraId="19DE8BCF">
      <w:pPr>
        <w:spacing w:line="360" w:lineRule="auto"/>
        <w:ind w:firstLine="480" w:firstLineChars="200"/>
        <w:rPr>
          <w:rFonts w:ascii="宋体" w:hAnsi="宋体" w:eastAsia="宋体" w:cs="宋体"/>
          <w:sz w:val="24"/>
        </w:rPr>
      </w:pPr>
      <w:r>
        <w:rPr>
          <w:rFonts w:hint="eastAsia" w:ascii="宋体" w:hAnsi="宋体" w:eastAsia="宋体" w:cs="宋体"/>
          <w:sz w:val="24"/>
        </w:rPr>
        <w:t>2．屋面防水工程、有防水要求的卫生间、房间和外墙面的防渗为</w:t>
      </w:r>
      <w:r>
        <w:rPr>
          <w:rFonts w:hint="eastAsia" w:ascii="宋体" w:hAnsi="宋体" w:eastAsia="宋体" w:cs="宋体"/>
          <w:sz w:val="24"/>
          <w:u w:val="single"/>
        </w:rPr>
        <w:t xml:space="preserve"> </w:t>
      </w:r>
      <w:r>
        <w:rPr>
          <w:rStyle w:val="318"/>
          <w:rFonts w:hint="eastAsia" w:ascii="宋体" w:hAnsi="宋体" w:eastAsia="宋体" w:cs="宋体"/>
          <w:b/>
          <w:i w:val="0"/>
          <w:sz w:val="24"/>
          <w:u w:val="single"/>
        </w:rPr>
        <w:t>5</w:t>
      </w:r>
      <w:r>
        <w:rPr>
          <w:rFonts w:hint="eastAsia" w:ascii="宋体" w:hAnsi="宋体" w:eastAsia="宋体" w:cs="宋体"/>
          <w:i/>
          <w:sz w:val="24"/>
          <w:u w:val="single"/>
        </w:rPr>
        <w:t xml:space="preserve"> </w:t>
      </w:r>
      <w:r>
        <w:rPr>
          <w:rFonts w:hint="eastAsia" w:ascii="宋体" w:hAnsi="宋体" w:eastAsia="宋体" w:cs="宋体"/>
          <w:sz w:val="24"/>
        </w:rPr>
        <w:t>年；</w:t>
      </w:r>
    </w:p>
    <w:p w14:paraId="779B7F2A">
      <w:pPr>
        <w:spacing w:line="360" w:lineRule="auto"/>
        <w:ind w:firstLine="480" w:firstLineChars="200"/>
        <w:rPr>
          <w:rFonts w:ascii="宋体" w:hAnsi="宋体" w:eastAsia="宋体" w:cs="宋体"/>
          <w:sz w:val="24"/>
        </w:rPr>
      </w:pPr>
      <w:r>
        <w:rPr>
          <w:rFonts w:hint="eastAsia" w:ascii="宋体" w:hAnsi="宋体" w:eastAsia="宋体" w:cs="宋体"/>
          <w:sz w:val="24"/>
        </w:rPr>
        <w:t>3．装修工程为</w:t>
      </w:r>
      <w:r>
        <w:rPr>
          <w:rFonts w:hint="eastAsia" w:ascii="宋体" w:hAnsi="宋体" w:eastAsia="宋体" w:cs="宋体"/>
          <w:sz w:val="24"/>
          <w:u w:val="single"/>
        </w:rPr>
        <w:t xml:space="preserve"> </w:t>
      </w:r>
      <w:r>
        <w:rPr>
          <w:rFonts w:hint="eastAsia" w:ascii="宋体" w:hAnsi="宋体" w:eastAsia="宋体" w:cs="宋体"/>
          <w:b/>
          <w:bCs/>
          <w:sz w:val="24"/>
          <w:u w:val="single"/>
        </w:rPr>
        <w:t>3</w:t>
      </w:r>
      <w:r>
        <w:rPr>
          <w:rFonts w:hint="eastAsia" w:ascii="宋体" w:hAnsi="宋体" w:eastAsia="宋体" w:cs="宋体"/>
          <w:sz w:val="24"/>
          <w:u w:val="single"/>
        </w:rPr>
        <w:t xml:space="preserve"> </w:t>
      </w:r>
      <w:r>
        <w:rPr>
          <w:rFonts w:hint="eastAsia" w:ascii="宋体" w:hAnsi="宋体" w:eastAsia="宋体" w:cs="宋体"/>
          <w:sz w:val="24"/>
        </w:rPr>
        <w:t>年；</w:t>
      </w:r>
    </w:p>
    <w:p w14:paraId="559EB013">
      <w:pPr>
        <w:spacing w:line="360" w:lineRule="auto"/>
        <w:ind w:firstLine="480" w:firstLineChars="200"/>
        <w:rPr>
          <w:rFonts w:ascii="宋体" w:hAnsi="宋体" w:eastAsia="宋体" w:cs="宋体"/>
          <w:sz w:val="24"/>
        </w:rPr>
      </w:pPr>
      <w:r>
        <w:rPr>
          <w:rFonts w:hint="eastAsia" w:ascii="宋体" w:hAnsi="宋体" w:eastAsia="宋体" w:cs="宋体"/>
          <w:sz w:val="24"/>
        </w:rPr>
        <w:t>4．电气管线、给排水管道、设备安装工程为</w:t>
      </w:r>
      <w:r>
        <w:rPr>
          <w:rFonts w:hint="eastAsia" w:ascii="宋体" w:hAnsi="宋体" w:eastAsia="宋体" w:cs="宋体"/>
          <w:sz w:val="24"/>
          <w:u w:val="single"/>
        </w:rPr>
        <w:t xml:space="preserve"> </w:t>
      </w:r>
      <w:r>
        <w:rPr>
          <w:rFonts w:hint="eastAsia" w:ascii="宋体" w:hAnsi="宋体" w:eastAsia="宋体" w:cs="宋体"/>
          <w:b/>
          <w:bCs/>
          <w:sz w:val="24"/>
          <w:u w:val="single"/>
        </w:rPr>
        <w:t>3</w:t>
      </w:r>
      <w:r>
        <w:rPr>
          <w:rFonts w:hint="eastAsia" w:ascii="宋体" w:hAnsi="宋体" w:eastAsia="宋体" w:cs="宋体"/>
          <w:sz w:val="24"/>
          <w:u w:val="single"/>
        </w:rPr>
        <w:t xml:space="preserve"> </w:t>
      </w:r>
      <w:r>
        <w:rPr>
          <w:rFonts w:hint="eastAsia" w:ascii="宋体" w:hAnsi="宋体" w:eastAsia="宋体" w:cs="宋体"/>
          <w:sz w:val="24"/>
        </w:rPr>
        <w:t>年；</w:t>
      </w:r>
    </w:p>
    <w:p w14:paraId="78CF4542">
      <w:pPr>
        <w:spacing w:line="360" w:lineRule="auto"/>
        <w:ind w:firstLine="480" w:firstLineChars="200"/>
        <w:rPr>
          <w:rFonts w:ascii="宋体" w:hAnsi="宋体" w:eastAsia="宋体" w:cs="宋体"/>
          <w:sz w:val="24"/>
        </w:rPr>
      </w:pPr>
      <w:r>
        <w:rPr>
          <w:rFonts w:hint="eastAsia" w:ascii="宋体" w:hAnsi="宋体" w:eastAsia="宋体" w:cs="宋体"/>
          <w:sz w:val="24"/>
        </w:rPr>
        <w:t>5．供热与供冷系统为</w:t>
      </w:r>
      <w:r>
        <w:rPr>
          <w:rFonts w:hint="eastAsia" w:ascii="宋体" w:hAnsi="宋体" w:eastAsia="宋体" w:cs="宋体"/>
          <w:sz w:val="24"/>
          <w:u w:val="single"/>
        </w:rPr>
        <w:t xml:space="preserve">  </w:t>
      </w:r>
      <w:r>
        <w:rPr>
          <w:rStyle w:val="318"/>
          <w:rFonts w:hint="eastAsia"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个采暖期、供冷期；</w:t>
      </w:r>
    </w:p>
    <w:p w14:paraId="1A92B4BF">
      <w:pPr>
        <w:spacing w:line="360" w:lineRule="auto"/>
        <w:ind w:firstLine="480" w:firstLineChars="200"/>
        <w:rPr>
          <w:rFonts w:ascii="宋体" w:hAnsi="宋体" w:eastAsia="宋体" w:cs="宋体"/>
          <w:sz w:val="24"/>
        </w:rPr>
      </w:pPr>
      <w:r>
        <w:rPr>
          <w:rFonts w:hint="eastAsia" w:ascii="宋体" w:hAnsi="宋体" w:eastAsia="宋体" w:cs="宋体"/>
          <w:sz w:val="24"/>
        </w:rPr>
        <w:t>6．住宅小区内的给排水设施、道路等配套工程为</w:t>
      </w:r>
      <w:r>
        <w:rPr>
          <w:rFonts w:hint="eastAsia" w:ascii="宋体" w:hAnsi="宋体" w:eastAsia="宋体" w:cs="宋体"/>
          <w:sz w:val="24"/>
          <w:u w:val="single"/>
        </w:rPr>
        <w:t xml:space="preserve">  </w:t>
      </w:r>
      <w:r>
        <w:rPr>
          <w:rStyle w:val="318"/>
          <w:rFonts w:hint="eastAsia" w:ascii="宋体" w:hAnsi="宋体" w:eastAsia="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p>
    <w:p w14:paraId="720E5B56">
      <w:pPr>
        <w:spacing w:line="360" w:lineRule="auto"/>
        <w:ind w:firstLine="480" w:firstLineChars="200"/>
        <w:rPr>
          <w:rFonts w:ascii="宋体" w:hAnsi="宋体" w:eastAsia="宋体" w:cs="宋体"/>
          <w:sz w:val="24"/>
        </w:rPr>
      </w:pPr>
      <w:r>
        <w:rPr>
          <w:rFonts w:hint="eastAsia" w:ascii="宋体" w:hAnsi="宋体" w:eastAsia="宋体" w:cs="宋体"/>
          <w:sz w:val="24"/>
        </w:rPr>
        <w:t>7．其他项目保修期限约定如下：</w:t>
      </w:r>
      <w:r>
        <w:rPr>
          <w:rFonts w:hint="eastAsia" w:ascii="宋体" w:hAnsi="宋体" w:eastAsia="宋体" w:cs="宋体"/>
          <w:b/>
          <w:bCs/>
          <w:sz w:val="24"/>
          <w:u w:val="single"/>
        </w:rPr>
        <w:t>本项目所有货物（设备）及未列明项目的质保期均为</w:t>
      </w:r>
      <w:r>
        <w:rPr>
          <w:rFonts w:ascii="宋体" w:hAnsi="宋体" w:eastAsia="宋体" w:cs="宋体"/>
          <w:b/>
          <w:bCs/>
          <w:sz w:val="24"/>
          <w:u w:val="single"/>
        </w:rPr>
        <w:t>3年。</w:t>
      </w:r>
    </w:p>
    <w:p w14:paraId="592B1361">
      <w:pPr>
        <w:pStyle w:val="2"/>
        <w:ind w:left="0" w:leftChars="0" w:firstLine="482"/>
        <w:rPr>
          <w:rFonts w:ascii="宋体" w:hAnsi="宋体" w:cs="宋体"/>
          <w:sz w:val="24"/>
        </w:rPr>
      </w:pPr>
      <w:r>
        <w:rPr>
          <w:rFonts w:hint="eastAsia" w:ascii="宋体" w:hAnsi="宋体" w:cs="宋体"/>
          <w:b/>
          <w:sz w:val="24"/>
        </w:rPr>
        <w:t>质量保修期自竣工验收合格之日起计算</w:t>
      </w:r>
      <w:r>
        <w:rPr>
          <w:rFonts w:hint="eastAsia" w:ascii="宋体" w:hAnsi="宋体" w:cs="宋体"/>
          <w:sz w:val="24"/>
        </w:rPr>
        <w:t>。</w:t>
      </w:r>
    </w:p>
    <w:p w14:paraId="2D9A8DED">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三、缺陷责任期</w:t>
      </w:r>
    </w:p>
    <w:p w14:paraId="2AFC4D46">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工程缺陷责任期为</w:t>
      </w:r>
      <w:r>
        <w:rPr>
          <w:rFonts w:hint="eastAsia" w:ascii="宋体" w:hAnsi="宋体" w:eastAsia="宋体" w:cs="宋体"/>
          <w:b/>
          <w:color w:val="000000"/>
          <w:sz w:val="24"/>
          <w:u w:val="single"/>
        </w:rPr>
        <w:t>24</w:t>
      </w:r>
      <w:r>
        <w:rPr>
          <w:rFonts w:hint="eastAsia" w:ascii="宋体" w:hAnsi="宋体" w:eastAsia="宋体" w:cs="宋体"/>
          <w:color w:val="000000"/>
          <w:sz w:val="24"/>
        </w:rPr>
        <w:t>个月，缺陷责任期自工程竣工验收合格之日起计算。单位工程先于全部工程进行验收，单位工程缺陷责任期自单位工程验收合格之日起算。</w:t>
      </w:r>
    </w:p>
    <w:p w14:paraId="2073168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四、质量保修责任</w:t>
      </w:r>
    </w:p>
    <w:p w14:paraId="3998619E">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1．属于保修范围、内容的项目，承包人应当在接到保修通知之日起7天内派人保修。承包人不在约定期限内派人保修的，发包人可以委托他人修理。</w:t>
      </w:r>
    </w:p>
    <w:p w14:paraId="5964E9DA">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2．发生紧急事故需抢修的，承包人在接到事故通知后，应当立即到达事故现场抢修。</w:t>
      </w:r>
    </w:p>
    <w:p w14:paraId="032E322E">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0AD0EE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4．在工程设计使用期内，承包人确保地基基础工程和主体结构的质量。因承包人原因致使工程在设计使用期内造成人身和财产损害的，承包人应承担损害赔偿责任。</w:t>
      </w:r>
    </w:p>
    <w:p w14:paraId="22B37644">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5.质量保修完成后，由发包人组织验收。</w:t>
      </w:r>
    </w:p>
    <w:p w14:paraId="62090947">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五、保修费用</w:t>
      </w:r>
    </w:p>
    <w:p w14:paraId="271BCBEB">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保修费用由造成质量缺陷的责任方承担，工程质量保修金为发包人指定的审计单位确认最终审计结算价的3%。</w:t>
      </w:r>
    </w:p>
    <w:p w14:paraId="35E618A6">
      <w:pPr>
        <w:spacing w:line="360" w:lineRule="auto"/>
        <w:ind w:firstLine="482" w:firstLineChars="200"/>
        <w:rPr>
          <w:rFonts w:ascii="宋体" w:hAnsi="宋体" w:eastAsia="宋体" w:cs="宋体"/>
          <w:color w:val="000000"/>
          <w:sz w:val="24"/>
        </w:rPr>
      </w:pPr>
      <w:r>
        <w:rPr>
          <w:rFonts w:hint="eastAsia" w:ascii="宋体" w:hAnsi="宋体" w:eastAsia="宋体" w:cs="宋体"/>
          <w:b/>
          <w:color w:val="000000"/>
          <w:sz w:val="24"/>
        </w:rPr>
        <w:t>六</w:t>
      </w:r>
      <w:r>
        <w:rPr>
          <w:rFonts w:hint="eastAsia" w:ascii="宋体" w:hAnsi="宋体" w:eastAsia="宋体" w:cs="宋体"/>
          <w:color w:val="000000"/>
          <w:sz w:val="24"/>
        </w:rPr>
        <w:t>、双方约定的其他工程质量保修事项：</w:t>
      </w:r>
    </w:p>
    <w:p w14:paraId="05341824">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（1）工程保修期内，承包人委托一名代表专职处理本工程的维修工作。</w:t>
      </w:r>
    </w:p>
    <w:p w14:paraId="4F4B2032">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（2）本合同约定的质量保修金银行利率为0。</w:t>
      </w:r>
    </w:p>
    <w:p w14:paraId="53BDB5C6">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（3）承包人实施工程质量保修须遵守有关规定。</w:t>
      </w:r>
    </w:p>
    <w:p w14:paraId="3103BAED">
      <w:pPr>
        <w:spacing w:line="360" w:lineRule="auto"/>
        <w:ind w:firstLine="480" w:firstLineChars="200"/>
        <w:rPr>
          <w:rFonts w:ascii="宋体" w:hAnsi="宋体" w:eastAsia="宋体" w:cs="宋体"/>
          <w:color w:val="000000"/>
          <w:sz w:val="24"/>
          <w:u w:val="single"/>
        </w:rPr>
      </w:pPr>
      <w:r>
        <w:rPr>
          <w:rFonts w:hint="eastAsia" w:ascii="宋体" w:hAnsi="宋体" w:eastAsia="宋体" w:cs="宋体"/>
          <w:color w:val="000000"/>
          <w:sz w:val="24"/>
          <w:u w:val="single"/>
        </w:rPr>
        <w:t>（4）因承包人未能及时履行保修责任引起发包人的一切损失，均由承包人承担，发生的保修费用由发包人从保修金中抵扣。不足部分，由承包人承担。</w:t>
      </w:r>
    </w:p>
    <w:p w14:paraId="042EA758">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 xml:space="preserve"> 本工程质量保修书，由施工合同发包人、承包人三方在竣工验收前共同签署，作为施工合同附件，其有效期限至保修期满。</w:t>
      </w:r>
    </w:p>
    <w:p w14:paraId="79AADE4E">
      <w:pPr>
        <w:autoSpaceDE w:val="0"/>
        <w:autoSpaceDN w:val="0"/>
        <w:adjustRightInd w:val="0"/>
        <w:spacing w:line="420" w:lineRule="exact"/>
        <w:jc w:val="left"/>
        <w:rPr>
          <w:rFonts w:ascii="宋体" w:hAnsi="宋体" w:eastAsia="宋体" w:cs="宋体"/>
          <w:color w:val="000000"/>
          <w:sz w:val="24"/>
        </w:rPr>
      </w:pPr>
    </w:p>
    <w:p w14:paraId="0A5B4530">
      <w:pPr>
        <w:autoSpaceDE w:val="0"/>
        <w:autoSpaceDN w:val="0"/>
        <w:adjustRightInd w:val="0"/>
        <w:spacing w:line="420" w:lineRule="exact"/>
        <w:jc w:val="left"/>
        <w:rPr>
          <w:rFonts w:ascii="宋体" w:hAnsi="宋体" w:eastAsia="宋体" w:cs="宋体"/>
          <w:color w:val="000000"/>
          <w:sz w:val="24"/>
        </w:rPr>
      </w:pPr>
    </w:p>
    <w:p w14:paraId="70E74802">
      <w:pPr>
        <w:autoSpaceDE w:val="0"/>
        <w:autoSpaceDN w:val="0"/>
        <w:adjustRightInd w:val="0"/>
        <w:spacing w:line="420" w:lineRule="exact"/>
        <w:jc w:val="left"/>
        <w:rPr>
          <w:rFonts w:ascii="宋体" w:hAnsi="宋体" w:eastAsia="宋体" w:cs="宋体"/>
          <w:color w:val="000000"/>
          <w:sz w:val="24"/>
        </w:rPr>
      </w:pPr>
    </w:p>
    <w:p w14:paraId="267560B7">
      <w:pPr>
        <w:autoSpaceDE w:val="0"/>
        <w:autoSpaceDN w:val="0"/>
        <w:adjustRightInd w:val="0"/>
        <w:spacing w:line="420" w:lineRule="exact"/>
        <w:jc w:val="left"/>
        <w:rPr>
          <w:rFonts w:ascii="宋体" w:hAnsi="宋体" w:eastAsia="宋体" w:cs="宋体"/>
          <w:color w:val="000000"/>
          <w:sz w:val="24"/>
        </w:rPr>
      </w:pPr>
    </w:p>
    <w:p w14:paraId="401E3802">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发包人（公章）：                   承包人（公章）：            </w:t>
      </w:r>
    </w:p>
    <w:p w14:paraId="0D1A6B5E">
      <w:pPr>
        <w:spacing w:line="360" w:lineRule="auto"/>
        <w:ind w:firstLine="480" w:firstLineChars="200"/>
        <w:rPr>
          <w:rFonts w:ascii="宋体" w:hAnsi="宋体" w:eastAsia="宋体" w:cs="宋体"/>
          <w:sz w:val="24"/>
        </w:rPr>
      </w:pPr>
    </w:p>
    <w:p w14:paraId="554E0179">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法定代表人（签字或盖章）：         法定代表人（签字或盖章）： </w:t>
      </w:r>
    </w:p>
    <w:p w14:paraId="3753B048">
      <w:pPr>
        <w:spacing w:line="360" w:lineRule="auto"/>
        <w:ind w:firstLine="480" w:firstLineChars="200"/>
        <w:rPr>
          <w:rFonts w:ascii="宋体" w:hAnsi="宋体" w:eastAsia="宋体" w:cs="宋体"/>
          <w:sz w:val="24"/>
        </w:rPr>
      </w:pPr>
    </w:p>
    <w:p w14:paraId="21BC3F6F">
      <w:pPr>
        <w:spacing w:line="360" w:lineRule="auto"/>
        <w:ind w:firstLine="2400" w:firstLineChars="1000"/>
        <w:rPr>
          <w:rFonts w:ascii="宋体" w:hAnsi="宋体" w:eastAsia="宋体" w:cs="宋体"/>
          <w:color w:val="000000"/>
          <w:sz w:val="24"/>
        </w:rPr>
      </w:pPr>
      <w:r>
        <w:rPr>
          <w:rFonts w:hint="eastAsia" w:ascii="宋体" w:hAnsi="宋体" w:eastAsia="宋体" w:cs="宋体"/>
          <w:sz w:val="24"/>
        </w:rPr>
        <w:t xml:space="preserve">                       年   月  日   </w:t>
      </w:r>
    </w:p>
    <w:p w14:paraId="493410B6">
      <w:pPr>
        <w:spacing w:line="276" w:lineRule="auto"/>
        <w:ind w:firstLine="420"/>
        <w:rPr>
          <w:rFonts w:ascii="宋体" w:hAnsi="宋体" w:eastAsia="宋体" w:cs="宋体"/>
          <w:sz w:val="24"/>
          <w:u w:val="single"/>
        </w:rPr>
      </w:pPr>
      <w:r>
        <w:rPr>
          <w:rFonts w:hint="eastAsia" w:ascii="宋体" w:hAnsi="宋体" w:eastAsia="宋体" w:cs="宋体"/>
          <w:b/>
          <w:color w:val="000000"/>
          <w:sz w:val="24"/>
        </w:rPr>
        <w:br w:type="page"/>
      </w:r>
    </w:p>
    <w:p w14:paraId="77E2A71A">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第六部分  响应文件组成</w:t>
      </w:r>
    </w:p>
    <w:p w14:paraId="16B424B1">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5B68351F">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1855D9E0">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1、供应商必须提供有效的营业执照复印件或扫描件。</w:t>
      </w:r>
    </w:p>
    <w:p w14:paraId="6B6D8BE2">
      <w:pPr>
        <w:shd w:val="clear" w:color="auto"/>
        <w:snapToGrid w:val="0"/>
        <w:spacing w:line="360" w:lineRule="auto"/>
        <w:ind w:firstLine="480"/>
        <w:rPr>
          <w:rFonts w:ascii="宋体" w:hAnsi="宋体" w:eastAsia="宋体" w:cs="宋体"/>
          <w:color w:val="000000"/>
          <w:sz w:val="24"/>
        </w:rPr>
      </w:pPr>
      <w:r>
        <w:rPr>
          <w:rFonts w:hint="eastAsia" w:ascii="宋体" w:hAnsi="宋体" w:eastAsia="宋体" w:cs="宋体"/>
          <w:snapToGrid/>
          <w:kern w:val="2"/>
          <w:sz w:val="24"/>
          <w:shd w:val="clear"/>
        </w:rPr>
        <w:t>2、</w:t>
      </w:r>
      <w:r>
        <w:rPr>
          <w:rFonts w:hint="eastAsia" w:ascii="宋体" w:hAnsi="宋体" w:eastAsia="宋体" w:cs="宋体"/>
          <w:color w:val="000000"/>
          <w:sz w:val="24"/>
          <w:shd w:val="clear"/>
        </w:rPr>
        <w:t>供应商法定代表人参加的，必须提供法定代表人身份证明（</w:t>
      </w:r>
      <w:r>
        <w:rPr>
          <w:rFonts w:hint="eastAsia" w:ascii="宋体" w:hAnsi="宋体" w:eastAsia="宋体" w:cs="宋体"/>
          <w:sz w:val="24"/>
          <w:shd w:val="clear"/>
        </w:rPr>
        <w:t>格式见附件</w:t>
      </w:r>
      <w:r>
        <w:rPr>
          <w:rFonts w:hint="eastAsia" w:ascii="宋体" w:hAnsi="宋体" w:eastAsia="宋体" w:cs="宋体"/>
          <w:color w:val="000000"/>
          <w:sz w:val="24"/>
          <w:shd w:val="clear"/>
        </w:rPr>
        <w:t>）；</w:t>
      </w:r>
    </w:p>
    <w:p w14:paraId="2A3CBB06">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color w:val="000000"/>
          <w:sz w:val="24"/>
        </w:rPr>
        <w:t>非法定代表人参加的，必须提供①法定代表人身份证明（格式附后）、②法定代表人签字或盖章的授权委托书（</w:t>
      </w:r>
      <w:r>
        <w:rPr>
          <w:rFonts w:hint="eastAsia" w:ascii="宋体" w:hAnsi="宋体" w:eastAsia="宋体" w:cs="宋体"/>
          <w:sz w:val="24"/>
        </w:rPr>
        <w:t>格式见附件</w:t>
      </w:r>
      <w:r>
        <w:rPr>
          <w:rFonts w:hint="eastAsia" w:ascii="宋体" w:hAnsi="宋体" w:eastAsia="宋体" w:cs="宋体"/>
          <w:color w:val="000000"/>
          <w:sz w:val="24"/>
        </w:rPr>
        <w:t>）。</w:t>
      </w:r>
    </w:p>
    <w:p w14:paraId="78F64373">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rPr>
        <w:t>3、供应商须提供《供应商信用承诺书》（格式见附件）。</w:t>
      </w:r>
    </w:p>
    <w:p w14:paraId="4CA150AA">
      <w:pPr>
        <w:snapToGrid w:val="0"/>
        <w:spacing w:line="360" w:lineRule="auto"/>
        <w:ind w:firstLine="470" w:firstLineChars="196"/>
        <w:jc w:val="left"/>
        <w:textAlignment w:val="baseline"/>
        <w:rPr>
          <w:rFonts w:ascii="宋体" w:hAnsi="宋体" w:eastAsia="宋体" w:cs="宋体"/>
          <w:snapToGrid/>
          <w:kern w:val="2"/>
          <w:sz w:val="24"/>
        </w:rPr>
      </w:pPr>
      <w:r>
        <w:rPr>
          <w:rFonts w:hint="eastAsia" w:ascii="宋体" w:hAnsi="宋体" w:eastAsia="宋体" w:cs="宋体"/>
          <w:snapToGrid/>
          <w:kern w:val="2"/>
          <w:sz w:val="24"/>
          <w:lang w:val="en-US" w:eastAsia="zh-CN"/>
        </w:rPr>
        <w:t>4</w:t>
      </w:r>
      <w:r>
        <w:rPr>
          <w:rFonts w:hint="eastAsia" w:ascii="宋体" w:hAnsi="宋体" w:eastAsia="宋体" w:cs="宋体"/>
          <w:snapToGrid/>
          <w:kern w:val="2"/>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sz w:val="24"/>
        </w:rPr>
        <w:t>，正本中必须为原件</w:t>
      </w:r>
      <w:r>
        <w:rPr>
          <w:rFonts w:hint="eastAsia" w:ascii="宋体" w:hAnsi="宋体" w:eastAsia="宋体" w:cs="宋体"/>
          <w:snapToGrid/>
          <w:kern w:val="2"/>
          <w:sz w:val="24"/>
        </w:rPr>
        <w:t>）。</w:t>
      </w:r>
    </w:p>
    <w:p w14:paraId="50675BC6">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、中小企业声明函或</w:t>
      </w:r>
      <w:r>
        <w:rPr>
          <w:rFonts w:hint="eastAsia" w:ascii="宋体" w:hAnsi="宋体" w:eastAsia="宋体" w:cs="宋体"/>
          <w:sz w:val="24"/>
          <w:lang w:val="zh-CN"/>
        </w:rPr>
        <w:t>残疾人福利性单位声明函</w:t>
      </w:r>
      <w:r>
        <w:rPr>
          <w:rFonts w:hint="eastAsia" w:ascii="宋体" w:hAnsi="宋体" w:eastAsia="宋体" w:cs="宋体"/>
          <w:sz w:val="24"/>
        </w:rPr>
        <w:t>或</w:t>
      </w:r>
      <w:r>
        <w:rPr>
          <w:rFonts w:hint="eastAsia" w:ascii="宋体" w:hAnsi="宋体" w:eastAsia="宋体" w:cs="宋体"/>
          <w:sz w:val="24"/>
          <w:lang w:val="zh-CN"/>
        </w:rPr>
        <w:t>监狱和戒毒企业证</w:t>
      </w:r>
      <w:r>
        <w:rPr>
          <w:rFonts w:hint="eastAsia" w:ascii="宋体" w:hAnsi="宋体" w:eastAsia="宋体" w:cs="宋体"/>
          <w:sz w:val="24"/>
        </w:rPr>
        <w:t>明材料（格式见附件，正本中必须为原件）。</w:t>
      </w:r>
    </w:p>
    <w:p w14:paraId="71E5E918">
      <w:pPr>
        <w:autoSpaceDE w:val="0"/>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、未被“信用中国”网站（www.creditchina.gov.cn）列入失信被执行人、重大税收违法案件当事人名单、政府采购严重违法失信行为记录名单</w:t>
      </w:r>
      <w:r>
        <w:rPr>
          <w:rFonts w:hint="eastAsia" w:ascii="宋体" w:hAnsi="宋体" w:eastAsia="宋体" w:cs="宋体"/>
          <w:b/>
          <w:bCs/>
          <w:sz w:val="24"/>
        </w:rPr>
        <w:t>（</w:t>
      </w:r>
      <w:r>
        <w:rPr>
          <w:rFonts w:hint="eastAsia" w:ascii="宋体" w:hAnsi="宋体" w:eastAsia="宋体" w:cs="宋体"/>
          <w:b/>
          <w:bCs/>
          <w:sz w:val="24"/>
          <w:lang w:eastAsia="zh-CN"/>
        </w:rPr>
        <w:t>提供</w:t>
      </w:r>
      <w:r>
        <w:rPr>
          <w:rFonts w:hint="eastAsia" w:ascii="宋体" w:hAnsi="宋体" w:eastAsia="宋体" w:cs="宋体"/>
          <w:b/>
          <w:bCs/>
          <w:sz w:val="24"/>
        </w:rPr>
        <w:t>截图）。</w:t>
      </w:r>
    </w:p>
    <w:p w14:paraId="14B9FECD">
      <w:pPr>
        <w:snapToGrid w:val="0"/>
        <w:spacing w:line="360" w:lineRule="auto"/>
        <w:ind w:firstLine="470" w:firstLineChars="196"/>
        <w:jc w:val="left"/>
        <w:textAlignment w:val="baseline"/>
        <w:rPr>
          <w:rFonts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、其他需要提交的资格审查证明材料。</w:t>
      </w:r>
    </w:p>
    <w:p w14:paraId="31090673">
      <w:pPr>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rPr>
        <w:t>注：以上材料均需加盖单位公章，要求提供原件查验的，因携带原件不全而由此引起的后果由供应商自负。</w:t>
      </w:r>
    </w:p>
    <w:p w14:paraId="0A6AA2E1">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57C0BB2C">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1、商务部分正负偏离表（格式见附件）；</w:t>
      </w:r>
    </w:p>
    <w:p w14:paraId="01E375B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2、技术部分正负偏离表（格式见附件）；</w:t>
      </w:r>
    </w:p>
    <w:p w14:paraId="4CFEC1C1">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3、商务技术评分标准中须提供的相关得分佐证材料；</w:t>
      </w:r>
    </w:p>
    <w:p w14:paraId="20C085EE">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4、供应商认为需要提交的其他商务技术材料。</w:t>
      </w:r>
    </w:p>
    <w:p w14:paraId="011F91E6">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（三）报价响应文件（单独装订密封）</w:t>
      </w:r>
    </w:p>
    <w:p w14:paraId="0DCE5D37">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1、磋商响应报价总表，格式见附件；</w:t>
      </w:r>
    </w:p>
    <w:p w14:paraId="084E71C9">
      <w:pPr>
        <w:snapToGrid w:val="0"/>
        <w:spacing w:line="360" w:lineRule="auto"/>
        <w:ind w:firstLine="494" w:firstLineChars="206"/>
        <w:outlineLvl w:val="1"/>
        <w:rPr>
          <w:rFonts w:ascii="宋体" w:hAnsi="宋体" w:eastAsia="宋体" w:cs="宋体"/>
          <w:sz w:val="24"/>
        </w:rPr>
      </w:pPr>
      <w:r>
        <w:rPr>
          <w:rFonts w:hint="eastAsia" w:ascii="宋体" w:hAnsi="宋体" w:eastAsia="宋体" w:cs="宋体"/>
          <w:sz w:val="24"/>
        </w:rPr>
        <w:t>2、磋商响应详细报价表（应用预算软件编制并打印），包括：【编制说明】、【投标报价汇总表】、【已标价的工程量清单】、【工程量清单单价分析表】等。</w:t>
      </w:r>
    </w:p>
    <w:p w14:paraId="18F03BBC">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Cs/>
          <w:sz w:val="24"/>
        </w:rPr>
        <w:br w:type="page"/>
      </w:r>
      <w:r>
        <w:rPr>
          <w:rFonts w:hint="eastAsia" w:ascii="宋体" w:hAnsi="宋体" w:eastAsia="宋体" w:cs="宋体"/>
          <w:b/>
          <w:bCs/>
          <w:snapToGrid/>
          <w:kern w:val="2"/>
          <w:sz w:val="28"/>
          <w:szCs w:val="28"/>
        </w:rPr>
        <w:t>附件：</w:t>
      </w:r>
    </w:p>
    <w:p w14:paraId="13700ABC">
      <w:pPr>
        <w:adjustRightInd w:val="0"/>
        <w:snapToGrid w:val="0"/>
        <w:spacing w:line="420" w:lineRule="exact"/>
        <w:jc w:val="center"/>
        <w:outlineLvl w:val="1"/>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51EF6BBF">
      <w:pPr>
        <w:spacing w:before="312" w:beforeLines="100" w:line="360" w:lineRule="exact"/>
        <w:jc w:val="center"/>
        <w:rPr>
          <w:rFonts w:asciiTheme="majorEastAsia" w:hAnsiTheme="majorEastAsia" w:eastAsiaTheme="majorEastAsia" w:cstheme="majorEastAsia"/>
          <w:w w:val="80"/>
          <w:kern w:val="44"/>
          <w:sz w:val="24"/>
        </w:rPr>
      </w:pPr>
    </w:p>
    <w:p w14:paraId="0F16C89F">
      <w:pPr>
        <w:spacing w:line="360" w:lineRule="auto"/>
        <w:jc w:val="center"/>
        <w:rPr>
          <w:rFonts w:hint="eastAsia"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32"/>
          <w:szCs w:val="32"/>
          <w:lang w:eastAsia="zh-CN"/>
        </w:rPr>
        <w:t>南通市政务中心食堂服务中心设备采购项目（二次）</w:t>
      </w:r>
    </w:p>
    <w:p w14:paraId="1C143DCE">
      <w:pPr>
        <w:spacing w:line="360" w:lineRule="auto"/>
        <w:jc w:val="center"/>
        <w:rPr>
          <w:rFonts w:asciiTheme="majorEastAsia" w:hAnsiTheme="majorEastAsia" w:eastAsiaTheme="majorEastAsia" w:cstheme="majorEastAsia"/>
          <w:b/>
          <w:bCs/>
          <w:sz w:val="24"/>
        </w:rPr>
      </w:pPr>
    </w:p>
    <w:p w14:paraId="7A192814">
      <w:pPr>
        <w:spacing w:line="360" w:lineRule="auto"/>
        <w:jc w:val="center"/>
        <w:rPr>
          <w:rFonts w:asciiTheme="majorEastAsia" w:hAnsiTheme="majorEastAsia" w:eastAsiaTheme="majorEastAsia" w:cstheme="majorEastAsia"/>
          <w:b/>
          <w:bCs/>
          <w:sz w:val="24"/>
        </w:rPr>
      </w:pPr>
    </w:p>
    <w:p w14:paraId="0C12FD15">
      <w:pPr>
        <w:spacing w:line="360" w:lineRule="auto"/>
        <w:jc w:val="center"/>
        <w:rPr>
          <w:rFonts w:asciiTheme="majorEastAsia" w:hAnsiTheme="majorEastAsia" w:eastAsiaTheme="majorEastAsia" w:cstheme="majorEastAsia"/>
          <w:b/>
          <w:bCs/>
          <w:sz w:val="24"/>
        </w:rPr>
      </w:pPr>
    </w:p>
    <w:p w14:paraId="4C626423">
      <w:pPr>
        <w:spacing w:line="360" w:lineRule="auto"/>
        <w:jc w:val="center"/>
        <w:rPr>
          <w:rFonts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FF7287D">
      <w:pPr>
        <w:spacing w:line="520" w:lineRule="exact"/>
        <w:jc w:val="center"/>
        <w:rPr>
          <w:rFonts w:asciiTheme="majorEastAsia" w:hAnsiTheme="majorEastAsia" w:eastAsiaTheme="majorEastAsia" w:cstheme="majorEastAsia"/>
          <w:sz w:val="24"/>
        </w:rPr>
      </w:pPr>
    </w:p>
    <w:p w14:paraId="6BA1A32B">
      <w:pPr>
        <w:spacing w:line="360" w:lineRule="auto"/>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64D44082">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27E77534">
      <w:pPr>
        <w:spacing w:line="360" w:lineRule="auto"/>
        <w:ind w:firstLine="6300" w:firstLineChars="225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报价响应文件</w:t>
      </w:r>
    </w:p>
    <w:p w14:paraId="1850B001">
      <w:pPr>
        <w:spacing w:line="3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E944355">
      <w:pPr>
        <w:spacing w:line="360" w:lineRule="exact"/>
        <w:jc w:val="center"/>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ZZNT2025030</w:t>
      </w:r>
    </w:p>
    <w:p w14:paraId="137D9162">
      <w:pPr>
        <w:spacing w:line="360" w:lineRule="exact"/>
        <w:jc w:val="center"/>
        <w:rPr>
          <w:rFonts w:asciiTheme="majorEastAsia" w:hAnsiTheme="majorEastAsia" w:eastAsiaTheme="majorEastAsia" w:cstheme="majorEastAsia"/>
          <w:sz w:val="24"/>
        </w:rPr>
      </w:pPr>
    </w:p>
    <w:p w14:paraId="77AE8293">
      <w:pPr>
        <w:spacing w:line="360" w:lineRule="exact"/>
        <w:jc w:val="center"/>
        <w:rPr>
          <w:rFonts w:asciiTheme="majorEastAsia" w:hAnsiTheme="majorEastAsia" w:eastAsiaTheme="majorEastAsia" w:cstheme="majorEastAsia"/>
          <w:sz w:val="24"/>
        </w:rPr>
      </w:pPr>
    </w:p>
    <w:p w14:paraId="678FA24A">
      <w:pPr>
        <w:spacing w:line="360" w:lineRule="exact"/>
        <w:jc w:val="center"/>
        <w:rPr>
          <w:rFonts w:asciiTheme="majorEastAsia" w:hAnsiTheme="majorEastAsia" w:eastAsiaTheme="majorEastAsia" w:cstheme="majorEastAsia"/>
          <w:sz w:val="24"/>
        </w:rPr>
      </w:pPr>
    </w:p>
    <w:p w14:paraId="6C0415EA">
      <w:pPr>
        <w:spacing w:line="360" w:lineRule="exact"/>
        <w:jc w:val="center"/>
        <w:rPr>
          <w:rFonts w:asciiTheme="majorEastAsia" w:hAnsiTheme="majorEastAsia" w:eastAsiaTheme="majorEastAsia" w:cstheme="majorEastAsia"/>
          <w:sz w:val="24"/>
        </w:rPr>
      </w:pPr>
    </w:p>
    <w:p w14:paraId="5C1A5A52">
      <w:pPr>
        <w:spacing w:line="360" w:lineRule="exact"/>
        <w:jc w:val="center"/>
        <w:rPr>
          <w:rFonts w:asciiTheme="majorEastAsia" w:hAnsiTheme="majorEastAsia" w:eastAsiaTheme="majorEastAsia" w:cstheme="majorEastAsia"/>
          <w:sz w:val="24"/>
        </w:rPr>
      </w:pPr>
    </w:p>
    <w:p w14:paraId="77785894">
      <w:pPr>
        <w:spacing w:line="360" w:lineRule="exact"/>
        <w:jc w:val="center"/>
        <w:rPr>
          <w:rFonts w:asciiTheme="majorEastAsia" w:hAnsiTheme="majorEastAsia" w:eastAsiaTheme="majorEastAsia" w:cstheme="majorEastAsia"/>
          <w:sz w:val="24"/>
        </w:rPr>
      </w:pPr>
    </w:p>
    <w:p w14:paraId="34EA8726">
      <w:pPr>
        <w:spacing w:line="360" w:lineRule="exact"/>
        <w:jc w:val="center"/>
        <w:rPr>
          <w:rFonts w:asciiTheme="majorEastAsia" w:hAnsiTheme="majorEastAsia" w:eastAsiaTheme="majorEastAsia" w:cstheme="majorEastAsia"/>
          <w:sz w:val="24"/>
        </w:rPr>
      </w:pPr>
    </w:p>
    <w:p w14:paraId="2C77C71B">
      <w:pPr>
        <w:spacing w:line="360" w:lineRule="exact"/>
        <w:jc w:val="center"/>
        <w:rPr>
          <w:rFonts w:asciiTheme="majorEastAsia" w:hAnsiTheme="majorEastAsia" w:eastAsiaTheme="majorEastAsia" w:cstheme="majorEastAsia"/>
          <w:sz w:val="24"/>
        </w:rPr>
      </w:pPr>
    </w:p>
    <w:p w14:paraId="0923FC5A">
      <w:pPr>
        <w:spacing w:line="360" w:lineRule="exact"/>
        <w:jc w:val="center"/>
        <w:rPr>
          <w:rFonts w:asciiTheme="majorEastAsia" w:hAnsiTheme="majorEastAsia" w:eastAsiaTheme="majorEastAsia" w:cstheme="majorEastAsia"/>
          <w:sz w:val="24"/>
        </w:rPr>
      </w:pPr>
    </w:p>
    <w:p w14:paraId="0EB0BC06">
      <w:pPr>
        <w:spacing w:line="360" w:lineRule="exact"/>
        <w:jc w:val="center"/>
        <w:rPr>
          <w:rFonts w:asciiTheme="majorEastAsia" w:hAnsiTheme="majorEastAsia" w:eastAsiaTheme="majorEastAsia" w:cstheme="majorEastAsia"/>
          <w:sz w:val="24"/>
        </w:rPr>
      </w:pPr>
    </w:p>
    <w:p w14:paraId="0D55F99F">
      <w:pPr>
        <w:rPr>
          <w:rFonts w:asciiTheme="majorEastAsia" w:hAnsiTheme="majorEastAsia" w:eastAsiaTheme="majorEastAsia" w:cstheme="majorEastAsia"/>
          <w:sz w:val="24"/>
        </w:rPr>
      </w:pPr>
    </w:p>
    <w:p w14:paraId="54E59A4E">
      <w:pPr>
        <w:spacing w:line="360" w:lineRule="exact"/>
        <w:jc w:val="center"/>
        <w:rPr>
          <w:rFonts w:asciiTheme="majorEastAsia" w:hAnsiTheme="majorEastAsia" w:eastAsiaTheme="majorEastAsia" w:cstheme="majorEastAsia"/>
          <w:sz w:val="30"/>
          <w:szCs w:val="30"/>
        </w:rPr>
      </w:pPr>
    </w:p>
    <w:p w14:paraId="60CDAAF6">
      <w:pPr>
        <w:adjustRightInd w:val="0"/>
        <w:snapToGrid w:val="0"/>
        <w:spacing w:line="480" w:lineRule="auto"/>
        <w:jc w:val="center"/>
        <w:rPr>
          <w:rFonts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08877150">
      <w:pPr>
        <w:jc w:val="center"/>
        <w:rPr>
          <w:rFonts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 xml:space="preserve">  </w:t>
      </w:r>
      <w:r>
        <w:rPr>
          <w:rFonts w:hint="eastAsia" w:asciiTheme="majorEastAsia" w:hAnsiTheme="majorEastAsia" w:eastAsiaTheme="majorEastAsia" w:cstheme="majorEastAsia"/>
          <w:sz w:val="30"/>
          <w:szCs w:val="30"/>
        </w:rPr>
        <w:t>年  月  日</w:t>
      </w:r>
    </w:p>
    <w:p w14:paraId="5D783A0C">
      <w:pPr>
        <w:rPr>
          <w:rFonts w:ascii="宋体" w:hAnsi="宋体" w:eastAsia="宋体" w:cs="宋体"/>
          <w:b/>
          <w:color w:val="000000"/>
          <w:sz w:val="28"/>
          <w:szCs w:val="28"/>
        </w:rPr>
      </w:pPr>
      <w:r>
        <w:rPr>
          <w:rFonts w:hint="eastAsia" w:ascii="宋体" w:hAnsi="宋体" w:eastAsia="宋体" w:cs="宋体"/>
          <w:b/>
          <w:color w:val="000000"/>
          <w:sz w:val="28"/>
          <w:szCs w:val="28"/>
        </w:rPr>
        <w:br w:type="page"/>
      </w:r>
    </w:p>
    <w:p w14:paraId="557173A4">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法定代表人身份证明</w:t>
      </w:r>
    </w:p>
    <w:p w14:paraId="49FB000E">
      <w:pPr>
        <w:snapToGrid w:val="0"/>
        <w:spacing w:line="520" w:lineRule="exact"/>
        <w:jc w:val="center"/>
        <w:textAlignment w:val="baseline"/>
        <w:rPr>
          <w:rFonts w:ascii="宋体" w:hAnsi="宋体" w:eastAsia="宋体" w:cs="宋体"/>
          <w:color w:val="000000"/>
          <w:sz w:val="24"/>
        </w:rPr>
      </w:pPr>
    </w:p>
    <w:p w14:paraId="55770E38">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 xml:space="preserve"> 南通市机关事务管理局 ：</w:t>
      </w:r>
    </w:p>
    <w:p w14:paraId="6AD38E6E">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763EBEFB">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14BDBFDC">
      <w:pPr>
        <w:snapToGrid w:val="0"/>
        <w:spacing w:line="420" w:lineRule="exact"/>
        <w:ind w:firstLine="480" w:firstLineChars="200"/>
        <w:textAlignment w:val="baseline"/>
        <w:rPr>
          <w:rFonts w:ascii="宋体" w:hAnsi="宋体" w:eastAsia="宋体" w:cs="宋体"/>
          <w:sz w:val="24"/>
        </w:rPr>
      </w:pPr>
    </w:p>
    <w:p w14:paraId="3335F11D">
      <w:pPr>
        <w:snapToGrid w:val="0"/>
        <w:spacing w:line="420" w:lineRule="exact"/>
        <w:ind w:firstLine="480" w:firstLineChars="200"/>
        <w:textAlignment w:val="baseline"/>
        <w:rPr>
          <w:rFonts w:ascii="宋体" w:hAnsi="宋体" w:eastAsia="宋体" w:cs="宋体"/>
          <w:sz w:val="24"/>
          <w:u w:val="single"/>
        </w:rPr>
      </w:pPr>
    </w:p>
    <w:p w14:paraId="07DDA055">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5A3DF77C">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66BA653">
      <w:pPr>
        <w:snapToGrid w:val="0"/>
        <w:spacing w:line="420" w:lineRule="exact"/>
        <w:ind w:firstLine="484" w:firstLineChars="202"/>
        <w:jc w:val="left"/>
        <w:textAlignment w:val="baseline"/>
        <w:rPr>
          <w:rFonts w:ascii="宋体" w:hAnsi="宋体" w:eastAsia="宋体" w:cs="宋体"/>
          <w:sz w:val="24"/>
        </w:rPr>
      </w:pPr>
    </w:p>
    <w:tbl>
      <w:tblPr>
        <w:tblStyle w:val="88"/>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5C82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6621113">
            <w:pPr>
              <w:snapToGrid w:val="0"/>
              <w:spacing w:line="420" w:lineRule="exact"/>
              <w:ind w:firstLine="484" w:firstLineChars="202"/>
              <w:jc w:val="left"/>
              <w:textAlignment w:val="baseline"/>
              <w:rPr>
                <w:rFonts w:ascii="宋体" w:hAnsi="宋体" w:eastAsia="宋体" w:cs="宋体"/>
                <w:kern w:val="2"/>
                <w:sz w:val="24"/>
              </w:rPr>
            </w:pPr>
          </w:p>
          <w:p w14:paraId="79D4901D">
            <w:pPr>
              <w:snapToGrid w:val="0"/>
              <w:spacing w:line="420" w:lineRule="exact"/>
              <w:ind w:firstLine="484" w:firstLineChars="202"/>
              <w:jc w:val="left"/>
              <w:textAlignment w:val="baseline"/>
              <w:rPr>
                <w:rFonts w:ascii="宋体" w:hAnsi="宋体" w:eastAsia="宋体" w:cs="宋体"/>
                <w:kern w:val="2"/>
                <w:sz w:val="24"/>
              </w:rPr>
            </w:pPr>
          </w:p>
          <w:p w14:paraId="7055EECF">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2BCD3C38">
            <w:pPr>
              <w:snapToGrid w:val="0"/>
              <w:spacing w:line="420" w:lineRule="exact"/>
              <w:jc w:val="center"/>
              <w:textAlignment w:val="baseline"/>
              <w:rPr>
                <w:rFonts w:ascii="宋体" w:hAnsi="宋体" w:eastAsia="宋体" w:cs="宋体"/>
                <w:b/>
                <w:bCs/>
                <w:kern w:val="2"/>
                <w:sz w:val="24"/>
              </w:rPr>
            </w:pPr>
          </w:p>
          <w:p w14:paraId="2BBBA5FF">
            <w:pPr>
              <w:snapToGrid w:val="0"/>
              <w:spacing w:line="420" w:lineRule="exact"/>
              <w:jc w:val="center"/>
              <w:textAlignment w:val="baseline"/>
              <w:rPr>
                <w:rFonts w:ascii="宋体" w:hAnsi="宋体" w:eastAsia="宋体" w:cs="宋体"/>
                <w:b/>
                <w:bCs/>
                <w:kern w:val="2"/>
                <w:sz w:val="24"/>
              </w:rPr>
            </w:pPr>
          </w:p>
          <w:p w14:paraId="3D9648AF">
            <w:pPr>
              <w:snapToGrid w:val="0"/>
              <w:spacing w:line="420" w:lineRule="exact"/>
              <w:jc w:val="center"/>
              <w:textAlignment w:val="baseline"/>
              <w:rPr>
                <w:rFonts w:ascii="宋体" w:hAnsi="宋体" w:eastAsia="宋体" w:cs="宋体"/>
                <w:b/>
                <w:bCs/>
                <w:kern w:val="2"/>
                <w:sz w:val="24"/>
              </w:rPr>
            </w:pPr>
          </w:p>
          <w:p w14:paraId="3CAA87FE">
            <w:pPr>
              <w:snapToGrid w:val="0"/>
              <w:spacing w:line="420" w:lineRule="exact"/>
              <w:jc w:val="center"/>
              <w:textAlignment w:val="baseline"/>
              <w:rPr>
                <w:rFonts w:ascii="宋体" w:hAnsi="宋体" w:eastAsia="宋体" w:cs="宋体"/>
                <w:kern w:val="2"/>
                <w:sz w:val="24"/>
              </w:rPr>
            </w:pPr>
          </w:p>
        </w:tc>
      </w:tr>
    </w:tbl>
    <w:p w14:paraId="58209C32">
      <w:pPr>
        <w:snapToGrid w:val="0"/>
        <w:spacing w:line="420" w:lineRule="exact"/>
        <w:jc w:val="center"/>
        <w:textAlignment w:val="baseline"/>
        <w:rPr>
          <w:rFonts w:ascii="宋体" w:hAnsi="宋体" w:eastAsia="宋体" w:cs="宋体"/>
          <w:sz w:val="24"/>
        </w:rPr>
      </w:pPr>
    </w:p>
    <w:p w14:paraId="6832317D">
      <w:pPr>
        <w:snapToGrid w:val="0"/>
        <w:spacing w:line="420" w:lineRule="exact"/>
        <w:jc w:val="center"/>
        <w:textAlignment w:val="baseline"/>
        <w:rPr>
          <w:rFonts w:ascii="宋体" w:hAnsi="宋体" w:eastAsia="宋体" w:cs="宋体"/>
          <w:sz w:val="24"/>
        </w:rPr>
      </w:pPr>
    </w:p>
    <w:p w14:paraId="772F31B9">
      <w:pPr>
        <w:snapToGrid w:val="0"/>
        <w:spacing w:line="420" w:lineRule="exact"/>
        <w:jc w:val="center"/>
        <w:textAlignment w:val="baseline"/>
        <w:rPr>
          <w:rFonts w:ascii="宋体" w:hAnsi="宋体" w:eastAsia="宋体" w:cs="宋体"/>
          <w:sz w:val="24"/>
        </w:rPr>
      </w:pPr>
    </w:p>
    <w:p w14:paraId="151B0374">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41311133">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如为委托代理人参加项目竞争性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现场备查，仅需提供本证明和授权委托书。</w:t>
      </w:r>
    </w:p>
    <w:p w14:paraId="750BAB37">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39EA788A">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授权委托书</w:t>
      </w:r>
    </w:p>
    <w:p w14:paraId="3083F83B">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（如委托代理人参加磋商，须出示此证明）</w:t>
      </w:r>
    </w:p>
    <w:p w14:paraId="5D8CD997">
      <w:pPr>
        <w:snapToGrid w:val="0"/>
        <w:spacing w:line="520" w:lineRule="exact"/>
        <w:jc w:val="center"/>
        <w:textAlignment w:val="baseline"/>
        <w:rPr>
          <w:rFonts w:ascii="宋体" w:hAnsi="宋体" w:eastAsia="宋体" w:cs="宋体"/>
          <w:bCs/>
          <w:color w:val="000000"/>
          <w:sz w:val="24"/>
        </w:rPr>
      </w:pPr>
    </w:p>
    <w:p w14:paraId="72DF152D">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rPr>
        <w:t xml:space="preserve"> 南通市机关事务管理局 ：</w:t>
      </w:r>
    </w:p>
    <w:p w14:paraId="2C50697D">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（姓名）为我公司代理人，以本公司的名义参加本项目的竞争性磋商响应活动。</w:t>
      </w:r>
      <w:r>
        <w:rPr>
          <w:rFonts w:hint="eastAsia" w:ascii="宋体" w:hAnsi="宋体" w:eastAsia="宋体" w:cs="宋体"/>
          <w:bCs/>
          <w:color w:val="000000"/>
          <w:sz w:val="24"/>
        </w:rPr>
        <w:t>委托代理人</w:t>
      </w:r>
      <w:r>
        <w:rPr>
          <w:rFonts w:hint="eastAsia" w:ascii="宋体" w:hAnsi="宋体" w:eastAsia="宋体" w:cs="宋体"/>
          <w:sz w:val="24"/>
        </w:rPr>
        <w:t>在开标、评审磋商活动、合同谈判过程中所签署的一切文件和处理与之有关的一切事务，我均予以承认。</w:t>
      </w:r>
    </w:p>
    <w:p w14:paraId="0EE73D85">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无转委权。特此委托。</w:t>
      </w:r>
    </w:p>
    <w:p w14:paraId="4CC9C512">
      <w:pPr>
        <w:pStyle w:val="38"/>
        <w:snapToGrid w:val="0"/>
        <w:spacing w:line="360" w:lineRule="auto"/>
        <w:textAlignment w:val="baseline"/>
        <w:rPr>
          <w:rFonts w:ascii="宋体" w:hAnsi="宋体" w:cs="宋体"/>
          <w:sz w:val="24"/>
          <w:szCs w:val="24"/>
        </w:rPr>
      </w:pPr>
    </w:p>
    <w:p w14:paraId="1F4BC27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139693CD">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身份证号：</w:t>
      </w:r>
    </w:p>
    <w:p w14:paraId="2FB26A4B">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rPr>
        <w:t>委托代理人</w:t>
      </w:r>
      <w:r>
        <w:rPr>
          <w:rFonts w:hint="eastAsia" w:ascii="宋体" w:hAnsi="宋体" w:eastAsia="宋体" w:cs="宋体"/>
          <w:sz w:val="24"/>
        </w:rPr>
        <w:t>签字：</w:t>
      </w:r>
    </w:p>
    <w:p w14:paraId="4A30DCB5">
      <w:pPr>
        <w:pStyle w:val="38"/>
        <w:rPr>
          <w:rFonts w:ascii="宋体" w:hAnsi="宋体" w:cs="宋体"/>
          <w:sz w:val="24"/>
          <w:szCs w:val="24"/>
        </w:rPr>
      </w:pPr>
    </w:p>
    <w:p w14:paraId="696720A7">
      <w:pPr>
        <w:snapToGrid w:val="0"/>
        <w:spacing w:line="48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lang w:val="zh-CN"/>
        </w:rPr>
        <w:t>竞争性磋商响应供应商：（单位盖章）</w:t>
      </w:r>
    </w:p>
    <w:p w14:paraId="5BAAE1E5">
      <w:pPr>
        <w:snapToGrid w:val="0"/>
        <w:spacing w:line="420" w:lineRule="exact"/>
        <w:ind w:firstLine="5040" w:firstLineChars="2100"/>
        <w:textAlignment w:val="baseline"/>
        <w:rPr>
          <w:rFonts w:ascii="宋体" w:hAnsi="宋体" w:eastAsia="宋体" w:cs="宋体"/>
          <w:sz w:val="24"/>
        </w:rPr>
      </w:pP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275704EE">
      <w:pPr>
        <w:snapToGrid w:val="0"/>
        <w:spacing w:line="420" w:lineRule="exact"/>
        <w:ind w:firstLine="484" w:firstLineChars="202"/>
        <w:jc w:val="left"/>
        <w:textAlignment w:val="baseline"/>
        <w:rPr>
          <w:rFonts w:ascii="宋体" w:hAnsi="宋体" w:eastAsia="宋体" w:cs="宋体"/>
          <w:sz w:val="24"/>
        </w:rPr>
      </w:pPr>
    </w:p>
    <w:tbl>
      <w:tblPr>
        <w:tblStyle w:val="88"/>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34E7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7EA44008">
            <w:pPr>
              <w:snapToGrid w:val="0"/>
              <w:spacing w:line="420" w:lineRule="exact"/>
              <w:ind w:firstLine="484" w:firstLineChars="202"/>
              <w:jc w:val="left"/>
              <w:textAlignment w:val="baseline"/>
              <w:rPr>
                <w:rFonts w:ascii="宋体" w:hAnsi="宋体" w:eastAsia="宋体" w:cs="宋体"/>
                <w:kern w:val="2"/>
                <w:sz w:val="24"/>
              </w:rPr>
            </w:pPr>
          </w:p>
          <w:p w14:paraId="40A66252">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委托代理人身份证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B2EF2C6">
            <w:pPr>
              <w:snapToGrid w:val="0"/>
              <w:spacing w:line="420" w:lineRule="exact"/>
              <w:jc w:val="center"/>
              <w:textAlignment w:val="baseline"/>
              <w:rPr>
                <w:rFonts w:ascii="宋体" w:hAnsi="宋体" w:eastAsia="宋体" w:cs="宋体"/>
                <w:b/>
                <w:bCs/>
                <w:kern w:val="2"/>
                <w:sz w:val="24"/>
              </w:rPr>
            </w:pPr>
          </w:p>
          <w:p w14:paraId="58A900F7">
            <w:pPr>
              <w:snapToGrid w:val="0"/>
              <w:spacing w:line="420" w:lineRule="exact"/>
              <w:jc w:val="center"/>
              <w:textAlignment w:val="baseline"/>
              <w:rPr>
                <w:rFonts w:ascii="宋体" w:hAnsi="宋体" w:eastAsia="宋体" w:cs="宋体"/>
                <w:b/>
                <w:bCs/>
                <w:kern w:val="2"/>
                <w:sz w:val="24"/>
              </w:rPr>
            </w:pPr>
          </w:p>
          <w:p w14:paraId="51DAE5C6">
            <w:pPr>
              <w:snapToGrid w:val="0"/>
              <w:spacing w:line="420" w:lineRule="exact"/>
              <w:jc w:val="center"/>
              <w:textAlignment w:val="baseline"/>
              <w:rPr>
                <w:rFonts w:ascii="宋体" w:hAnsi="宋体" w:eastAsia="宋体" w:cs="宋体"/>
                <w:kern w:val="2"/>
                <w:sz w:val="24"/>
              </w:rPr>
            </w:pPr>
          </w:p>
          <w:p w14:paraId="1B108C8B">
            <w:pPr>
              <w:snapToGrid w:val="0"/>
              <w:spacing w:line="420" w:lineRule="exact"/>
              <w:jc w:val="center"/>
              <w:textAlignment w:val="baseline"/>
              <w:rPr>
                <w:rFonts w:ascii="宋体" w:hAnsi="宋体" w:eastAsia="宋体" w:cs="宋体"/>
                <w:kern w:val="2"/>
                <w:sz w:val="24"/>
              </w:rPr>
            </w:pPr>
          </w:p>
        </w:tc>
      </w:tr>
    </w:tbl>
    <w:p w14:paraId="68D762A2">
      <w:pPr>
        <w:snapToGrid w:val="0"/>
        <w:spacing w:line="420" w:lineRule="exact"/>
        <w:jc w:val="center"/>
        <w:textAlignment w:val="baseline"/>
        <w:rPr>
          <w:rFonts w:ascii="宋体" w:hAnsi="宋体" w:eastAsia="宋体" w:cs="宋体"/>
          <w:sz w:val="24"/>
        </w:rPr>
      </w:pPr>
    </w:p>
    <w:p w14:paraId="4D94D1A9">
      <w:pPr>
        <w:snapToGrid w:val="0"/>
        <w:spacing w:line="420" w:lineRule="exact"/>
        <w:jc w:val="center"/>
        <w:textAlignment w:val="baseline"/>
        <w:rPr>
          <w:rFonts w:ascii="宋体" w:hAnsi="宋体" w:eastAsia="宋体" w:cs="宋体"/>
          <w:sz w:val="24"/>
        </w:rPr>
      </w:pPr>
    </w:p>
    <w:p w14:paraId="24CC215A">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329B42C1">
      <w:pPr>
        <w:spacing w:before="240" w:line="312" w:lineRule="auto"/>
        <w:jc w:val="center"/>
        <w:rPr>
          <w:rFonts w:ascii="宋体" w:hAnsi="宋体" w:eastAsia="宋体" w:cs="宋体"/>
          <w:b/>
          <w:sz w:val="32"/>
          <w:szCs w:val="32"/>
          <w:lang w:bidi="ar"/>
        </w:rPr>
      </w:pPr>
      <w:r>
        <w:rPr>
          <w:rFonts w:hint="eastAsia" w:cs="宋体"/>
          <w:sz w:val="24"/>
        </w:rPr>
        <w:br w:type="page"/>
      </w:r>
      <w:r>
        <w:rPr>
          <w:rFonts w:hint="eastAsia" w:ascii="宋体" w:hAnsi="宋体" w:eastAsia="宋体" w:cs="宋体"/>
          <w:b/>
          <w:sz w:val="28"/>
          <w:szCs w:val="28"/>
          <w:lang w:bidi="ar"/>
        </w:rPr>
        <w:t>供应商信用承诺书</w:t>
      </w:r>
    </w:p>
    <w:p w14:paraId="2F2F4426">
      <w:pPr>
        <w:spacing w:line="360" w:lineRule="auto"/>
        <w:ind w:firstLine="480" w:firstLineChars="200"/>
        <w:rPr>
          <w:rFonts w:ascii="宋体" w:hAnsi="宋体" w:eastAsia="宋体" w:cs="宋体"/>
          <w:sz w:val="24"/>
          <w:lang w:val="zh-CN" w:bidi="ar"/>
        </w:rPr>
      </w:pPr>
    </w:p>
    <w:p w14:paraId="1F4830A5">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5F7BED07">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0E45D083">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C809B22">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三、自我约束、自我管理，守合同、重信用，不参与围标串标、弄虚作假、骗取成交、干扰评标、违约毁约、恶意投诉等行为，主动维护采购活动的良好秩序；</w:t>
      </w:r>
    </w:p>
    <w:p w14:paraId="313EA2D1">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四、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65566C04">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五、自觉接受政府部门、行业组织、社会公众、新闻舆论等监督；</w:t>
      </w:r>
    </w:p>
    <w:p w14:paraId="062929F0">
      <w:pPr>
        <w:overflowPunct w:val="0"/>
        <w:adjustRightInd w:val="0"/>
        <w:spacing w:line="360" w:lineRule="auto"/>
        <w:ind w:firstLine="420"/>
        <w:jc w:val="left"/>
        <w:textAlignment w:val="baseline"/>
        <w:rPr>
          <w:rFonts w:ascii="宋体" w:hAnsi="宋体" w:eastAsia="宋体" w:cs="宋体"/>
          <w:sz w:val="24"/>
        </w:rPr>
      </w:pPr>
      <w:r>
        <w:rPr>
          <w:rFonts w:hint="eastAsia" w:ascii="宋体" w:hAnsi="宋体" w:eastAsia="宋体" w:cs="宋体"/>
          <w:sz w:val="24"/>
        </w:rPr>
        <w:t>六、上述承诺已向本单位员工做了宣传教育。</w:t>
      </w:r>
    </w:p>
    <w:p w14:paraId="47079ADE">
      <w:pPr>
        <w:spacing w:line="360" w:lineRule="auto"/>
        <w:ind w:firstLine="480" w:firstLineChars="200"/>
        <w:rPr>
          <w:rFonts w:ascii="宋体" w:hAnsi="宋体" w:eastAsia="宋体" w:cs="宋体"/>
          <w:b/>
          <w:sz w:val="24"/>
          <w:lang w:val="zh-CN"/>
        </w:rPr>
      </w:pPr>
      <w:r>
        <w:rPr>
          <w:rFonts w:hint="eastAsia" w:ascii="宋体" w:hAnsi="宋体" w:eastAsia="宋体" w:cs="宋体"/>
          <w:sz w:val="24"/>
        </w:rPr>
        <w:t>如有违反上述承诺的不良行为，本单位同意将其予以上网公示。</w:t>
      </w:r>
    </w:p>
    <w:p w14:paraId="629B1737">
      <w:pPr>
        <w:spacing w:line="360" w:lineRule="auto"/>
        <w:rPr>
          <w:rFonts w:ascii="宋体" w:hAnsi="宋体" w:eastAsia="宋体" w:cs="宋体"/>
          <w:sz w:val="24"/>
          <w:lang w:val="zh-CN"/>
        </w:rPr>
      </w:pPr>
    </w:p>
    <w:p w14:paraId="2E3E5CFA">
      <w:pPr>
        <w:spacing w:line="360" w:lineRule="auto"/>
        <w:ind w:firstLine="4560" w:firstLineChars="1900"/>
        <w:rPr>
          <w:rFonts w:ascii="宋体" w:hAnsi="宋体" w:eastAsia="宋体" w:cs="宋体"/>
          <w:sz w:val="24"/>
          <w:lang w:val="zh-CN"/>
        </w:rPr>
      </w:pPr>
    </w:p>
    <w:p w14:paraId="1BEDC085">
      <w:pPr>
        <w:snapToGrid w:val="0"/>
        <w:spacing w:line="360" w:lineRule="auto"/>
        <w:ind w:right="79" w:firstLine="5040" w:firstLineChars="2100"/>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6985572D">
      <w:pPr>
        <w:snapToGrid w:val="0"/>
        <w:spacing w:line="360" w:lineRule="auto"/>
        <w:ind w:firstLine="5040" w:firstLineChars="2100"/>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0B560B62">
      <w:pPr>
        <w:snapToGrid w:val="0"/>
        <w:spacing w:line="360" w:lineRule="auto"/>
        <w:jc w:val="center"/>
        <w:rPr>
          <w:rFonts w:ascii="宋体" w:hAnsi="宋体" w:eastAsia="宋体" w:cs="宋体"/>
          <w:b/>
          <w:bCs/>
          <w:snapToGrid/>
          <w:color w:val="000000"/>
          <w:kern w:val="2"/>
          <w:sz w:val="28"/>
          <w:szCs w:val="28"/>
        </w:rPr>
      </w:pPr>
      <w:r>
        <w:rPr>
          <w:rFonts w:hint="eastAsia" w:ascii="宋体" w:hAnsi="宋体" w:eastAsia="宋体" w:cs="宋体"/>
          <w:color w:val="000000"/>
          <w:sz w:val="24"/>
        </w:rPr>
        <w:t xml:space="preserve">                          日期：  年  月  日</w:t>
      </w:r>
    </w:p>
    <w:p w14:paraId="761EE565">
      <w:pPr>
        <w:rPr>
          <w:rFonts w:ascii="宋体" w:hAnsi="宋体" w:eastAsia="宋体" w:cs="宋体"/>
          <w:b/>
          <w:bCs/>
          <w:snapToGrid/>
          <w:kern w:val="2"/>
          <w:sz w:val="28"/>
          <w:szCs w:val="28"/>
        </w:rPr>
      </w:pPr>
      <w:r>
        <w:rPr>
          <w:rFonts w:eastAsia="仿宋_GB2312"/>
          <w:b/>
          <w:bCs/>
          <w:sz w:val="32"/>
          <w:szCs w:val="32"/>
        </w:rPr>
        <w:br w:type="page"/>
      </w:r>
      <w:r>
        <w:rPr>
          <w:rFonts w:hint="eastAsia" w:eastAsia="仿宋_GB2312"/>
          <w:b/>
          <w:bCs/>
          <w:sz w:val="32"/>
          <w:szCs w:val="32"/>
          <w:lang w:val="en-US" w:eastAsia="zh-CN"/>
        </w:rPr>
        <w:t xml:space="preserve">                     </w:t>
      </w:r>
      <w:r>
        <w:rPr>
          <w:rFonts w:hint="eastAsia" w:ascii="宋体" w:hAnsi="宋体" w:eastAsia="宋体" w:cs="宋体"/>
          <w:b/>
          <w:bCs/>
          <w:snapToGrid/>
          <w:kern w:val="2"/>
          <w:sz w:val="28"/>
          <w:szCs w:val="28"/>
        </w:rPr>
        <w:t>符合条件的声明函</w:t>
      </w:r>
    </w:p>
    <w:p w14:paraId="4C24CD90">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20DC8077">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南通市政务中心食堂服务中心设备采购项目（二次）</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val="en-US" w:eastAsia="zh-CN"/>
        </w:rPr>
        <w:t xml:space="preserve">      </w:t>
      </w:r>
      <w:r>
        <w:rPr>
          <w:rFonts w:hint="eastAsia" w:ascii="宋体" w:hAnsi="宋体" w:eastAsia="宋体" w:cs="宋体"/>
          <w:snapToGrid/>
          <w:kern w:val="2"/>
          <w:sz w:val="24"/>
          <w:u w:val="single"/>
        </w:rPr>
        <w:t>)</w:t>
      </w:r>
      <w:r>
        <w:rPr>
          <w:rFonts w:hint="eastAsia" w:ascii="宋体" w:hAnsi="宋体" w:eastAsia="宋体" w:cs="宋体"/>
          <w:snapToGrid/>
          <w:kern w:val="2"/>
          <w:sz w:val="24"/>
        </w:rPr>
        <w:t>的</w:t>
      </w:r>
      <w:r>
        <w:rPr>
          <w:rFonts w:hint="eastAsia" w:ascii="宋体" w:hAnsi="宋体" w:eastAsia="宋体" w:cs="宋体"/>
          <w:bCs/>
          <w:snapToGrid/>
          <w:kern w:val="2"/>
          <w:sz w:val="24"/>
          <w:szCs w:val="21"/>
        </w:rPr>
        <w:t>磋商响应活动。针对竞争性磋商文件规定做出如下声明：</w:t>
      </w:r>
    </w:p>
    <w:p w14:paraId="6D418812">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606AD0F6">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1B1F01F8">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B929801">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4F257A8E">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48A2003F">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6DBE4DD9">
      <w:pPr>
        <w:numPr>
          <w:ilvl w:val="0"/>
          <w:numId w:val="8"/>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020F9695">
      <w:pPr>
        <w:spacing w:line="500" w:lineRule="exact"/>
        <w:ind w:firstLine="482"/>
        <w:rPr>
          <w:rFonts w:ascii="宋体" w:hAnsi="宋体" w:eastAsia="宋体" w:cs="宋体"/>
          <w:snapToGrid/>
          <w:kern w:val="2"/>
          <w:sz w:val="24"/>
          <w:szCs w:val="21"/>
        </w:rPr>
      </w:pPr>
    </w:p>
    <w:p w14:paraId="32ADDECA">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3AA6ACF3">
      <w:pPr>
        <w:rPr>
          <w:rFonts w:ascii="Times New Roman" w:hAnsi="Times New Roman" w:eastAsia="宋体"/>
          <w:snapToGrid/>
          <w:kern w:val="2"/>
          <w:szCs w:val="21"/>
        </w:rPr>
      </w:pPr>
    </w:p>
    <w:p w14:paraId="0FB778CB">
      <w:pPr>
        <w:spacing w:line="360" w:lineRule="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018BF98B">
      <w:pPr>
        <w:jc w:val="center"/>
        <w:rPr>
          <w:rFonts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71EE909B">
      <w:pPr>
        <w:rPr>
          <w:rFonts w:ascii="宋体" w:hAnsi="宋体" w:eastAsia="宋体" w:cs="宋体"/>
          <w:snapToGrid/>
          <w:kern w:val="2"/>
          <w:sz w:val="24"/>
        </w:rPr>
      </w:pPr>
      <w:r>
        <w:rPr>
          <w:rFonts w:hint="eastAsia" w:ascii="宋体" w:hAnsi="宋体" w:eastAsia="宋体" w:cs="宋体"/>
          <w:snapToGrid/>
          <w:kern w:val="2"/>
          <w:sz w:val="24"/>
        </w:rPr>
        <w:br w:type="page"/>
      </w:r>
    </w:p>
    <w:p w14:paraId="08673B8A">
      <w:pPr>
        <w:snapToGrid w:val="0"/>
        <w:spacing w:line="520" w:lineRule="exact"/>
        <w:ind w:firstLine="562" w:firstLineChars="200"/>
        <w:jc w:val="center"/>
        <w:outlineLvl w:val="3"/>
        <w:rPr>
          <w:rFonts w:ascii="宋体" w:hAnsi="宋体" w:eastAsia="宋体" w:cs="宋体"/>
          <w:b/>
          <w:bCs/>
          <w:color w:val="000000"/>
          <w:sz w:val="28"/>
          <w:szCs w:val="28"/>
        </w:rPr>
      </w:pPr>
      <w:r>
        <w:rPr>
          <w:rFonts w:hint="eastAsia" w:ascii="宋体" w:hAnsi="宋体" w:eastAsia="宋体" w:cs="宋体"/>
          <w:b/>
          <w:bCs/>
          <w:color w:val="000000"/>
          <w:sz w:val="28"/>
          <w:szCs w:val="28"/>
        </w:rPr>
        <w:t>中小企业声明函（格式）</w:t>
      </w:r>
    </w:p>
    <w:p w14:paraId="05055809">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z w:val="24"/>
          <w:u w:val="single"/>
          <w:lang w:val="zh-CN"/>
        </w:rPr>
        <w:t>南通市机关事务管理局</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南通市政务中心食堂服务中心设备采购项目（二次）</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val="en-US" w:eastAsia="zh-CN"/>
        </w:rPr>
        <w:t xml:space="preserve">     </w:t>
      </w:r>
      <w:r>
        <w:rPr>
          <w:rFonts w:hint="eastAsia" w:ascii="宋体" w:hAnsi="宋体" w:eastAsia="宋体" w:cs="宋体"/>
          <w:snapToGrid/>
          <w:kern w:val="2"/>
          <w:sz w:val="24"/>
          <w:u w:val="single"/>
        </w:rPr>
        <w:t>)</w:t>
      </w:r>
      <w:r>
        <w:rPr>
          <w:rFonts w:hint="eastAsia" w:ascii="宋体" w:hAnsi="宋体" w:eastAsia="宋体" w:cs="宋体"/>
          <w:sz w:val="24"/>
        </w:rPr>
        <w:t xml:space="preserve">采购活动，该项目服务全部由符合政策要求的中小企业提供。具体情况如下： </w:t>
      </w:r>
    </w:p>
    <w:p w14:paraId="0353C774">
      <w:pPr>
        <w:snapToGrid w:val="0"/>
        <w:spacing w:line="360" w:lineRule="auto"/>
        <w:ind w:firstLine="480" w:firstLineChars="200"/>
        <w:rPr>
          <w:rFonts w:ascii="宋体" w:hAnsi="宋体" w:eastAsia="宋体" w:cs="宋体"/>
          <w:sz w:val="24"/>
        </w:rPr>
      </w:pPr>
      <w:r>
        <w:rPr>
          <w:rFonts w:hint="eastAsia" w:ascii="宋体" w:hAnsi="宋体" w:eastAsia="宋体" w:cs="宋体"/>
          <w:snapToGrid/>
          <w:kern w:val="2"/>
          <w:sz w:val="24"/>
          <w:u w:val="single"/>
          <w:lang w:eastAsia="zh-CN"/>
        </w:rPr>
        <w:t>南通市政务中心食堂服务中心设备采购项目（二次）</w:t>
      </w:r>
      <w:r>
        <w:rPr>
          <w:rFonts w:hint="eastAsia" w:ascii="宋体" w:hAnsi="宋体" w:eastAsia="宋体" w:cs="宋体"/>
          <w:sz w:val="24"/>
        </w:rPr>
        <w:t>，属于</w:t>
      </w:r>
      <w:r>
        <w:rPr>
          <w:rFonts w:hint="eastAsia" w:ascii="宋体" w:hAnsi="宋体" w:eastAsia="宋体" w:cs="宋体"/>
          <w:sz w:val="24"/>
          <w:u w:val="single"/>
        </w:rPr>
        <w:t xml:space="preserve"> 建筑业 </w:t>
      </w:r>
      <w:r>
        <w:rPr>
          <w:rFonts w:hint="eastAsia" w:ascii="宋体" w:hAnsi="宋体" w:eastAsia="宋体" w:cs="宋体"/>
          <w:sz w:val="24"/>
        </w:rPr>
        <w:t>；承接企业为</w:t>
      </w:r>
      <w:r>
        <w:rPr>
          <w:rFonts w:hint="eastAsia" w:ascii="宋体" w:hAnsi="宋体" w:eastAsia="宋体" w:cs="宋体"/>
          <w:sz w:val="24"/>
          <w:u w:val="single"/>
        </w:rPr>
        <w:t>（企业名称）</w:t>
      </w:r>
      <w:r>
        <w:rPr>
          <w:rFonts w:hint="eastAsia" w:ascii="宋体" w:hAnsi="宋体" w:eastAsia="宋体" w:cs="宋体"/>
          <w:sz w:val="24"/>
        </w:rPr>
        <w:t>，从业人员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w:t>
      </w:r>
      <w:r>
        <w:rPr>
          <w:rFonts w:hint="eastAsia" w:ascii="宋体" w:hAnsi="宋体" w:eastAsia="宋体" w:cs="宋体"/>
          <w:sz w:val="24"/>
          <w:vertAlign w:val="superscript"/>
        </w:rPr>
        <w:t xml:space="preserve"> </w:t>
      </w:r>
      <w:r>
        <w:rPr>
          <w:rFonts w:hint="eastAsia" w:ascii="宋体" w:hAnsi="宋体" w:eastAsia="宋体" w:cs="宋体"/>
          <w:sz w:val="24"/>
        </w:rPr>
        <w:t>，属于</w:t>
      </w:r>
      <w:r>
        <w:rPr>
          <w:rFonts w:hint="eastAsia" w:ascii="宋体" w:hAnsi="宋体" w:eastAsia="宋体" w:cs="宋体"/>
          <w:sz w:val="24"/>
          <w:u w:val="single"/>
        </w:rPr>
        <w:t>（中型企业、小型企业、微型企业）</w:t>
      </w:r>
      <w:r>
        <w:rPr>
          <w:rFonts w:hint="eastAsia" w:ascii="宋体" w:hAnsi="宋体" w:eastAsia="宋体" w:cs="宋体"/>
          <w:sz w:val="24"/>
        </w:rPr>
        <w:t>；</w:t>
      </w:r>
    </w:p>
    <w:p w14:paraId="46EFDE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以上企业，不属于大企业的分支机构，不存在控股股东为大企业的情形，也不存在与大企业的负责人为同一人的情形。 </w:t>
      </w:r>
    </w:p>
    <w:p w14:paraId="3AB6EAA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3EB0D23">
      <w:pPr>
        <w:snapToGrid w:val="0"/>
        <w:spacing w:line="360" w:lineRule="auto"/>
        <w:rPr>
          <w:rFonts w:ascii="宋体" w:hAnsi="宋体" w:eastAsia="宋体" w:cs="宋体"/>
          <w:sz w:val="24"/>
        </w:rPr>
      </w:pPr>
    </w:p>
    <w:p w14:paraId="3B98A9DD">
      <w:pPr>
        <w:snapToGrid w:val="0"/>
        <w:spacing w:line="360" w:lineRule="auto"/>
        <w:ind w:firstLine="480" w:firstLineChars="200"/>
        <w:rPr>
          <w:rFonts w:ascii="宋体" w:hAnsi="宋体" w:eastAsia="宋体" w:cs="宋体"/>
          <w:sz w:val="24"/>
        </w:rPr>
      </w:pPr>
    </w:p>
    <w:p w14:paraId="1248D88E">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545B7D1A">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47B9250A">
      <w:pPr>
        <w:tabs>
          <w:tab w:val="left" w:pos="2040"/>
        </w:tabs>
        <w:ind w:left="2040" w:hanging="360"/>
        <w:rPr>
          <w:rFonts w:ascii="宋体" w:hAnsi="宋体" w:eastAsia="宋体" w:cs="宋体"/>
          <w:sz w:val="24"/>
        </w:rPr>
      </w:pPr>
      <w:r>
        <w:rPr>
          <w:rFonts w:hint="eastAsia" w:ascii="宋体" w:hAnsi="宋体" w:eastAsia="宋体" w:cs="宋体"/>
          <w:sz w:val="24"/>
        </w:rPr>
        <w:t xml:space="preserve">                      日期：      年      月     日</w:t>
      </w:r>
    </w:p>
    <w:p w14:paraId="7FC11EE2">
      <w:pPr>
        <w:tabs>
          <w:tab w:val="left" w:pos="2040"/>
        </w:tabs>
        <w:ind w:left="2040" w:hanging="360"/>
        <w:rPr>
          <w:rFonts w:ascii="宋体" w:hAnsi="宋体" w:eastAsia="宋体" w:cs="宋体"/>
          <w:szCs w:val="21"/>
        </w:rPr>
      </w:pPr>
    </w:p>
    <w:p w14:paraId="1C758E03">
      <w:pPr>
        <w:snapToGrid w:val="0"/>
        <w:textAlignment w:val="baseline"/>
        <w:rPr>
          <w:rFonts w:ascii="宋体" w:hAnsi="宋体" w:eastAsia="宋体" w:cs="宋体"/>
          <w:szCs w:val="21"/>
        </w:rPr>
      </w:pPr>
      <w:r>
        <w:rPr>
          <w:rFonts w:hint="eastAsia" w:ascii="宋体" w:hAnsi="宋体" w:eastAsia="宋体" w:cs="宋体"/>
          <w:szCs w:val="21"/>
        </w:rPr>
        <w:t>注：（1）未提供“中小企业声明函或残疾人福利性单位声明函或监狱和戒毒企业证明材料”的，视为资格审查不通过。</w:t>
      </w:r>
    </w:p>
    <w:p w14:paraId="7935F4F1">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（2）按照《政府采购促进中小企业发展管理办法》（财库﹝2020﹞46 号）、《关于进一步加大政府采购支持中小企业力度的通知》（通财购【2022】23号），本次响应供应商符合工信部联企业〔2011〕300号《关于印发中小企业划型标准规定的通知》中的中小企业“建筑业”类的划型标准规定的，将享受中小企业扶持政策。“建筑业”类中小企业划型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6185E23">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3）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3B27A3EB">
      <w:pPr>
        <w:snapToGrid w:val="0"/>
        <w:ind w:firstLine="420" w:firstLineChars="200"/>
        <w:textAlignment w:val="baseline"/>
        <w:rPr>
          <w:rFonts w:ascii="宋体" w:hAnsi="宋体" w:eastAsia="宋体" w:cs="宋体"/>
          <w:szCs w:val="21"/>
        </w:rPr>
      </w:pPr>
      <w:r>
        <w:rPr>
          <w:rFonts w:hint="eastAsia" w:ascii="宋体" w:hAnsi="宋体" w:eastAsia="宋体" w:cs="宋体"/>
          <w:szCs w:val="21"/>
        </w:rPr>
        <w:t>（4）若响应供应商提供的 “中小企业声明函或残疾人福利性单位声明函或监狱和戒毒企业证明材料”内容不实的，属于提供虚假材料谋取成交；响应供应商的该行为将报请政府采购监管的财政部门按《中华人民共和国政府采购法》第七十七条的规定处理并给予行政处罚。</w:t>
      </w:r>
    </w:p>
    <w:p w14:paraId="63E0DF46">
      <w:pPr>
        <w:snapToGrid w:val="0"/>
        <w:ind w:firstLine="420" w:firstLineChars="200"/>
        <w:textAlignment w:val="baseline"/>
        <w:rPr>
          <w:rFonts w:ascii="宋体" w:hAnsi="宋体" w:eastAsia="宋体" w:cs="宋体"/>
          <w:b/>
          <w:bCs/>
          <w:sz w:val="28"/>
          <w:szCs w:val="28"/>
        </w:rPr>
      </w:pPr>
      <w:r>
        <w:rPr>
          <w:rFonts w:hint="eastAsia" w:ascii="宋体" w:hAnsi="宋体" w:eastAsia="宋体" w:cs="宋体"/>
          <w:szCs w:val="21"/>
        </w:rPr>
        <w:t>（5）从业人员、营业收入、资产总额填报上一年度数据，无上一年度数据的新成立企业可不填报。</w:t>
      </w:r>
      <w:r>
        <w:rPr>
          <w:rFonts w:hint="eastAsia" w:ascii="宋体" w:hAnsi="宋体" w:eastAsia="宋体" w:cs="宋体"/>
          <w:b/>
          <w:bCs/>
          <w:szCs w:val="21"/>
        </w:rPr>
        <w:br w:type="page"/>
      </w:r>
    </w:p>
    <w:p w14:paraId="1F456656">
      <w:pPr>
        <w:autoSpaceDE w:val="0"/>
        <w:autoSpaceDN w:val="0"/>
        <w:spacing w:before="162"/>
        <w:jc w:val="center"/>
        <w:outlineLvl w:val="0"/>
        <w:rPr>
          <w:rFonts w:ascii="宋体" w:hAnsi="宋体" w:eastAsia="宋体" w:cs="宋体"/>
          <w:b/>
          <w:bCs/>
          <w:sz w:val="28"/>
        </w:rPr>
      </w:pPr>
      <w:r>
        <w:rPr>
          <w:rFonts w:hint="eastAsia" w:ascii="宋体" w:hAnsi="宋体" w:eastAsia="宋体" w:cs="宋体"/>
          <w:b/>
          <w:bCs/>
          <w:sz w:val="28"/>
        </w:rPr>
        <w:t>残疾人福利性单位声明函</w:t>
      </w:r>
    </w:p>
    <w:p w14:paraId="12541374">
      <w:pPr>
        <w:spacing w:before="240" w:line="588" w:lineRule="exact"/>
        <w:ind w:firstLine="480" w:firstLineChars="20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z w:val="24"/>
          <w:u w:val="single"/>
        </w:rPr>
        <w:t>南通市机关事务管理局</w:t>
      </w:r>
      <w:r>
        <w:rPr>
          <w:rFonts w:hint="eastAsia" w:ascii="宋体" w:hAnsi="宋体" w:eastAsia="宋体" w:cs="宋体"/>
          <w:sz w:val="24"/>
        </w:rPr>
        <w:t>的</w:t>
      </w:r>
      <w:r>
        <w:rPr>
          <w:rFonts w:hint="eastAsia" w:ascii="宋体" w:hAnsi="宋体" w:eastAsia="宋体" w:cs="宋体"/>
          <w:snapToGrid/>
          <w:kern w:val="2"/>
          <w:sz w:val="24"/>
          <w:u w:val="single"/>
          <w:lang w:eastAsia="zh-CN"/>
        </w:rPr>
        <w:t>南通市政务中心食堂服务中心设备采购项目（二次）</w:t>
      </w:r>
      <w:r>
        <w:rPr>
          <w:rFonts w:hint="eastAsia" w:ascii="宋体" w:hAnsi="宋体" w:eastAsia="宋体" w:cs="宋体"/>
          <w:snapToGrid/>
          <w:kern w:val="2"/>
          <w:sz w:val="24"/>
          <w:u w:val="single"/>
        </w:rPr>
        <w:t>（项目编号：</w:t>
      </w:r>
      <w:r>
        <w:rPr>
          <w:rFonts w:hint="eastAsia" w:ascii="宋体" w:hAnsi="宋体" w:eastAsia="宋体" w:cs="宋体"/>
          <w:snapToGrid/>
          <w:kern w:val="2"/>
          <w:sz w:val="24"/>
          <w:u w:val="single"/>
          <w:lang w:eastAsia="zh-CN"/>
        </w:rPr>
        <w:t>ZZNT2025030</w:t>
      </w:r>
      <w:r>
        <w:rPr>
          <w:rFonts w:hint="eastAsia" w:ascii="宋体" w:hAnsi="宋体" w:eastAsia="宋体" w:cs="宋体"/>
          <w:snapToGrid/>
          <w:kern w:val="2"/>
          <w:sz w:val="24"/>
          <w:u w:val="single"/>
        </w:rPr>
        <w:t>)</w:t>
      </w:r>
      <w:r>
        <w:rPr>
          <w:rFonts w:hint="eastAsia" w:ascii="宋体" w:hAnsi="宋体" w:eastAsia="宋体" w:cs="宋体"/>
          <w:sz w:val="24"/>
        </w:rPr>
        <w:t>采购活动提供本单位制造的货物（由本单位承担工程/提供服务），或者提供其他残疾人福利性单位制造的货物（不包括使用非残疾人福利性单位注册商标的货物）。</w:t>
      </w:r>
    </w:p>
    <w:p w14:paraId="7EC05B80">
      <w:pPr>
        <w:spacing w:line="588" w:lineRule="exact"/>
        <w:ind w:firstLine="480" w:firstLineChars="20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14:paraId="41F7B99D">
      <w:pPr>
        <w:spacing w:line="588" w:lineRule="exact"/>
        <w:ind w:firstLine="420" w:firstLineChars="200"/>
        <w:rPr>
          <w:rFonts w:ascii="宋体" w:hAnsi="宋体" w:eastAsia="宋体" w:cs="宋体"/>
        </w:rPr>
      </w:pPr>
    </w:p>
    <w:p w14:paraId="61C643DA">
      <w:pPr>
        <w:spacing w:line="588" w:lineRule="exact"/>
        <w:ind w:firstLine="444" w:firstLineChars="200"/>
        <w:rPr>
          <w:rFonts w:ascii="宋体" w:hAnsi="宋体" w:eastAsia="宋体" w:cs="宋体"/>
          <w:spacing w:val="6"/>
        </w:rPr>
      </w:pPr>
    </w:p>
    <w:p w14:paraId="5F354003">
      <w:pPr>
        <w:spacing w:line="588" w:lineRule="exact"/>
        <w:ind w:firstLine="444" w:firstLineChars="200"/>
        <w:rPr>
          <w:rFonts w:ascii="宋体" w:hAnsi="宋体" w:eastAsia="宋体" w:cs="宋体"/>
          <w:spacing w:val="6"/>
        </w:rPr>
      </w:pPr>
    </w:p>
    <w:p w14:paraId="6440F9E9">
      <w:pPr>
        <w:snapToGrid w:val="0"/>
        <w:spacing w:line="360" w:lineRule="auto"/>
        <w:ind w:firstLine="4320" w:firstLineChars="1800"/>
        <w:rPr>
          <w:rFonts w:ascii="宋体" w:hAnsi="宋体" w:eastAsia="宋体" w:cs="宋体"/>
          <w:sz w:val="24"/>
          <w:lang w:val="zh-CN"/>
        </w:rPr>
      </w:pPr>
      <w:r>
        <w:rPr>
          <w:rFonts w:hint="eastAsia" w:ascii="宋体" w:hAnsi="宋体" w:eastAsia="宋体" w:cs="宋体"/>
          <w:sz w:val="24"/>
        </w:rPr>
        <w:t>供应商：（单位盖章）</w:t>
      </w:r>
    </w:p>
    <w:p w14:paraId="1F978B1A">
      <w:pPr>
        <w:snapToGrid w:val="0"/>
        <w:spacing w:line="360" w:lineRule="auto"/>
        <w:ind w:firstLine="4320" w:firstLineChars="1800"/>
        <w:rPr>
          <w:rFonts w:ascii="宋体" w:hAnsi="宋体" w:eastAsia="宋体" w:cs="宋体"/>
          <w:sz w:val="24"/>
        </w:rPr>
      </w:pPr>
      <w:r>
        <w:rPr>
          <w:rFonts w:hint="eastAsia" w:ascii="宋体" w:hAnsi="宋体" w:eastAsia="宋体" w:cs="宋体"/>
          <w:sz w:val="24"/>
        </w:rPr>
        <w:t>法定代表人或委托代理人：（签字或盖章）</w:t>
      </w:r>
    </w:p>
    <w:p w14:paraId="1BCABE5D">
      <w:pPr>
        <w:snapToGrid w:val="0"/>
        <w:spacing w:line="360" w:lineRule="auto"/>
        <w:ind w:firstLine="4320" w:firstLineChars="1800"/>
        <w:rPr>
          <w:rFonts w:ascii="宋体" w:hAnsi="宋体" w:eastAsia="宋体" w:cs="宋体"/>
          <w:sz w:val="28"/>
          <w:szCs w:val="28"/>
        </w:rPr>
      </w:pPr>
      <w:r>
        <w:rPr>
          <w:rFonts w:hint="eastAsia" w:ascii="宋体" w:hAnsi="宋体" w:eastAsia="宋体" w:cs="宋体"/>
          <w:sz w:val="24"/>
        </w:rPr>
        <w:t>日期：      年      月     日</w:t>
      </w:r>
      <w:r>
        <w:rPr>
          <w:rFonts w:hint="eastAsia" w:ascii="宋体" w:hAnsi="宋体" w:eastAsia="宋体" w:cs="宋体"/>
          <w:spacing w:val="6"/>
          <w:sz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6F4CBBCE">
      <w:pPr>
        <w:snapToGrid w:val="0"/>
        <w:spacing w:line="300" w:lineRule="auto"/>
        <w:outlineLvl w:val="0"/>
        <w:rPr>
          <w:rFonts w:ascii="宋体" w:hAnsi="宋体" w:eastAsia="宋体" w:cs="宋体"/>
          <w:sz w:val="28"/>
          <w:szCs w:val="28"/>
        </w:rPr>
      </w:pPr>
    </w:p>
    <w:p w14:paraId="4678125D">
      <w:pPr>
        <w:snapToGrid w:val="0"/>
        <w:spacing w:line="300" w:lineRule="auto"/>
        <w:outlineLvl w:val="0"/>
        <w:rPr>
          <w:rFonts w:ascii="宋体" w:hAnsi="宋体" w:eastAsia="宋体" w:cs="宋体"/>
          <w:sz w:val="28"/>
          <w:szCs w:val="28"/>
        </w:rPr>
      </w:pPr>
    </w:p>
    <w:p w14:paraId="4374C04C">
      <w:pPr>
        <w:snapToGrid w:val="0"/>
        <w:spacing w:line="300" w:lineRule="auto"/>
        <w:outlineLvl w:val="0"/>
        <w:rPr>
          <w:rFonts w:ascii="宋体" w:hAnsi="宋体" w:eastAsia="宋体" w:cs="宋体"/>
          <w:sz w:val="28"/>
          <w:szCs w:val="28"/>
        </w:rPr>
      </w:pPr>
    </w:p>
    <w:p w14:paraId="72B54606">
      <w:pPr>
        <w:snapToGrid w:val="0"/>
        <w:spacing w:line="300" w:lineRule="auto"/>
        <w:outlineLvl w:val="0"/>
        <w:rPr>
          <w:rFonts w:ascii="宋体" w:hAnsi="宋体" w:eastAsia="宋体" w:cs="宋体"/>
          <w:sz w:val="28"/>
          <w:szCs w:val="28"/>
        </w:rPr>
      </w:pPr>
    </w:p>
    <w:p w14:paraId="5FE9D458">
      <w:pPr>
        <w:snapToGrid w:val="0"/>
        <w:spacing w:line="300" w:lineRule="auto"/>
        <w:outlineLvl w:val="0"/>
        <w:rPr>
          <w:rFonts w:ascii="宋体" w:hAnsi="宋体" w:eastAsia="宋体" w:cs="宋体"/>
          <w:sz w:val="28"/>
          <w:szCs w:val="28"/>
        </w:rPr>
      </w:pPr>
    </w:p>
    <w:p w14:paraId="7C38A948">
      <w:pPr>
        <w:widowControl/>
        <w:jc w:val="left"/>
        <w:rPr>
          <w:rFonts w:ascii="宋体" w:hAnsi="宋体" w:eastAsia="宋体" w:cs="宋体"/>
          <w:b/>
          <w:bCs/>
          <w:sz w:val="32"/>
          <w:szCs w:val="32"/>
        </w:rPr>
      </w:pPr>
      <w:r>
        <w:rPr>
          <w:rFonts w:hint="eastAsia" w:ascii="宋体" w:hAnsi="宋体" w:eastAsia="宋体" w:cs="宋体"/>
          <w:b/>
          <w:bCs/>
          <w:sz w:val="32"/>
          <w:szCs w:val="32"/>
        </w:rPr>
        <w:br w:type="page"/>
      </w:r>
    </w:p>
    <w:p w14:paraId="597B0DBF">
      <w:pPr>
        <w:snapToGrid w:val="0"/>
        <w:spacing w:line="420" w:lineRule="exact"/>
        <w:jc w:val="center"/>
        <w:outlineLvl w:val="3"/>
        <w:rPr>
          <w:rFonts w:ascii="宋体" w:hAnsi="宋体" w:eastAsia="宋体" w:cs="宋体"/>
          <w:b/>
          <w:bCs/>
          <w:sz w:val="28"/>
        </w:rPr>
      </w:pPr>
      <w:r>
        <w:rPr>
          <w:rFonts w:hint="eastAsia" w:ascii="宋体" w:hAnsi="宋体" w:eastAsia="宋体" w:cs="宋体"/>
          <w:b/>
          <w:bCs/>
          <w:sz w:val="28"/>
        </w:rPr>
        <w:t>监狱和戒毒企业证明材料</w:t>
      </w:r>
    </w:p>
    <w:p w14:paraId="4D6FF381">
      <w:pPr>
        <w:snapToGrid w:val="0"/>
        <w:spacing w:line="420" w:lineRule="exact"/>
        <w:ind w:firstLine="371" w:firstLineChars="177"/>
        <w:rPr>
          <w:rFonts w:ascii="宋体" w:hAnsi="宋体" w:eastAsia="宋体" w:cs="宋体"/>
        </w:rPr>
      </w:pPr>
    </w:p>
    <w:p w14:paraId="197ADCE7">
      <w:pPr>
        <w:snapToGrid w:val="0"/>
        <w:spacing w:line="420" w:lineRule="exact"/>
        <w:ind w:firstLine="373" w:firstLineChars="177"/>
        <w:jc w:val="center"/>
        <w:rPr>
          <w:rFonts w:ascii="宋体" w:hAnsi="宋体" w:eastAsia="宋体" w:cs="宋体"/>
          <w:b/>
        </w:rPr>
      </w:pPr>
      <w:r>
        <w:rPr>
          <w:rFonts w:hint="eastAsia" w:ascii="宋体" w:hAnsi="宋体" w:eastAsia="宋体" w:cs="宋体"/>
          <w:b/>
        </w:rPr>
        <w:t>（格式自拟）</w:t>
      </w:r>
    </w:p>
    <w:p w14:paraId="2A9D99D1">
      <w:pPr>
        <w:snapToGrid w:val="0"/>
        <w:spacing w:line="420" w:lineRule="exact"/>
        <w:ind w:firstLine="371" w:firstLineChars="177"/>
        <w:rPr>
          <w:rFonts w:ascii="宋体" w:hAnsi="宋体" w:eastAsia="宋体" w:cs="宋体"/>
        </w:rPr>
      </w:pPr>
    </w:p>
    <w:p w14:paraId="3D9BB363">
      <w:pPr>
        <w:snapToGrid w:val="0"/>
        <w:spacing w:line="420" w:lineRule="exact"/>
        <w:ind w:firstLine="566" w:firstLineChars="236"/>
        <w:rPr>
          <w:rFonts w:ascii="宋体" w:hAnsi="宋体" w:eastAsia="宋体" w:cs="宋体"/>
          <w:sz w:val="24"/>
        </w:rPr>
      </w:pPr>
      <w:r>
        <w:rPr>
          <w:rFonts w:hint="eastAsia" w:ascii="宋体" w:hAnsi="宋体" w:eastAsia="宋体" w:cs="宋体"/>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7E7016C">
      <w:pPr>
        <w:snapToGrid w:val="0"/>
        <w:spacing w:line="360" w:lineRule="auto"/>
        <w:jc w:val="center"/>
        <w:textAlignment w:val="baseline"/>
        <w:rPr>
          <w:rFonts w:ascii="宋体" w:hAnsi="宋体" w:cs="宋体"/>
          <w:b/>
          <w:color w:val="000000"/>
          <w:sz w:val="24"/>
        </w:rPr>
      </w:pPr>
    </w:p>
    <w:p w14:paraId="4EB1EADD">
      <w:pPr>
        <w:spacing w:line="360" w:lineRule="auto"/>
        <w:jc w:val="center"/>
        <w:rPr>
          <w:rFonts w:ascii="宋体" w:hAnsi="宋体" w:eastAsia="宋体"/>
          <w:sz w:val="24"/>
        </w:rPr>
      </w:pPr>
      <w:r>
        <w:rPr>
          <w:rFonts w:ascii="宋体" w:hAnsi="宋体" w:eastAsia="宋体" w:cs="宋体"/>
          <w:b/>
          <w:bCs/>
          <w:snapToGrid/>
          <w:kern w:val="2"/>
          <w:sz w:val="28"/>
          <w:szCs w:val="28"/>
        </w:rPr>
        <w:br w:type="page"/>
      </w:r>
    </w:p>
    <w:p w14:paraId="3D832DD6">
      <w:pPr>
        <w:snapToGrid w:val="0"/>
        <w:spacing w:line="300" w:lineRule="auto"/>
        <w:contextualSpacing/>
        <w:jc w:val="center"/>
        <w:rPr>
          <w:rFonts w:ascii="宋体" w:hAnsi="宋体"/>
          <w:b/>
          <w:sz w:val="32"/>
          <w:szCs w:val="32"/>
        </w:rPr>
      </w:pPr>
      <w:r>
        <w:rPr>
          <w:rFonts w:hint="eastAsia" w:ascii="宋体" w:hAnsi="宋体" w:eastAsia="宋体" w:cs="宋体"/>
          <w:b/>
          <w:bCs/>
          <w:snapToGrid/>
          <w:kern w:val="2"/>
          <w:sz w:val="28"/>
          <w:szCs w:val="28"/>
        </w:rPr>
        <w:t>商务部分正负偏离表</w:t>
      </w:r>
    </w:p>
    <w:p w14:paraId="6082AE6F">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217E7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5DEC232">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037EA35B">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03B2D73">
            <w:pPr>
              <w:spacing w:line="340" w:lineRule="exact"/>
              <w:jc w:val="center"/>
              <w:rPr>
                <w:rFonts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E7EBF5B">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38C79BC7">
            <w:pPr>
              <w:spacing w:line="340" w:lineRule="exact"/>
              <w:jc w:val="center"/>
              <w:rPr>
                <w:rFonts w:ascii="宋体" w:hAnsi="宋体" w:eastAsia="宋体" w:cs="宋体"/>
                <w:sz w:val="24"/>
              </w:rPr>
            </w:pPr>
          </w:p>
          <w:p w14:paraId="03E548A2">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3E6487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56F2B78B">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6E0DAB39">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0D7E4F4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4D119E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EAF52E7">
            <w:pPr>
              <w:spacing w:line="340" w:lineRule="exact"/>
              <w:jc w:val="left"/>
              <w:rPr>
                <w:rFonts w:ascii="宋体" w:hAnsi="宋体" w:eastAsia="宋体" w:cs="宋体"/>
                <w:sz w:val="24"/>
              </w:rPr>
            </w:pPr>
          </w:p>
        </w:tc>
      </w:tr>
      <w:tr w14:paraId="3849F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60EFF5F2">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619AB12C">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54481F7">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A857284">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BC9FA44">
            <w:pPr>
              <w:spacing w:line="340" w:lineRule="exact"/>
              <w:jc w:val="left"/>
              <w:rPr>
                <w:rFonts w:ascii="宋体" w:hAnsi="宋体" w:eastAsia="宋体" w:cs="宋体"/>
                <w:sz w:val="24"/>
              </w:rPr>
            </w:pPr>
          </w:p>
        </w:tc>
      </w:tr>
      <w:tr w14:paraId="14FD3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39964909">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31206195">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A5B879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4B31D8BB">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633BDB0">
            <w:pPr>
              <w:spacing w:line="340" w:lineRule="exact"/>
              <w:jc w:val="left"/>
              <w:rPr>
                <w:rFonts w:ascii="宋体" w:hAnsi="宋体" w:eastAsia="宋体" w:cs="宋体"/>
                <w:sz w:val="24"/>
              </w:rPr>
            </w:pPr>
          </w:p>
        </w:tc>
      </w:tr>
      <w:tr w14:paraId="574AC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316BBFF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CEBEB70">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17BEBC0E">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702132D">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6A2FECC1">
            <w:pPr>
              <w:spacing w:line="340" w:lineRule="exact"/>
              <w:jc w:val="left"/>
              <w:rPr>
                <w:rFonts w:ascii="宋体" w:hAnsi="宋体" w:eastAsia="宋体" w:cs="宋体"/>
                <w:sz w:val="24"/>
              </w:rPr>
            </w:pPr>
          </w:p>
        </w:tc>
      </w:tr>
    </w:tbl>
    <w:p w14:paraId="29732DB3">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A9C03B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1.供应商提交的响应文件中与磋商文件第三部分“项目需求”中的商务部分的要求，如有偏离，应逐条填列在偏离表中。</w:t>
      </w:r>
    </w:p>
    <w:p w14:paraId="3B8A86A6">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“偏离说明”一栏选择“正偏离”、“无偏离”、“负偏离”进行填写。正偏离、无偏离的确认和负偏离的是否响应磋商文件，由评</w:t>
      </w:r>
      <w:r>
        <w:rPr>
          <w:rFonts w:hint="eastAsia" w:ascii="宋体" w:hAnsi="宋体" w:eastAsia="宋体" w:cs="宋体"/>
          <w:color w:val="000000"/>
          <w:sz w:val="24"/>
        </w:rPr>
        <w:t>委认定。</w:t>
      </w:r>
    </w:p>
    <w:p w14:paraId="646B2694">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2F4DDC00">
      <w:pPr>
        <w:snapToGrid w:val="0"/>
        <w:spacing w:line="360" w:lineRule="auto"/>
        <w:ind w:firstLine="480" w:firstLineChars="200"/>
        <w:contextualSpacing/>
        <w:rPr>
          <w:rFonts w:ascii="宋体" w:hAnsi="宋体" w:eastAsia="宋体" w:cs="宋体"/>
          <w:bCs/>
          <w:sz w:val="24"/>
        </w:rPr>
      </w:pPr>
      <w:r>
        <w:rPr>
          <w:rFonts w:hint="eastAsia" w:ascii="宋体" w:hAnsi="宋体" w:eastAsia="宋体" w:cs="宋体"/>
          <w:bCs/>
          <w:sz w:val="24"/>
        </w:rPr>
        <w:t>4.供应商若提供其他增值服务，可以在表中自行据实填写。</w:t>
      </w:r>
    </w:p>
    <w:p w14:paraId="1F254F5B">
      <w:pPr>
        <w:snapToGrid w:val="0"/>
        <w:spacing w:line="360" w:lineRule="auto"/>
        <w:ind w:right="79"/>
        <w:textAlignment w:val="baseline"/>
        <w:rPr>
          <w:rFonts w:ascii="宋体" w:hAnsi="宋体" w:eastAsia="宋体" w:cs="宋体"/>
          <w:color w:val="000000"/>
          <w:sz w:val="24"/>
        </w:rPr>
      </w:pPr>
    </w:p>
    <w:p w14:paraId="28B3C665">
      <w:pPr>
        <w:snapToGrid w:val="0"/>
        <w:spacing w:line="360" w:lineRule="auto"/>
        <w:ind w:right="79"/>
        <w:textAlignment w:val="baseline"/>
        <w:rPr>
          <w:rFonts w:ascii="宋体" w:hAnsi="宋体" w:eastAsia="宋体" w:cs="宋体"/>
          <w:color w:val="000000"/>
          <w:sz w:val="24"/>
        </w:rPr>
      </w:pPr>
    </w:p>
    <w:p w14:paraId="5EE1CB25">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4D8F799C">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0B8CD7C8">
      <w:pPr>
        <w:adjustRightInd w:val="0"/>
        <w:snapToGrid w:val="0"/>
        <w:spacing w:line="480" w:lineRule="auto"/>
        <w:jc w:val="left"/>
      </w:pPr>
      <w:r>
        <w:rPr>
          <w:rFonts w:hint="eastAsia" w:ascii="宋体" w:hAnsi="宋体" w:eastAsia="宋体" w:cs="宋体"/>
          <w:color w:val="000000"/>
          <w:sz w:val="24"/>
        </w:rPr>
        <w:t>日期：  年  月  日</w:t>
      </w:r>
    </w:p>
    <w:p w14:paraId="2C3AE4CC">
      <w:pPr>
        <w:rPr>
          <w:rFonts w:ascii="宋体" w:hAnsi="宋体" w:eastAsia="宋体" w:cs="宋体"/>
          <w:bCs/>
          <w:sz w:val="24"/>
        </w:rPr>
      </w:pPr>
    </w:p>
    <w:p w14:paraId="71AD75E2">
      <w:pPr>
        <w:rPr>
          <w:rFonts w:ascii="宋体" w:hAnsi="宋体" w:eastAsia="宋体" w:cs="宋体"/>
          <w:b/>
          <w:bCs/>
          <w:snapToGrid/>
          <w:kern w:val="2"/>
          <w:sz w:val="28"/>
          <w:szCs w:val="28"/>
        </w:rPr>
      </w:pPr>
      <w:r>
        <w:rPr>
          <w:rFonts w:hint="eastAsia" w:ascii="宋体" w:hAnsi="宋体" w:eastAsia="宋体" w:cs="宋体"/>
          <w:b/>
          <w:bCs/>
          <w:snapToGrid/>
          <w:kern w:val="2"/>
          <w:sz w:val="28"/>
          <w:szCs w:val="28"/>
        </w:rPr>
        <w:br w:type="page"/>
      </w:r>
    </w:p>
    <w:p w14:paraId="07BED9FC">
      <w:pPr>
        <w:snapToGrid w:val="0"/>
        <w:spacing w:line="300" w:lineRule="auto"/>
        <w:contextualSpacing/>
        <w:jc w:val="center"/>
        <w:rPr>
          <w:rFonts w:ascii="宋体" w:hAnsi="宋体" w:eastAsia="宋体" w:cs="宋体"/>
          <w:b/>
          <w:bCs/>
          <w:snapToGrid/>
          <w:kern w:val="2"/>
          <w:sz w:val="28"/>
          <w:szCs w:val="28"/>
        </w:rPr>
      </w:pPr>
      <w:r>
        <w:rPr>
          <w:rFonts w:hint="eastAsia" w:ascii="宋体" w:hAnsi="宋体" w:eastAsia="宋体" w:cs="宋体"/>
          <w:b/>
          <w:bCs/>
          <w:snapToGrid/>
          <w:kern w:val="2"/>
          <w:sz w:val="28"/>
          <w:szCs w:val="28"/>
        </w:rPr>
        <w:t>技术部分正负偏离表</w:t>
      </w:r>
    </w:p>
    <w:p w14:paraId="4F0739A5">
      <w:pPr>
        <w:ind w:firstLine="560" w:firstLineChars="200"/>
        <w:jc w:val="center"/>
        <w:rPr>
          <w:rFonts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4"/>
        <w:gridCol w:w="2358"/>
        <w:gridCol w:w="2059"/>
        <w:gridCol w:w="2656"/>
        <w:gridCol w:w="1463"/>
      </w:tblGrid>
      <w:tr w14:paraId="1A41F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0708FD7C">
            <w:pPr>
              <w:spacing w:line="340" w:lineRule="exact"/>
              <w:jc w:val="center"/>
              <w:rPr>
                <w:rFonts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3C703F3">
            <w:pPr>
              <w:spacing w:line="340" w:lineRule="exact"/>
              <w:jc w:val="center"/>
              <w:rPr>
                <w:rFonts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4A0D630F">
            <w:pPr>
              <w:spacing w:line="340" w:lineRule="exact"/>
              <w:jc w:val="center"/>
              <w:rPr>
                <w:rFonts w:ascii="宋体" w:hAnsi="宋体" w:eastAsia="宋体" w:cs="宋体"/>
                <w:sz w:val="24"/>
              </w:rPr>
            </w:pPr>
            <w:r>
              <w:rPr>
                <w:rFonts w:hint="eastAsia" w:ascii="宋体" w:hAnsi="宋体" w:eastAsia="宋体" w:cs="宋体"/>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35707EF6">
            <w:pPr>
              <w:spacing w:line="340" w:lineRule="exact"/>
              <w:jc w:val="center"/>
              <w:rPr>
                <w:rFonts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180FF36">
            <w:pPr>
              <w:spacing w:line="340" w:lineRule="exact"/>
              <w:jc w:val="center"/>
              <w:rPr>
                <w:rFonts w:ascii="宋体" w:hAnsi="宋体" w:eastAsia="宋体" w:cs="宋体"/>
                <w:sz w:val="24"/>
              </w:rPr>
            </w:pPr>
          </w:p>
          <w:p w14:paraId="2A7AA7EB">
            <w:pPr>
              <w:spacing w:line="340" w:lineRule="exact"/>
              <w:jc w:val="center"/>
              <w:rPr>
                <w:rFonts w:ascii="宋体" w:hAnsi="宋体" w:eastAsia="宋体" w:cs="宋体"/>
                <w:sz w:val="24"/>
              </w:rPr>
            </w:pPr>
            <w:r>
              <w:rPr>
                <w:rFonts w:hint="eastAsia" w:ascii="宋体" w:hAnsi="宋体" w:eastAsia="宋体" w:cs="宋体"/>
                <w:sz w:val="24"/>
              </w:rPr>
              <w:t>偏离说明</w:t>
            </w:r>
          </w:p>
        </w:tc>
      </w:tr>
      <w:tr w14:paraId="7A3B5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6732EDA3">
            <w:pPr>
              <w:spacing w:line="340" w:lineRule="exact"/>
              <w:jc w:val="center"/>
              <w:rPr>
                <w:rFonts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468010F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462E094">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ABA39AC">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28E9F2CD">
            <w:pPr>
              <w:spacing w:line="340" w:lineRule="exact"/>
              <w:jc w:val="left"/>
              <w:rPr>
                <w:rFonts w:ascii="宋体" w:hAnsi="宋体" w:eastAsia="宋体" w:cs="宋体"/>
                <w:sz w:val="24"/>
              </w:rPr>
            </w:pPr>
          </w:p>
        </w:tc>
      </w:tr>
      <w:tr w14:paraId="2D96F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B0524AA">
            <w:pPr>
              <w:spacing w:line="340" w:lineRule="exact"/>
              <w:jc w:val="center"/>
              <w:rPr>
                <w:rFonts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3C3E5E2E">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36F444F">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58C9BC3">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0ADA2A94">
            <w:pPr>
              <w:spacing w:line="340" w:lineRule="exact"/>
              <w:jc w:val="left"/>
              <w:rPr>
                <w:rFonts w:ascii="宋体" w:hAnsi="宋体" w:eastAsia="宋体" w:cs="宋体"/>
                <w:sz w:val="24"/>
              </w:rPr>
            </w:pPr>
          </w:p>
        </w:tc>
      </w:tr>
      <w:tr w14:paraId="467A0C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B566B90">
            <w:pPr>
              <w:spacing w:line="340" w:lineRule="exact"/>
              <w:jc w:val="center"/>
              <w:rPr>
                <w:rFonts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75933634">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94B7EA1">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60521B5E">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1AE2666C">
            <w:pPr>
              <w:spacing w:line="340" w:lineRule="exact"/>
              <w:jc w:val="left"/>
              <w:rPr>
                <w:rFonts w:ascii="宋体" w:hAnsi="宋体" w:eastAsia="宋体" w:cs="宋体"/>
                <w:sz w:val="24"/>
              </w:rPr>
            </w:pPr>
          </w:p>
        </w:tc>
      </w:tr>
      <w:tr w14:paraId="77C243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1784E8D">
            <w:pPr>
              <w:spacing w:line="340" w:lineRule="exact"/>
              <w:jc w:val="center"/>
              <w:rPr>
                <w:rFonts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50FC23E3">
            <w:pPr>
              <w:spacing w:line="340" w:lineRule="exact"/>
              <w:jc w:val="left"/>
              <w:rPr>
                <w:rFonts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3FD32A6">
            <w:pPr>
              <w:spacing w:line="340" w:lineRule="exact"/>
              <w:jc w:val="left"/>
              <w:rPr>
                <w:rFonts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17967D7">
            <w:pPr>
              <w:spacing w:line="340" w:lineRule="exact"/>
              <w:jc w:val="left"/>
              <w:rPr>
                <w:rFonts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tcPr>
          <w:p w14:paraId="7339FF5E">
            <w:pPr>
              <w:spacing w:line="340" w:lineRule="exact"/>
              <w:jc w:val="left"/>
              <w:rPr>
                <w:rFonts w:ascii="宋体" w:hAnsi="宋体" w:eastAsia="宋体" w:cs="宋体"/>
                <w:sz w:val="24"/>
              </w:rPr>
            </w:pPr>
          </w:p>
        </w:tc>
      </w:tr>
    </w:tbl>
    <w:p w14:paraId="7DD1464C">
      <w:pPr>
        <w:snapToGrid w:val="0"/>
        <w:spacing w:line="300" w:lineRule="auto"/>
        <w:contextualSpacing/>
        <w:rPr>
          <w:rFonts w:ascii="宋体" w:hAnsi="宋体" w:eastAsia="宋体" w:cs="宋体"/>
          <w:b/>
          <w:sz w:val="24"/>
        </w:rPr>
      </w:pPr>
      <w:r>
        <w:rPr>
          <w:rFonts w:hint="eastAsia" w:ascii="宋体" w:hAnsi="宋体" w:eastAsia="宋体" w:cs="宋体"/>
          <w:b/>
          <w:sz w:val="24"/>
        </w:rPr>
        <w:t>注：</w:t>
      </w:r>
    </w:p>
    <w:p w14:paraId="5408FECA">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1.供应商提交的响应文件中与磋商文件第三部分“项目需求”中的技术部分的要求，如有偏离，应逐条填列在偏离表中。</w:t>
      </w:r>
    </w:p>
    <w:p w14:paraId="237C371D">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2. “偏离说明”一栏选择“正偏离”、“无偏离”、“负偏离”进行填写。正偏离、无偏离的确认和负偏离的是否响应磋商文件，</w:t>
      </w:r>
      <w:r>
        <w:rPr>
          <w:rFonts w:hint="eastAsia" w:ascii="宋体" w:hAnsi="宋体" w:eastAsia="宋体" w:cs="宋体"/>
          <w:color w:val="000000"/>
          <w:sz w:val="24"/>
        </w:rPr>
        <w:t>由评委认定。</w:t>
      </w:r>
    </w:p>
    <w:p w14:paraId="5B9E1882">
      <w:pPr>
        <w:snapToGrid w:val="0"/>
        <w:spacing w:line="360" w:lineRule="auto"/>
        <w:ind w:firstLine="480" w:firstLineChars="200"/>
        <w:contextualSpacing/>
        <w:rPr>
          <w:rFonts w:ascii="宋体" w:hAnsi="宋体" w:eastAsia="宋体" w:cs="宋体"/>
          <w:sz w:val="24"/>
        </w:rPr>
      </w:pPr>
      <w:r>
        <w:rPr>
          <w:rFonts w:hint="eastAsia" w:ascii="宋体" w:hAnsi="宋体" w:eastAsia="宋体" w:cs="宋体"/>
          <w:sz w:val="24"/>
        </w:rPr>
        <w:t>3.供应商如果虚假响应，将被暂停参加采购单位组织的任何采购活动。</w:t>
      </w:r>
    </w:p>
    <w:p w14:paraId="1F5E69F2">
      <w:pPr>
        <w:snapToGrid w:val="0"/>
        <w:spacing w:line="360" w:lineRule="auto"/>
        <w:ind w:firstLine="480" w:firstLineChars="200"/>
        <w:contextualSpacing/>
        <w:rPr>
          <w:rFonts w:ascii="宋体" w:hAnsi="宋体" w:eastAsia="宋体" w:cs="宋体"/>
        </w:rPr>
      </w:pPr>
      <w:r>
        <w:rPr>
          <w:rFonts w:hint="eastAsia" w:ascii="宋体" w:hAnsi="宋体" w:eastAsia="宋体" w:cs="宋体"/>
          <w:bCs/>
          <w:sz w:val="24"/>
        </w:rPr>
        <w:t>4.供应商若提供其他增值服务，可以在表中自行据实填写。</w:t>
      </w:r>
    </w:p>
    <w:p w14:paraId="5D4A1750">
      <w:pPr>
        <w:snapToGrid w:val="0"/>
        <w:spacing w:line="360" w:lineRule="auto"/>
        <w:ind w:right="79"/>
        <w:textAlignment w:val="baseline"/>
        <w:rPr>
          <w:rFonts w:ascii="宋体" w:hAnsi="宋体" w:eastAsia="宋体" w:cs="宋体"/>
          <w:color w:val="000000"/>
          <w:sz w:val="24"/>
        </w:rPr>
      </w:pPr>
    </w:p>
    <w:p w14:paraId="4EABF081">
      <w:pPr>
        <w:snapToGrid w:val="0"/>
        <w:spacing w:line="360" w:lineRule="auto"/>
        <w:ind w:right="79"/>
        <w:textAlignment w:val="baseline"/>
        <w:rPr>
          <w:rFonts w:ascii="宋体" w:hAnsi="宋体" w:eastAsia="宋体" w:cs="宋体"/>
          <w:color w:val="000000"/>
          <w:sz w:val="24"/>
        </w:rPr>
      </w:pPr>
    </w:p>
    <w:p w14:paraId="0D72F6B3">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003E6D58">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54F3D182">
      <w:pPr>
        <w:adjustRightInd w:val="0"/>
        <w:snapToGrid w:val="0"/>
        <w:spacing w:line="480" w:lineRule="auto"/>
        <w:jc w:val="left"/>
      </w:pPr>
      <w:r>
        <w:rPr>
          <w:rFonts w:hint="eastAsia" w:ascii="宋体" w:hAnsi="宋体" w:eastAsia="宋体" w:cs="宋体"/>
          <w:color w:val="000000"/>
          <w:sz w:val="24"/>
        </w:rPr>
        <w:t>日期：  年  月  日</w:t>
      </w:r>
    </w:p>
    <w:p w14:paraId="6F8DC323">
      <w:pPr>
        <w:rPr>
          <w:rFonts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7F18CA0">
      <w:pPr>
        <w:adjustRightInd w:val="0"/>
        <w:snapToGrid w:val="0"/>
        <w:spacing w:line="360" w:lineRule="auto"/>
        <w:jc w:val="center"/>
        <w:rPr>
          <w:rFonts w:ascii="宋体" w:hAnsi="宋体" w:eastAsia="宋体" w:cs="宋体"/>
          <w:b/>
          <w:bCs/>
          <w:sz w:val="28"/>
          <w:szCs w:val="28"/>
        </w:rPr>
      </w:pPr>
    </w:p>
    <w:p w14:paraId="33BFBF81">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rPr>
        <w:t>磋商响应报价总表</w:t>
      </w:r>
    </w:p>
    <w:tbl>
      <w:tblPr>
        <w:tblStyle w:val="88"/>
        <w:tblW w:w="0" w:type="auto"/>
        <w:jc w:val="center"/>
        <w:tblLayout w:type="fixed"/>
        <w:tblCellMar>
          <w:top w:w="0" w:type="dxa"/>
          <w:left w:w="108" w:type="dxa"/>
          <w:bottom w:w="0" w:type="dxa"/>
          <w:right w:w="108" w:type="dxa"/>
        </w:tblCellMar>
      </w:tblPr>
      <w:tblGrid>
        <w:gridCol w:w="2072"/>
        <w:gridCol w:w="7341"/>
      </w:tblGrid>
      <w:tr w14:paraId="2236B15E">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4972FCEA">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7330240A">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南通市政务中心食堂服务中心设备采购项目（二次）</w:t>
            </w:r>
          </w:p>
        </w:tc>
      </w:tr>
      <w:tr w14:paraId="202A3AD0">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vAlign w:val="center"/>
          </w:tcPr>
          <w:p w14:paraId="5FB6EE99">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1A5E1BE2">
            <w:pPr>
              <w:widowControl/>
              <w:spacing w:line="360" w:lineRule="auto"/>
              <w:jc w:val="center"/>
              <w:rPr>
                <w:rFonts w:hint="eastAsia" w:ascii="宋体" w:hAnsi="宋体" w:eastAsia="宋体" w:cs="宋体"/>
                <w:kern w:val="2"/>
                <w:sz w:val="24"/>
                <w:lang w:eastAsia="zh-CN"/>
              </w:rPr>
            </w:pPr>
            <w:r>
              <w:rPr>
                <w:rFonts w:hint="eastAsia" w:ascii="宋体" w:hAnsi="宋体" w:eastAsia="宋体" w:cs="宋体"/>
                <w:kern w:val="2"/>
                <w:sz w:val="24"/>
                <w:lang w:eastAsia="zh-CN"/>
              </w:rPr>
              <w:t>ZZNT2025030</w:t>
            </w:r>
          </w:p>
        </w:tc>
      </w:tr>
      <w:tr w14:paraId="6C27291C">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2837F5CE">
            <w:pPr>
              <w:widowControl/>
              <w:spacing w:line="360" w:lineRule="auto"/>
              <w:jc w:val="center"/>
              <w:rPr>
                <w:rFonts w:ascii="宋体" w:hAnsi="宋体" w:eastAsia="宋体" w:cs="宋体"/>
                <w:sz w:val="24"/>
              </w:rPr>
            </w:pPr>
            <w:r>
              <w:rPr>
                <w:rFonts w:hint="eastAsia" w:ascii="宋体" w:hAnsi="宋体" w:eastAsia="宋体" w:cs="宋体"/>
                <w:sz w:val="24"/>
              </w:rPr>
              <w:t>首次磋商报价</w:t>
            </w:r>
          </w:p>
        </w:tc>
        <w:tc>
          <w:tcPr>
            <w:tcW w:w="7341" w:type="dxa"/>
            <w:tcBorders>
              <w:top w:val="single" w:color="auto" w:sz="4" w:space="0"/>
              <w:left w:val="single" w:color="auto" w:sz="4" w:space="0"/>
              <w:bottom w:val="single" w:color="auto" w:sz="4" w:space="0"/>
              <w:right w:val="single" w:color="auto" w:sz="4" w:space="0"/>
            </w:tcBorders>
            <w:vAlign w:val="center"/>
          </w:tcPr>
          <w:p w14:paraId="5501FF78">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w:t>
            </w:r>
            <w:r>
              <w:rPr>
                <w:rFonts w:hint="eastAsia" w:ascii="宋体" w:hAnsi="宋体" w:eastAsia="宋体" w:cs="宋体"/>
                <w:kern w:val="2"/>
                <w:sz w:val="24"/>
                <w:u w:val="single" w:color="000000"/>
                <w:lang w:val="en-US" w:eastAsia="zh-CN"/>
              </w:rPr>
              <w:t xml:space="preserve">          </w:t>
            </w:r>
            <w:r>
              <w:rPr>
                <w:rFonts w:hint="eastAsia" w:ascii="宋体" w:hAnsi="宋体" w:eastAsia="宋体" w:cs="宋体"/>
                <w:kern w:val="2"/>
                <w:sz w:val="24"/>
                <w:u w:val="single" w:color="000000"/>
              </w:rPr>
              <w:t xml:space="preserve"> 元</w:t>
            </w:r>
            <w:r>
              <w:rPr>
                <w:rFonts w:hint="eastAsia" w:ascii="宋体" w:hAnsi="宋体" w:eastAsia="宋体" w:cs="宋体"/>
                <w:kern w:val="2"/>
                <w:sz w:val="24"/>
              </w:rPr>
              <w:t>。</w:t>
            </w:r>
          </w:p>
          <w:p w14:paraId="6586CDB8">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2840F63B">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vAlign w:val="center"/>
          </w:tcPr>
          <w:p w14:paraId="1E7CD2E2">
            <w:pPr>
              <w:widowControl/>
              <w:spacing w:line="360" w:lineRule="auto"/>
              <w:jc w:val="center"/>
              <w:rPr>
                <w:rFonts w:ascii="宋体" w:hAnsi="宋体" w:eastAsia="宋体" w:cs="宋体"/>
                <w:sz w:val="24"/>
              </w:rPr>
            </w:pPr>
            <w:r>
              <w:rPr>
                <w:rFonts w:hint="eastAsia" w:ascii="宋体" w:hAnsi="宋体" w:eastAsia="宋体" w:cs="宋体"/>
                <w:sz w:val="24"/>
              </w:rPr>
              <w:t>最终磋商报价</w:t>
            </w:r>
          </w:p>
          <w:p w14:paraId="1F1A7913">
            <w:pPr>
              <w:widowControl/>
              <w:spacing w:line="360" w:lineRule="auto"/>
              <w:jc w:val="center"/>
              <w:rPr>
                <w:kern w:val="2"/>
              </w:rPr>
            </w:pPr>
            <w:r>
              <w:rPr>
                <w:rFonts w:hint="eastAsia" w:ascii="宋体" w:hAnsi="宋体" w:eastAsia="宋体" w:cs="宋体"/>
                <w:b/>
                <w:bCs/>
                <w:sz w:val="24"/>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61BA982A">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w:t>
            </w:r>
            <w:r>
              <w:rPr>
                <w:rFonts w:hint="eastAsia" w:ascii="宋体" w:hAnsi="宋体" w:eastAsia="宋体" w:cs="宋体"/>
                <w:kern w:val="2"/>
                <w:sz w:val="24"/>
                <w:u w:val="single" w:color="000000"/>
                <w:lang w:val="en-US" w:eastAsia="zh-CN"/>
              </w:rPr>
              <w:t xml:space="preserve">           </w:t>
            </w:r>
            <w:r>
              <w:rPr>
                <w:rFonts w:hint="eastAsia" w:ascii="宋体" w:hAnsi="宋体" w:eastAsia="宋体" w:cs="宋体"/>
                <w:kern w:val="2"/>
                <w:sz w:val="24"/>
                <w:u w:val="single" w:color="000000"/>
              </w:rPr>
              <w:t>元</w:t>
            </w:r>
            <w:r>
              <w:rPr>
                <w:rFonts w:hint="eastAsia" w:ascii="宋体" w:hAnsi="宋体" w:eastAsia="宋体" w:cs="宋体"/>
                <w:kern w:val="2"/>
                <w:sz w:val="24"/>
              </w:rPr>
              <w:t>。</w:t>
            </w:r>
          </w:p>
          <w:p w14:paraId="7CB4CE84">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6B33008E">
        <w:tblPrEx>
          <w:tblCellMar>
            <w:top w:w="0" w:type="dxa"/>
            <w:left w:w="108" w:type="dxa"/>
            <w:bottom w:w="0" w:type="dxa"/>
            <w:right w:w="108" w:type="dxa"/>
          </w:tblCellMar>
        </w:tblPrEx>
        <w:trPr>
          <w:trHeight w:val="1107" w:hRule="atLeast"/>
          <w:jc w:val="center"/>
        </w:trPr>
        <w:tc>
          <w:tcPr>
            <w:tcW w:w="2072" w:type="dxa"/>
            <w:tcBorders>
              <w:top w:val="nil"/>
              <w:left w:val="single" w:color="auto" w:sz="4" w:space="0"/>
              <w:bottom w:val="single" w:color="auto" w:sz="4" w:space="0"/>
              <w:right w:val="single" w:color="auto" w:sz="4" w:space="0"/>
            </w:tcBorders>
            <w:vAlign w:val="center"/>
          </w:tcPr>
          <w:p w14:paraId="3D057356">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79D4DB83">
            <w:pPr>
              <w:snapToGrid w:val="0"/>
              <w:spacing w:line="420" w:lineRule="exact"/>
              <w:jc w:val="center"/>
              <w:textAlignment w:val="baseline"/>
              <w:rPr>
                <w:rFonts w:ascii="宋体" w:hAnsi="宋体" w:eastAsia="宋体" w:cs="宋体"/>
                <w:sz w:val="24"/>
              </w:rPr>
            </w:pPr>
            <w:r>
              <w:rPr>
                <w:rFonts w:hint="eastAsia" w:ascii="宋体" w:hAnsi="宋体" w:eastAsia="宋体" w:cs="宋体"/>
                <w:sz w:val="24"/>
              </w:rPr>
              <w:t>完全接受并响应竞争性磋商文件中工期和质</w:t>
            </w:r>
            <w:r>
              <w:rPr>
                <w:rFonts w:hint="eastAsia" w:ascii="宋体" w:hAnsi="宋体" w:eastAsia="宋体" w:cs="宋体"/>
                <w:kern w:val="2"/>
                <w:sz w:val="24"/>
              </w:rPr>
              <w:t>量要求。</w:t>
            </w:r>
          </w:p>
        </w:tc>
      </w:tr>
    </w:tbl>
    <w:p w14:paraId="3422AE3F">
      <w:pPr>
        <w:spacing w:line="600" w:lineRule="exact"/>
        <w:rPr>
          <w:rFonts w:ascii="宋体" w:hAnsi="宋体" w:eastAsia="宋体"/>
          <w:kern w:val="2"/>
          <w:sz w:val="24"/>
        </w:rPr>
      </w:pPr>
    </w:p>
    <w:p w14:paraId="475F173F">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color w:val="000000"/>
          <w:sz w:val="24"/>
        </w:rPr>
        <w:t>竞争性磋商响应</w:t>
      </w:r>
      <w:r>
        <w:rPr>
          <w:rFonts w:hint="eastAsia" w:ascii="宋体" w:hAnsi="宋体" w:eastAsia="宋体" w:cs="宋体"/>
          <w:sz w:val="24"/>
        </w:rPr>
        <w:t>供应商：（单位盖章）</w:t>
      </w:r>
    </w:p>
    <w:p w14:paraId="2E5BEF4F">
      <w:pPr>
        <w:snapToGrid w:val="0"/>
        <w:spacing w:line="360" w:lineRule="auto"/>
        <w:rPr>
          <w:rFonts w:ascii="宋体" w:hAnsi="宋体" w:eastAsia="宋体" w:cs="宋体"/>
          <w:color w:val="000000"/>
          <w:sz w:val="24"/>
        </w:rPr>
      </w:pPr>
      <w:r>
        <w:rPr>
          <w:rFonts w:hint="eastAsia" w:ascii="宋体" w:hAnsi="宋体" w:eastAsia="宋体" w:cs="宋体"/>
          <w:sz w:val="24"/>
        </w:rPr>
        <w:t>法定代表人或委托代理人（签字或盖章）：</w:t>
      </w:r>
      <w:r>
        <w:rPr>
          <w:rFonts w:hint="eastAsia" w:ascii="宋体" w:hAnsi="宋体" w:eastAsia="宋体" w:cs="宋体"/>
          <w:color w:val="000000"/>
          <w:sz w:val="24"/>
        </w:rPr>
        <w:t xml:space="preserve">            </w:t>
      </w:r>
    </w:p>
    <w:p w14:paraId="0FFB3901">
      <w:pPr>
        <w:adjustRightInd w:val="0"/>
        <w:snapToGrid w:val="0"/>
        <w:spacing w:line="480" w:lineRule="auto"/>
        <w:jc w:val="left"/>
      </w:pPr>
      <w:r>
        <w:rPr>
          <w:rFonts w:hint="eastAsia" w:ascii="宋体" w:hAnsi="宋体" w:eastAsia="宋体" w:cs="宋体"/>
          <w:color w:val="000000"/>
          <w:sz w:val="24"/>
        </w:rPr>
        <w:t>日期：  年  月  日</w:t>
      </w:r>
    </w:p>
    <w:p w14:paraId="689D1B05">
      <w:pPr>
        <w:snapToGrid w:val="0"/>
        <w:spacing w:line="360" w:lineRule="auto"/>
        <w:rPr>
          <w:rFonts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14:paraId="2EE04701">
      <w:pPr>
        <w:snapToGrid w:val="0"/>
        <w:spacing w:line="360" w:lineRule="auto"/>
        <w:ind w:firstLine="480" w:firstLineChars="200"/>
        <w:rPr>
          <w:rStyle w:val="96"/>
          <w:rFonts w:ascii="宋体" w:hAnsi="宋体" w:eastAsia="宋体" w:cs="宋体"/>
          <w:bCs/>
          <w:sz w:val="24"/>
          <w:szCs w:val="24"/>
        </w:rPr>
      </w:pPr>
      <w:r>
        <w:rPr>
          <w:rFonts w:hint="eastAsia" w:ascii="宋体" w:hAnsi="宋体" w:eastAsia="宋体" w:cs="宋体"/>
          <w:sz w:val="24"/>
        </w:rPr>
        <w:t>（2）</w:t>
      </w:r>
      <w:r>
        <w:rPr>
          <w:rFonts w:hint="eastAsia" w:ascii="宋体" w:hAnsi="宋体" w:eastAsia="宋体"/>
          <w:sz w:val="24"/>
        </w:rPr>
        <w:t>响应文件密封提交时只需填写首次磋商报价。最终磋商报价表将在磋商现场填写</w:t>
      </w:r>
    </w:p>
    <w:p w14:paraId="6D27F02C">
      <w:pPr>
        <w:snapToGrid w:val="0"/>
        <w:spacing w:line="360" w:lineRule="auto"/>
        <w:ind w:firstLine="494" w:firstLineChars="206"/>
        <w:rPr>
          <w:rFonts w:ascii="宋体" w:hAnsi="宋体" w:eastAsia="宋体"/>
          <w:sz w:val="24"/>
        </w:rPr>
      </w:pPr>
      <w:r>
        <w:rPr>
          <w:rStyle w:val="96"/>
          <w:rFonts w:hint="eastAsia" w:ascii="宋体" w:hAnsi="宋体" w:eastAsia="宋体" w:cs="宋体"/>
          <w:bCs/>
          <w:sz w:val="24"/>
          <w:szCs w:val="24"/>
        </w:rPr>
        <w:t>（3）</w:t>
      </w:r>
      <w:r>
        <w:rPr>
          <w:rFonts w:hint="eastAsia" w:ascii="宋体" w:hAnsi="宋体" w:eastAsia="宋体"/>
          <w:sz w:val="24"/>
        </w:rPr>
        <w:t>供应商的最终磋商报价不得高于自已首次磋商报价，否则视为无效。</w:t>
      </w:r>
    </w:p>
    <w:p w14:paraId="0320D8A1">
      <w:pPr>
        <w:widowControl/>
        <w:snapToGrid w:val="0"/>
        <w:spacing w:line="360" w:lineRule="auto"/>
        <w:ind w:firstLine="480" w:firstLineChars="200"/>
        <w:jc w:val="left"/>
        <w:rPr>
          <w:rFonts w:ascii="宋体" w:hAnsi="宋体" w:eastAsia="宋体"/>
          <w:sz w:val="24"/>
        </w:rPr>
      </w:pPr>
      <w:r>
        <w:rPr>
          <w:rFonts w:hint="eastAsia" w:ascii="宋体" w:hAnsi="宋体" w:eastAsia="宋体"/>
          <w:sz w:val="24"/>
        </w:rPr>
        <w:t>（4）若成交，各清单综合单价的计算原则：以第1轮报价的清单单价为基数，根据最终成交价与第1轮报价之间的下浮率（其中：暂列金、暂估价及相应取费不参加计算下浮）进行同比例下浮，且以此作为确定最终各清单综合单价的依据。</w:t>
      </w:r>
    </w:p>
    <w:p w14:paraId="58164CA2">
      <w:pPr>
        <w:snapToGrid w:val="0"/>
        <w:spacing w:line="360" w:lineRule="auto"/>
        <w:ind w:firstLine="494" w:firstLineChars="206"/>
        <w:outlineLvl w:val="1"/>
        <w:rPr>
          <w:rFonts w:ascii="宋体" w:hAnsi="宋体" w:eastAsia="宋体" w:cs="宋体"/>
          <w:sz w:val="24"/>
        </w:rPr>
      </w:pPr>
      <w:r>
        <w:rPr>
          <w:rFonts w:hint="eastAsia" w:ascii="宋体" w:hAnsi="宋体" w:eastAsia="宋体"/>
          <w:sz w:val="24"/>
        </w:rPr>
        <w:br w:type="page"/>
      </w:r>
      <w:r>
        <w:rPr>
          <w:rFonts w:hint="eastAsia" w:ascii="宋体" w:hAnsi="宋体" w:eastAsia="宋体" w:cs="宋体"/>
          <w:sz w:val="24"/>
        </w:rPr>
        <w:t>2、磋商响应详细报价表（应用预算软件编制并打印），包括：【编制说明】、【投标报价汇总表】、【已标价的工程量清单】、【工程量清单单价分析表】等。</w:t>
      </w:r>
    </w:p>
    <w:p w14:paraId="3999A63E">
      <w:pPr>
        <w:rPr>
          <w:rFonts w:ascii="宋体" w:hAnsi="宋体" w:eastAsia="宋体"/>
          <w:sz w:val="24"/>
        </w:rPr>
      </w:pPr>
    </w:p>
    <w:p w14:paraId="2CBC4CC5">
      <w:pPr>
        <w:pStyle w:val="2"/>
        <w:rPr>
          <w:rFonts w:ascii="宋体" w:hAnsi="宋体" w:eastAsia="宋体"/>
          <w:sz w:val="24"/>
        </w:rPr>
      </w:pPr>
    </w:p>
    <w:p w14:paraId="3F7714AB">
      <w:pPr>
        <w:pStyle w:val="2"/>
        <w:rPr>
          <w:rFonts w:ascii="宋体" w:hAnsi="宋体" w:eastAsia="宋体"/>
          <w:sz w:val="24"/>
        </w:rPr>
      </w:pPr>
    </w:p>
    <w:p w14:paraId="49AEA2AE">
      <w:pPr>
        <w:pStyle w:val="2"/>
        <w:rPr>
          <w:rFonts w:ascii="宋体" w:hAnsi="宋体" w:eastAsia="宋体"/>
          <w:sz w:val="24"/>
        </w:rPr>
      </w:pPr>
    </w:p>
    <w:p w14:paraId="56919AB2">
      <w:pPr>
        <w:pStyle w:val="2"/>
        <w:rPr>
          <w:rFonts w:ascii="宋体" w:hAnsi="宋体" w:eastAsia="宋体"/>
          <w:sz w:val="24"/>
        </w:rPr>
      </w:pPr>
    </w:p>
    <w:p w14:paraId="2A403B48">
      <w:pPr>
        <w:pStyle w:val="2"/>
        <w:rPr>
          <w:rFonts w:ascii="宋体" w:hAnsi="宋体" w:eastAsia="宋体"/>
          <w:sz w:val="24"/>
        </w:rPr>
      </w:pPr>
    </w:p>
    <w:p w14:paraId="16F72ACF">
      <w:pPr>
        <w:pStyle w:val="2"/>
        <w:rPr>
          <w:rFonts w:ascii="宋体" w:hAnsi="宋体" w:eastAsia="宋体"/>
          <w:sz w:val="24"/>
        </w:rPr>
      </w:pPr>
    </w:p>
    <w:p w14:paraId="4795549D">
      <w:pPr>
        <w:pStyle w:val="2"/>
        <w:rPr>
          <w:rFonts w:ascii="宋体" w:hAnsi="宋体" w:eastAsia="宋体"/>
          <w:sz w:val="24"/>
        </w:rPr>
      </w:pPr>
    </w:p>
    <w:p w14:paraId="5E2394AE">
      <w:pPr>
        <w:pStyle w:val="2"/>
        <w:rPr>
          <w:rFonts w:ascii="宋体" w:hAnsi="宋体" w:eastAsia="宋体"/>
          <w:sz w:val="24"/>
        </w:rPr>
      </w:pPr>
    </w:p>
    <w:p w14:paraId="1720632A">
      <w:pPr>
        <w:pStyle w:val="2"/>
        <w:rPr>
          <w:rFonts w:ascii="宋体" w:hAnsi="宋体" w:eastAsia="宋体"/>
          <w:sz w:val="24"/>
        </w:rPr>
      </w:pPr>
    </w:p>
    <w:p w14:paraId="5273E602">
      <w:pPr>
        <w:pStyle w:val="2"/>
        <w:rPr>
          <w:rFonts w:ascii="宋体" w:hAnsi="宋体" w:eastAsia="宋体"/>
          <w:sz w:val="24"/>
        </w:rPr>
      </w:pPr>
    </w:p>
    <w:p w14:paraId="533331DA">
      <w:pPr>
        <w:pStyle w:val="2"/>
        <w:rPr>
          <w:rFonts w:ascii="宋体" w:hAnsi="宋体" w:eastAsia="宋体"/>
          <w:sz w:val="24"/>
        </w:rPr>
      </w:pPr>
    </w:p>
    <w:p w14:paraId="1414CF10">
      <w:pPr>
        <w:pStyle w:val="2"/>
        <w:rPr>
          <w:rFonts w:ascii="宋体" w:hAnsi="宋体" w:eastAsia="宋体"/>
          <w:sz w:val="24"/>
        </w:rPr>
      </w:pPr>
    </w:p>
    <w:p w14:paraId="7566FEB5">
      <w:pPr>
        <w:pStyle w:val="2"/>
        <w:rPr>
          <w:rFonts w:ascii="宋体" w:hAnsi="宋体" w:eastAsia="宋体"/>
          <w:sz w:val="24"/>
        </w:rPr>
      </w:pPr>
    </w:p>
    <w:p w14:paraId="53691255">
      <w:pPr>
        <w:pStyle w:val="2"/>
        <w:rPr>
          <w:rFonts w:ascii="宋体" w:hAnsi="宋体" w:eastAsia="宋体"/>
          <w:sz w:val="24"/>
        </w:rPr>
      </w:pPr>
    </w:p>
    <w:p w14:paraId="244C7845">
      <w:pPr>
        <w:pStyle w:val="2"/>
        <w:rPr>
          <w:rFonts w:ascii="宋体" w:hAnsi="宋体" w:eastAsia="宋体"/>
          <w:sz w:val="24"/>
        </w:rPr>
      </w:pPr>
    </w:p>
    <w:p w14:paraId="3CE047FB">
      <w:pPr>
        <w:spacing w:before="156" w:beforeLines="50" w:after="156" w:afterLines="50" w:line="360" w:lineRule="auto"/>
        <w:jc w:val="center"/>
        <w:rPr>
          <w:rFonts w:hint="eastAsia" w:ascii="宋体" w:hAnsi="宋体" w:eastAsia="宋体" w:cs="宋体"/>
          <w:b/>
          <w:bCs/>
          <w:snapToGrid/>
          <w:w w:val="80"/>
          <w:kern w:val="2"/>
          <w:sz w:val="44"/>
          <w:szCs w:val="44"/>
        </w:rPr>
      </w:pPr>
    </w:p>
    <w:p w14:paraId="6BF0AF7E">
      <w:pPr>
        <w:spacing w:before="156" w:beforeLines="50" w:after="156" w:afterLines="50" w:line="360" w:lineRule="auto"/>
        <w:jc w:val="center"/>
        <w:rPr>
          <w:rFonts w:hint="eastAsia" w:ascii="宋体" w:hAnsi="宋体" w:eastAsia="宋体" w:cs="宋体"/>
          <w:b/>
          <w:bCs/>
          <w:snapToGrid/>
          <w:w w:val="80"/>
          <w:kern w:val="2"/>
          <w:sz w:val="44"/>
          <w:szCs w:val="44"/>
        </w:rPr>
      </w:pPr>
    </w:p>
    <w:p w14:paraId="6CA13644">
      <w:pPr>
        <w:spacing w:before="156" w:beforeLines="50" w:after="156" w:afterLines="50" w:line="360" w:lineRule="auto"/>
        <w:jc w:val="center"/>
        <w:rPr>
          <w:rFonts w:hint="eastAsia" w:ascii="宋体" w:hAnsi="宋体" w:eastAsia="宋体" w:cs="宋体"/>
          <w:b/>
          <w:bCs/>
          <w:snapToGrid/>
          <w:w w:val="80"/>
          <w:kern w:val="2"/>
          <w:sz w:val="44"/>
          <w:szCs w:val="44"/>
        </w:rPr>
      </w:pPr>
    </w:p>
    <w:p w14:paraId="130D8AC3">
      <w:pPr>
        <w:spacing w:before="156" w:beforeLines="50" w:after="156" w:afterLines="50" w:line="360" w:lineRule="auto"/>
        <w:jc w:val="center"/>
        <w:rPr>
          <w:rFonts w:hint="eastAsia" w:ascii="宋体" w:hAnsi="宋体" w:eastAsia="宋体" w:cs="宋体"/>
          <w:b/>
          <w:bCs/>
          <w:snapToGrid/>
          <w:w w:val="80"/>
          <w:kern w:val="2"/>
          <w:sz w:val="44"/>
          <w:szCs w:val="44"/>
        </w:rPr>
      </w:pPr>
    </w:p>
    <w:p w14:paraId="00FF2D1A">
      <w:pPr>
        <w:spacing w:before="156" w:beforeLines="50" w:after="156" w:afterLines="50" w:line="360" w:lineRule="auto"/>
        <w:jc w:val="center"/>
        <w:rPr>
          <w:rFonts w:hint="eastAsia" w:ascii="宋体" w:hAnsi="宋体" w:eastAsia="宋体" w:cs="宋体"/>
          <w:b/>
          <w:bCs/>
          <w:snapToGrid/>
          <w:w w:val="80"/>
          <w:kern w:val="2"/>
          <w:sz w:val="44"/>
          <w:szCs w:val="44"/>
        </w:rPr>
      </w:pPr>
    </w:p>
    <w:p w14:paraId="16AA31E9">
      <w:pPr>
        <w:spacing w:before="156" w:beforeLines="50" w:after="156" w:afterLines="50" w:line="360" w:lineRule="auto"/>
        <w:jc w:val="center"/>
        <w:rPr>
          <w:rFonts w:hint="eastAsia" w:ascii="宋体" w:hAnsi="宋体" w:eastAsia="宋体" w:cs="宋体"/>
          <w:b/>
          <w:bCs/>
          <w:snapToGrid/>
          <w:w w:val="80"/>
          <w:kern w:val="2"/>
          <w:sz w:val="44"/>
          <w:szCs w:val="44"/>
        </w:rPr>
      </w:pPr>
    </w:p>
    <w:p w14:paraId="44D59EA8">
      <w:pPr>
        <w:spacing w:before="156" w:beforeLines="50" w:after="156" w:afterLines="50" w:line="360" w:lineRule="auto"/>
        <w:jc w:val="center"/>
        <w:rPr>
          <w:rFonts w:hint="eastAsia" w:ascii="宋体" w:hAnsi="宋体" w:eastAsia="宋体" w:cs="宋体"/>
          <w:b/>
          <w:bCs/>
          <w:snapToGrid/>
          <w:w w:val="80"/>
          <w:kern w:val="2"/>
          <w:sz w:val="44"/>
          <w:szCs w:val="44"/>
        </w:rPr>
      </w:pPr>
    </w:p>
    <w:p w14:paraId="1CD119D2">
      <w:pPr>
        <w:spacing w:before="156" w:beforeLines="50" w:after="156" w:afterLines="50" w:line="360" w:lineRule="auto"/>
        <w:jc w:val="center"/>
        <w:rPr>
          <w:rFonts w:hint="eastAsia" w:ascii="宋体" w:hAnsi="宋体" w:eastAsia="宋体" w:cs="宋体"/>
          <w:b/>
          <w:bCs/>
          <w:snapToGrid/>
          <w:w w:val="80"/>
          <w:kern w:val="2"/>
          <w:sz w:val="44"/>
          <w:szCs w:val="44"/>
        </w:rPr>
      </w:pPr>
    </w:p>
    <w:p w14:paraId="61163DAA">
      <w:pPr>
        <w:spacing w:before="156" w:beforeLines="50" w:after="156" w:afterLines="50" w:line="360" w:lineRule="auto"/>
        <w:jc w:val="center"/>
        <w:rPr>
          <w:rFonts w:hint="eastAsia" w:ascii="宋体" w:hAnsi="宋体" w:eastAsia="宋体" w:cs="宋体"/>
          <w:b/>
          <w:bCs/>
          <w:snapToGrid/>
          <w:w w:val="80"/>
          <w:kern w:val="2"/>
          <w:sz w:val="44"/>
          <w:szCs w:val="44"/>
        </w:rPr>
      </w:pPr>
    </w:p>
    <w:p w14:paraId="56DE47D4">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第七部分 工程量清单</w:t>
      </w:r>
    </w:p>
    <w:p w14:paraId="44AD2542">
      <w:pPr>
        <w:pStyle w:val="5"/>
        <w:ind w:left="0"/>
        <w:jc w:val="center"/>
        <w:rPr>
          <w:rFonts w:ascii="宋体" w:hAnsi="宋体" w:cs="宋体"/>
          <w:sz w:val="24"/>
          <w:szCs w:val="24"/>
        </w:rPr>
      </w:pPr>
      <w:r>
        <w:rPr>
          <w:rFonts w:hint="eastAsia" w:ascii="宋体" w:hAnsi="宋体" w:cs="宋体"/>
          <w:sz w:val="24"/>
          <w:szCs w:val="24"/>
        </w:rPr>
        <w:t>（详见附件）</w:t>
      </w:r>
    </w:p>
    <w:p w14:paraId="01AB5BF9">
      <w:pPr>
        <w:widowControl/>
        <w:ind w:firstLine="3373" w:firstLineChars="1400"/>
        <w:jc w:val="left"/>
        <w:rPr>
          <w:rFonts w:ascii="宋体" w:hAnsi="宋体" w:cs="宋体"/>
          <w:b/>
          <w:sz w:val="24"/>
          <w:szCs w:val="24"/>
        </w:rPr>
      </w:pPr>
      <w:r>
        <w:rPr>
          <w:rFonts w:ascii="宋体" w:hAnsi="宋体" w:cs="宋体"/>
          <w:b/>
          <w:sz w:val="24"/>
          <w:szCs w:val="24"/>
        </w:rPr>
        <w:t>……</w:t>
      </w:r>
      <w:r>
        <w:rPr>
          <w:rFonts w:hint="eastAsia" w:ascii="宋体" w:hAnsi="宋体" w:cs="宋体"/>
          <w:b/>
          <w:sz w:val="24"/>
          <w:szCs w:val="24"/>
        </w:rPr>
        <w:t>全文结束</w:t>
      </w:r>
      <w:r>
        <w:rPr>
          <w:rFonts w:ascii="宋体" w:hAnsi="宋体" w:cs="宋体"/>
          <w:b/>
          <w:sz w:val="24"/>
          <w:szCs w:val="24"/>
        </w:rPr>
        <w:t>……</w:t>
      </w:r>
    </w:p>
    <w:p w14:paraId="51965DDF">
      <w:pPr>
        <w:pStyle w:val="5"/>
        <w:ind w:left="0"/>
        <w:jc w:val="center"/>
        <w:rPr>
          <w:rFonts w:ascii="宋体" w:hAnsi="宋体" w:cs="宋体"/>
          <w:sz w:val="24"/>
          <w:szCs w:val="24"/>
        </w:rPr>
      </w:pPr>
    </w:p>
    <w:sectPr>
      <w:pgSz w:w="11906" w:h="16838"/>
      <w:pgMar w:top="1361" w:right="1361" w:bottom="1361" w:left="1361"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E2052">
    <w:pPr>
      <w:pStyle w:val="5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3B650BD0">
                          <w:pPr>
                            <w:pStyle w:val="59"/>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3B650BD0">
                    <w:pPr>
                      <w:pStyle w:val="59"/>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B4801">
    <w:pPr>
      <w:pStyle w:val="59"/>
      <w:jc w:val="right"/>
    </w:pPr>
    <w:r>
      <w:fldChar w:fldCharType="begin"/>
    </w:r>
    <w:r>
      <w:instrText xml:space="preserve">PAGE   \* MERGEFORMAT</w:instrText>
    </w:r>
    <w:r>
      <w:fldChar w:fldCharType="separate"/>
    </w:r>
    <w:r>
      <w:rPr>
        <w:lang w:val="zh-CN"/>
      </w:rPr>
      <w:t>-</w:t>
    </w:r>
    <w:r>
      <w:t xml:space="preserve"> 17 -</w:t>
    </w:r>
    <w:r>
      <w:fldChar w:fldCharType="end"/>
    </w:r>
  </w:p>
  <w:p w14:paraId="022B5CCB">
    <w:pPr>
      <w:pStyle w:val="5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FD874">
    <w:pPr>
      <w:pStyle w:val="59"/>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796B83A">
                          <w:pPr>
                            <w:pStyle w:val="59"/>
                            <w:jc w:val="right"/>
                          </w:pPr>
                          <w:r>
                            <w:fldChar w:fldCharType="begin"/>
                          </w:r>
                          <w:r>
                            <w:instrText xml:space="preserve">PAGE   \* MERGEFORMAT</w:instrText>
                          </w:r>
                          <w:r>
                            <w:fldChar w:fldCharType="separate"/>
                          </w:r>
                          <w:r>
                            <w:rPr>
                              <w:lang w:val="zh-CN"/>
                            </w:rPr>
                            <w:t>-</w:t>
                          </w:r>
                          <w:r>
                            <w:t xml:space="preserve"> 4 -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4796B83A">
                    <w:pPr>
                      <w:pStyle w:val="59"/>
                      <w:jc w:val="right"/>
                    </w:pPr>
                    <w:r>
                      <w:fldChar w:fldCharType="begin"/>
                    </w:r>
                    <w:r>
                      <w:instrText xml:space="preserve">PAGE   \* MERGEFORMAT</w:instrText>
                    </w:r>
                    <w:r>
                      <w:fldChar w:fldCharType="separate"/>
                    </w:r>
                    <w:r>
                      <w:rPr>
                        <w:lang w:val="zh-CN"/>
                      </w:rPr>
                      <w:t>-</w:t>
                    </w:r>
                    <w:r>
                      <w:t xml:space="preserve"> 4 -</w:t>
                    </w:r>
                    <w:r>
                      <w:fldChar w:fldCharType="end"/>
                    </w:r>
                  </w:p>
                </w:txbxContent>
              </v:textbox>
            </v:shape>
          </w:pict>
        </mc:Fallback>
      </mc:AlternateContent>
    </w:r>
  </w:p>
  <w:p w14:paraId="011BD316">
    <w:pPr>
      <w:pStyle w:val="5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01924">
    <w:pPr>
      <w:pStyle w:val="6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805D">
    <w:pPr>
      <w:snapToGrid w:val="0"/>
      <w:spacing w:line="360" w:lineRule="auto"/>
      <w:jc w:val="center"/>
    </w:pPr>
    <w:r>
      <w:rPr>
        <w:rFonts w:hint="eastAsia" w:ascii="宋体" w:hAnsi="宋体" w:eastAsia="宋体" w:cs="宋体"/>
        <w:sz w:val="18"/>
        <w:szCs w:val="18"/>
        <w:u w:val="single"/>
        <w:lang w:eastAsia="zh-CN"/>
      </w:rPr>
      <w:t>南通市政务中心食堂服务中心设备采购项目（二次）</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001D">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南通市政务中心食堂服务中心设备采购项目（二次）</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95CEA"/>
    <w:multiLevelType w:val="singleLevel"/>
    <w:tmpl w:val="E2895CEA"/>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pStyle w:val="18"/>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2">
    <w:nsid w:val="1655D05D"/>
    <w:multiLevelType w:val="singleLevel"/>
    <w:tmpl w:val="1655D05D"/>
    <w:lvl w:ilvl="0" w:tentative="0">
      <w:start w:val="2"/>
      <w:numFmt w:val="decimal"/>
      <w:suff w:val="nothing"/>
      <w:lvlText w:val="%1、"/>
      <w:lvlJc w:val="left"/>
    </w:lvl>
  </w:abstractNum>
  <w:abstractNum w:abstractNumId="3">
    <w:nsid w:val="208A7ABE"/>
    <w:multiLevelType w:val="multilevel"/>
    <w:tmpl w:val="208A7ABE"/>
    <w:lvl w:ilvl="0" w:tentative="0">
      <w:start w:val="1"/>
      <w:numFmt w:val="decimal"/>
      <w:pStyle w:val="571"/>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abstractNum w:abstractNumId="7">
    <w:nsid w:val="5BF89856"/>
    <w:multiLevelType w:val="singleLevel"/>
    <w:tmpl w:val="5BF89856"/>
    <w:lvl w:ilvl="0" w:tentative="0">
      <w:start w:val="4"/>
      <w:numFmt w:val="chineseCounting"/>
      <w:suff w:val="nothing"/>
      <w:lvlText w:val="%1、"/>
      <w:lvlJc w:val="left"/>
      <w:rPr>
        <w:rFonts w:hint="eastAsia"/>
      </w:rPr>
    </w:lvl>
  </w:abstractNum>
  <w:num w:numId="1">
    <w:abstractNumId w:val="1"/>
  </w:num>
  <w:num w:numId="2">
    <w:abstractNumId w:val="3"/>
  </w:num>
  <w:num w:numId="3">
    <w:abstractNumId w:val="6"/>
  </w:num>
  <w:num w:numId="4">
    <w:abstractNumId w:val="4"/>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NjJkYzkzOGM1OWE1MTlhNjU3N2M1ZmRiNTBhZjY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A5A"/>
    <w:rsid w:val="00035E4B"/>
    <w:rsid w:val="00036055"/>
    <w:rsid w:val="00036285"/>
    <w:rsid w:val="000363D1"/>
    <w:rsid w:val="00040316"/>
    <w:rsid w:val="0004198B"/>
    <w:rsid w:val="000427F6"/>
    <w:rsid w:val="00044261"/>
    <w:rsid w:val="00044F6E"/>
    <w:rsid w:val="00046775"/>
    <w:rsid w:val="00047329"/>
    <w:rsid w:val="000475EA"/>
    <w:rsid w:val="00051F07"/>
    <w:rsid w:val="00052400"/>
    <w:rsid w:val="0005272B"/>
    <w:rsid w:val="00052D05"/>
    <w:rsid w:val="00054EF7"/>
    <w:rsid w:val="00055407"/>
    <w:rsid w:val="000559AB"/>
    <w:rsid w:val="00056078"/>
    <w:rsid w:val="0005644B"/>
    <w:rsid w:val="0005659B"/>
    <w:rsid w:val="00056DA3"/>
    <w:rsid w:val="00060985"/>
    <w:rsid w:val="000625B4"/>
    <w:rsid w:val="00062A1F"/>
    <w:rsid w:val="00064DAA"/>
    <w:rsid w:val="00064F4B"/>
    <w:rsid w:val="000656A1"/>
    <w:rsid w:val="000670ED"/>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B7B18"/>
    <w:rsid w:val="000C08FE"/>
    <w:rsid w:val="000C14F9"/>
    <w:rsid w:val="000C19EF"/>
    <w:rsid w:val="000C25F5"/>
    <w:rsid w:val="000C3330"/>
    <w:rsid w:val="000C44FC"/>
    <w:rsid w:val="000C6F44"/>
    <w:rsid w:val="000D0EBD"/>
    <w:rsid w:val="000D1561"/>
    <w:rsid w:val="000D3AC8"/>
    <w:rsid w:val="000D56D0"/>
    <w:rsid w:val="000D68A0"/>
    <w:rsid w:val="000E155C"/>
    <w:rsid w:val="000E1F68"/>
    <w:rsid w:val="000E226B"/>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46BC"/>
    <w:rsid w:val="00115178"/>
    <w:rsid w:val="001207E1"/>
    <w:rsid w:val="00126AF9"/>
    <w:rsid w:val="001315BF"/>
    <w:rsid w:val="00131749"/>
    <w:rsid w:val="00133387"/>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1D1F"/>
    <w:rsid w:val="00161FB4"/>
    <w:rsid w:val="00162D48"/>
    <w:rsid w:val="00163118"/>
    <w:rsid w:val="001632B4"/>
    <w:rsid w:val="00166A72"/>
    <w:rsid w:val="00166F24"/>
    <w:rsid w:val="001675CA"/>
    <w:rsid w:val="001707AD"/>
    <w:rsid w:val="00170E90"/>
    <w:rsid w:val="00171630"/>
    <w:rsid w:val="00171647"/>
    <w:rsid w:val="00172A27"/>
    <w:rsid w:val="00172CA0"/>
    <w:rsid w:val="001735CF"/>
    <w:rsid w:val="0017368C"/>
    <w:rsid w:val="00173A99"/>
    <w:rsid w:val="00173BB4"/>
    <w:rsid w:val="001747A9"/>
    <w:rsid w:val="00177D31"/>
    <w:rsid w:val="00180B99"/>
    <w:rsid w:val="00180C1B"/>
    <w:rsid w:val="00186C07"/>
    <w:rsid w:val="00191880"/>
    <w:rsid w:val="00191F33"/>
    <w:rsid w:val="00193122"/>
    <w:rsid w:val="00196BEF"/>
    <w:rsid w:val="00197AA8"/>
    <w:rsid w:val="001A080B"/>
    <w:rsid w:val="001A1DB9"/>
    <w:rsid w:val="001A319C"/>
    <w:rsid w:val="001A56A5"/>
    <w:rsid w:val="001B0E44"/>
    <w:rsid w:val="001B120C"/>
    <w:rsid w:val="001B1E2C"/>
    <w:rsid w:val="001B7F2C"/>
    <w:rsid w:val="001C0B61"/>
    <w:rsid w:val="001C0E71"/>
    <w:rsid w:val="001C121C"/>
    <w:rsid w:val="001C2F74"/>
    <w:rsid w:val="001C4978"/>
    <w:rsid w:val="001C6921"/>
    <w:rsid w:val="001C6F8C"/>
    <w:rsid w:val="001D0804"/>
    <w:rsid w:val="001D0FC4"/>
    <w:rsid w:val="001E034B"/>
    <w:rsid w:val="001E1BFF"/>
    <w:rsid w:val="001E2D66"/>
    <w:rsid w:val="001E30E9"/>
    <w:rsid w:val="001E38CE"/>
    <w:rsid w:val="001E4A14"/>
    <w:rsid w:val="001E7911"/>
    <w:rsid w:val="001F0DB1"/>
    <w:rsid w:val="001F75DC"/>
    <w:rsid w:val="00202E8B"/>
    <w:rsid w:val="0020435D"/>
    <w:rsid w:val="0020465D"/>
    <w:rsid w:val="00212B9F"/>
    <w:rsid w:val="00213418"/>
    <w:rsid w:val="00216D8C"/>
    <w:rsid w:val="002200F8"/>
    <w:rsid w:val="00222DFA"/>
    <w:rsid w:val="00223FA4"/>
    <w:rsid w:val="002272D6"/>
    <w:rsid w:val="00227DF7"/>
    <w:rsid w:val="00231DF5"/>
    <w:rsid w:val="00231FC6"/>
    <w:rsid w:val="00232C3C"/>
    <w:rsid w:val="00233547"/>
    <w:rsid w:val="00236ED1"/>
    <w:rsid w:val="00237C86"/>
    <w:rsid w:val="00240A42"/>
    <w:rsid w:val="00243D8D"/>
    <w:rsid w:val="00244BF9"/>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46B"/>
    <w:rsid w:val="00277E11"/>
    <w:rsid w:val="00280205"/>
    <w:rsid w:val="002819DC"/>
    <w:rsid w:val="00282499"/>
    <w:rsid w:val="002824BB"/>
    <w:rsid w:val="002836E6"/>
    <w:rsid w:val="00290DB3"/>
    <w:rsid w:val="002928D5"/>
    <w:rsid w:val="00295033"/>
    <w:rsid w:val="00295AB1"/>
    <w:rsid w:val="002A0951"/>
    <w:rsid w:val="002A0A90"/>
    <w:rsid w:val="002A2240"/>
    <w:rsid w:val="002A22A8"/>
    <w:rsid w:val="002A2999"/>
    <w:rsid w:val="002A2EF6"/>
    <w:rsid w:val="002A3526"/>
    <w:rsid w:val="002A3739"/>
    <w:rsid w:val="002A4E52"/>
    <w:rsid w:val="002A6953"/>
    <w:rsid w:val="002A72E4"/>
    <w:rsid w:val="002A7424"/>
    <w:rsid w:val="002A79F3"/>
    <w:rsid w:val="002A7E1B"/>
    <w:rsid w:val="002B17E8"/>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D6037"/>
    <w:rsid w:val="002E50B5"/>
    <w:rsid w:val="002F0A04"/>
    <w:rsid w:val="00301915"/>
    <w:rsid w:val="00301BD6"/>
    <w:rsid w:val="00303F5E"/>
    <w:rsid w:val="00304FB5"/>
    <w:rsid w:val="0030612C"/>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4F7"/>
    <w:rsid w:val="003435D0"/>
    <w:rsid w:val="003438C7"/>
    <w:rsid w:val="003475DA"/>
    <w:rsid w:val="0035085E"/>
    <w:rsid w:val="00350CFA"/>
    <w:rsid w:val="00350E2F"/>
    <w:rsid w:val="003518BC"/>
    <w:rsid w:val="003527E0"/>
    <w:rsid w:val="00353F9E"/>
    <w:rsid w:val="003542C7"/>
    <w:rsid w:val="003558C8"/>
    <w:rsid w:val="0035611D"/>
    <w:rsid w:val="00356F33"/>
    <w:rsid w:val="00360A53"/>
    <w:rsid w:val="00361293"/>
    <w:rsid w:val="003624E8"/>
    <w:rsid w:val="00365218"/>
    <w:rsid w:val="003654BF"/>
    <w:rsid w:val="00365DBE"/>
    <w:rsid w:val="003729E8"/>
    <w:rsid w:val="00373ECD"/>
    <w:rsid w:val="00374FEC"/>
    <w:rsid w:val="00380535"/>
    <w:rsid w:val="00380AB9"/>
    <w:rsid w:val="00381B04"/>
    <w:rsid w:val="003820F7"/>
    <w:rsid w:val="00383AD7"/>
    <w:rsid w:val="00384492"/>
    <w:rsid w:val="0038501D"/>
    <w:rsid w:val="003865FD"/>
    <w:rsid w:val="00390CF0"/>
    <w:rsid w:val="003937CE"/>
    <w:rsid w:val="003A0F42"/>
    <w:rsid w:val="003A20B7"/>
    <w:rsid w:val="003A549F"/>
    <w:rsid w:val="003A59C3"/>
    <w:rsid w:val="003A678E"/>
    <w:rsid w:val="003A7258"/>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4EE2"/>
    <w:rsid w:val="003D5158"/>
    <w:rsid w:val="003D7780"/>
    <w:rsid w:val="003E0451"/>
    <w:rsid w:val="003E1B5A"/>
    <w:rsid w:val="003E288B"/>
    <w:rsid w:val="003E5B9D"/>
    <w:rsid w:val="003E6039"/>
    <w:rsid w:val="003E710B"/>
    <w:rsid w:val="003F33FC"/>
    <w:rsid w:val="003F4705"/>
    <w:rsid w:val="003F5B55"/>
    <w:rsid w:val="003F5CE2"/>
    <w:rsid w:val="003F6191"/>
    <w:rsid w:val="003F7F60"/>
    <w:rsid w:val="0040252B"/>
    <w:rsid w:val="00403584"/>
    <w:rsid w:val="00406A54"/>
    <w:rsid w:val="00410639"/>
    <w:rsid w:val="00411278"/>
    <w:rsid w:val="004120F4"/>
    <w:rsid w:val="004137CE"/>
    <w:rsid w:val="004141F7"/>
    <w:rsid w:val="004148DC"/>
    <w:rsid w:val="004151C8"/>
    <w:rsid w:val="0041788C"/>
    <w:rsid w:val="00421EF0"/>
    <w:rsid w:val="004248CF"/>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616"/>
    <w:rsid w:val="00440D48"/>
    <w:rsid w:val="00442C62"/>
    <w:rsid w:val="00443C18"/>
    <w:rsid w:val="00444973"/>
    <w:rsid w:val="00444BDC"/>
    <w:rsid w:val="00447059"/>
    <w:rsid w:val="00450BCA"/>
    <w:rsid w:val="004561B1"/>
    <w:rsid w:val="00460F74"/>
    <w:rsid w:val="004617BD"/>
    <w:rsid w:val="0046595C"/>
    <w:rsid w:val="00466472"/>
    <w:rsid w:val="00466C63"/>
    <w:rsid w:val="00466D01"/>
    <w:rsid w:val="004722DC"/>
    <w:rsid w:val="0047237E"/>
    <w:rsid w:val="00472873"/>
    <w:rsid w:val="00474042"/>
    <w:rsid w:val="00474416"/>
    <w:rsid w:val="00474675"/>
    <w:rsid w:val="00475090"/>
    <w:rsid w:val="00475D7D"/>
    <w:rsid w:val="004769DB"/>
    <w:rsid w:val="00477256"/>
    <w:rsid w:val="00481D35"/>
    <w:rsid w:val="00482248"/>
    <w:rsid w:val="004822FE"/>
    <w:rsid w:val="00485903"/>
    <w:rsid w:val="00486C70"/>
    <w:rsid w:val="00486CB7"/>
    <w:rsid w:val="00487A19"/>
    <w:rsid w:val="0049226D"/>
    <w:rsid w:val="00493C67"/>
    <w:rsid w:val="00495426"/>
    <w:rsid w:val="00497C68"/>
    <w:rsid w:val="004A05F2"/>
    <w:rsid w:val="004A11C4"/>
    <w:rsid w:val="004A22B3"/>
    <w:rsid w:val="004A2357"/>
    <w:rsid w:val="004A2AD6"/>
    <w:rsid w:val="004A3B9A"/>
    <w:rsid w:val="004A77E8"/>
    <w:rsid w:val="004B12A8"/>
    <w:rsid w:val="004B1A50"/>
    <w:rsid w:val="004B21EB"/>
    <w:rsid w:val="004B2218"/>
    <w:rsid w:val="004B2BF8"/>
    <w:rsid w:val="004B41F3"/>
    <w:rsid w:val="004B42AA"/>
    <w:rsid w:val="004B5113"/>
    <w:rsid w:val="004C08CF"/>
    <w:rsid w:val="004C12FD"/>
    <w:rsid w:val="004C2B3E"/>
    <w:rsid w:val="004C4F87"/>
    <w:rsid w:val="004C6D36"/>
    <w:rsid w:val="004C6E28"/>
    <w:rsid w:val="004D1899"/>
    <w:rsid w:val="004D4DDD"/>
    <w:rsid w:val="004D7973"/>
    <w:rsid w:val="004D7EF3"/>
    <w:rsid w:val="004E02AE"/>
    <w:rsid w:val="004E5400"/>
    <w:rsid w:val="004E6503"/>
    <w:rsid w:val="004F7662"/>
    <w:rsid w:val="005014F1"/>
    <w:rsid w:val="0050166A"/>
    <w:rsid w:val="00501DE9"/>
    <w:rsid w:val="00504B58"/>
    <w:rsid w:val="005059FF"/>
    <w:rsid w:val="0050666C"/>
    <w:rsid w:val="00507593"/>
    <w:rsid w:val="00510BF3"/>
    <w:rsid w:val="005146A6"/>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652"/>
    <w:rsid w:val="00570880"/>
    <w:rsid w:val="00571D5F"/>
    <w:rsid w:val="005724F9"/>
    <w:rsid w:val="0057395F"/>
    <w:rsid w:val="00575CBD"/>
    <w:rsid w:val="00581C8D"/>
    <w:rsid w:val="005834D9"/>
    <w:rsid w:val="0058355D"/>
    <w:rsid w:val="005847E3"/>
    <w:rsid w:val="0058597C"/>
    <w:rsid w:val="00587715"/>
    <w:rsid w:val="00587D47"/>
    <w:rsid w:val="00587DD1"/>
    <w:rsid w:val="00590664"/>
    <w:rsid w:val="00591369"/>
    <w:rsid w:val="0059171B"/>
    <w:rsid w:val="00593628"/>
    <w:rsid w:val="00593A7E"/>
    <w:rsid w:val="0059410D"/>
    <w:rsid w:val="00594B74"/>
    <w:rsid w:val="00594BED"/>
    <w:rsid w:val="005956F9"/>
    <w:rsid w:val="005958CC"/>
    <w:rsid w:val="00596780"/>
    <w:rsid w:val="005A29EF"/>
    <w:rsid w:val="005A2AAD"/>
    <w:rsid w:val="005A342E"/>
    <w:rsid w:val="005A4BE6"/>
    <w:rsid w:val="005A78DB"/>
    <w:rsid w:val="005B1EC1"/>
    <w:rsid w:val="005B1F8E"/>
    <w:rsid w:val="005B25AE"/>
    <w:rsid w:val="005B3D76"/>
    <w:rsid w:val="005B5697"/>
    <w:rsid w:val="005B579C"/>
    <w:rsid w:val="005B7251"/>
    <w:rsid w:val="005C2E92"/>
    <w:rsid w:val="005D040E"/>
    <w:rsid w:val="005D2D41"/>
    <w:rsid w:val="005D5120"/>
    <w:rsid w:val="005D519D"/>
    <w:rsid w:val="005D5F33"/>
    <w:rsid w:val="005D61EA"/>
    <w:rsid w:val="005E063D"/>
    <w:rsid w:val="005E17D3"/>
    <w:rsid w:val="005E1CA5"/>
    <w:rsid w:val="005E39BC"/>
    <w:rsid w:val="005E409A"/>
    <w:rsid w:val="005E5AA3"/>
    <w:rsid w:val="005E66EC"/>
    <w:rsid w:val="005E7A5D"/>
    <w:rsid w:val="005F16B9"/>
    <w:rsid w:val="005F3FB9"/>
    <w:rsid w:val="005F5B55"/>
    <w:rsid w:val="005F750C"/>
    <w:rsid w:val="0060178B"/>
    <w:rsid w:val="00602196"/>
    <w:rsid w:val="006043E1"/>
    <w:rsid w:val="00605823"/>
    <w:rsid w:val="00607814"/>
    <w:rsid w:val="00610F6C"/>
    <w:rsid w:val="0061265D"/>
    <w:rsid w:val="00613DD5"/>
    <w:rsid w:val="00613EDA"/>
    <w:rsid w:val="00617219"/>
    <w:rsid w:val="00617EEE"/>
    <w:rsid w:val="00622F8A"/>
    <w:rsid w:val="00624A60"/>
    <w:rsid w:val="0062558F"/>
    <w:rsid w:val="0062585E"/>
    <w:rsid w:val="00626AD1"/>
    <w:rsid w:val="00626FC8"/>
    <w:rsid w:val="00627440"/>
    <w:rsid w:val="00627581"/>
    <w:rsid w:val="00633B21"/>
    <w:rsid w:val="00634C71"/>
    <w:rsid w:val="0063585D"/>
    <w:rsid w:val="006368DF"/>
    <w:rsid w:val="00637BE4"/>
    <w:rsid w:val="0064011F"/>
    <w:rsid w:val="0064531B"/>
    <w:rsid w:val="00646384"/>
    <w:rsid w:val="006464DC"/>
    <w:rsid w:val="006469C4"/>
    <w:rsid w:val="00647B02"/>
    <w:rsid w:val="00647BD3"/>
    <w:rsid w:val="00653CB5"/>
    <w:rsid w:val="00653F99"/>
    <w:rsid w:val="0065457A"/>
    <w:rsid w:val="00655D62"/>
    <w:rsid w:val="0065637C"/>
    <w:rsid w:val="006564F5"/>
    <w:rsid w:val="0066149F"/>
    <w:rsid w:val="006626C9"/>
    <w:rsid w:val="006650E1"/>
    <w:rsid w:val="00666E8E"/>
    <w:rsid w:val="00667444"/>
    <w:rsid w:val="00671FB4"/>
    <w:rsid w:val="00671FFC"/>
    <w:rsid w:val="0067398E"/>
    <w:rsid w:val="00673ACC"/>
    <w:rsid w:val="00673E2C"/>
    <w:rsid w:val="006748C9"/>
    <w:rsid w:val="00674934"/>
    <w:rsid w:val="006754E5"/>
    <w:rsid w:val="00675806"/>
    <w:rsid w:val="00682187"/>
    <w:rsid w:val="00683419"/>
    <w:rsid w:val="00684911"/>
    <w:rsid w:val="00685C2C"/>
    <w:rsid w:val="00686CDF"/>
    <w:rsid w:val="0069081F"/>
    <w:rsid w:val="006913EC"/>
    <w:rsid w:val="00692CD9"/>
    <w:rsid w:val="006930C3"/>
    <w:rsid w:val="006948CC"/>
    <w:rsid w:val="00694CF2"/>
    <w:rsid w:val="00695E41"/>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3892"/>
    <w:rsid w:val="006C5B40"/>
    <w:rsid w:val="006C74F8"/>
    <w:rsid w:val="006D08FF"/>
    <w:rsid w:val="006D0BF7"/>
    <w:rsid w:val="006D2F96"/>
    <w:rsid w:val="006D3744"/>
    <w:rsid w:val="006D39A0"/>
    <w:rsid w:val="006D53BF"/>
    <w:rsid w:val="006D57D9"/>
    <w:rsid w:val="006D605A"/>
    <w:rsid w:val="006D6185"/>
    <w:rsid w:val="006D6D99"/>
    <w:rsid w:val="006D7502"/>
    <w:rsid w:val="006D75CC"/>
    <w:rsid w:val="006E4C03"/>
    <w:rsid w:val="006E5467"/>
    <w:rsid w:val="006E5E30"/>
    <w:rsid w:val="006E7626"/>
    <w:rsid w:val="006F6A85"/>
    <w:rsid w:val="006F6BDB"/>
    <w:rsid w:val="006F76B7"/>
    <w:rsid w:val="006F7DF9"/>
    <w:rsid w:val="00701DF7"/>
    <w:rsid w:val="00701F80"/>
    <w:rsid w:val="00704C69"/>
    <w:rsid w:val="0070517F"/>
    <w:rsid w:val="00706D28"/>
    <w:rsid w:val="00707B01"/>
    <w:rsid w:val="00711ED5"/>
    <w:rsid w:val="007168E4"/>
    <w:rsid w:val="007206C0"/>
    <w:rsid w:val="00720BF4"/>
    <w:rsid w:val="00720EC8"/>
    <w:rsid w:val="00721097"/>
    <w:rsid w:val="00722431"/>
    <w:rsid w:val="00723340"/>
    <w:rsid w:val="0072377E"/>
    <w:rsid w:val="007240DA"/>
    <w:rsid w:val="00726889"/>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25F8"/>
    <w:rsid w:val="0076323F"/>
    <w:rsid w:val="007676F6"/>
    <w:rsid w:val="0077002E"/>
    <w:rsid w:val="00770ADF"/>
    <w:rsid w:val="007737B0"/>
    <w:rsid w:val="007738C2"/>
    <w:rsid w:val="00773CD4"/>
    <w:rsid w:val="0077532C"/>
    <w:rsid w:val="007756B8"/>
    <w:rsid w:val="00776650"/>
    <w:rsid w:val="007766A6"/>
    <w:rsid w:val="007773CC"/>
    <w:rsid w:val="007826AE"/>
    <w:rsid w:val="007834F0"/>
    <w:rsid w:val="007847EA"/>
    <w:rsid w:val="00786287"/>
    <w:rsid w:val="00790C8A"/>
    <w:rsid w:val="007911F1"/>
    <w:rsid w:val="00791C65"/>
    <w:rsid w:val="007949A9"/>
    <w:rsid w:val="00795EA6"/>
    <w:rsid w:val="007971FA"/>
    <w:rsid w:val="007A0EBE"/>
    <w:rsid w:val="007A2888"/>
    <w:rsid w:val="007A58DD"/>
    <w:rsid w:val="007B1A3B"/>
    <w:rsid w:val="007B1D52"/>
    <w:rsid w:val="007B3375"/>
    <w:rsid w:val="007B34FA"/>
    <w:rsid w:val="007B3CDA"/>
    <w:rsid w:val="007B50BA"/>
    <w:rsid w:val="007B6AB0"/>
    <w:rsid w:val="007B71FB"/>
    <w:rsid w:val="007B7327"/>
    <w:rsid w:val="007B7945"/>
    <w:rsid w:val="007C08AD"/>
    <w:rsid w:val="007C2A99"/>
    <w:rsid w:val="007C469A"/>
    <w:rsid w:val="007C4CFE"/>
    <w:rsid w:val="007C54EB"/>
    <w:rsid w:val="007C6199"/>
    <w:rsid w:val="007C6EBB"/>
    <w:rsid w:val="007C7234"/>
    <w:rsid w:val="007C7CF4"/>
    <w:rsid w:val="007D0651"/>
    <w:rsid w:val="007D0DAB"/>
    <w:rsid w:val="007D54D2"/>
    <w:rsid w:val="007D5823"/>
    <w:rsid w:val="007D7443"/>
    <w:rsid w:val="007E00EA"/>
    <w:rsid w:val="007E0DFB"/>
    <w:rsid w:val="007E1081"/>
    <w:rsid w:val="007E235F"/>
    <w:rsid w:val="007E299A"/>
    <w:rsid w:val="007E3F7B"/>
    <w:rsid w:val="007E61BA"/>
    <w:rsid w:val="007E716B"/>
    <w:rsid w:val="007F0810"/>
    <w:rsid w:val="007F1C9B"/>
    <w:rsid w:val="007F1FE7"/>
    <w:rsid w:val="007F2328"/>
    <w:rsid w:val="007F430B"/>
    <w:rsid w:val="007F6E74"/>
    <w:rsid w:val="007F7AC8"/>
    <w:rsid w:val="00800E75"/>
    <w:rsid w:val="008011A7"/>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1A1F"/>
    <w:rsid w:val="00833451"/>
    <w:rsid w:val="0083426D"/>
    <w:rsid w:val="00840D51"/>
    <w:rsid w:val="008424A8"/>
    <w:rsid w:val="008438B1"/>
    <w:rsid w:val="0084434F"/>
    <w:rsid w:val="008443B5"/>
    <w:rsid w:val="00845724"/>
    <w:rsid w:val="008473CE"/>
    <w:rsid w:val="00847492"/>
    <w:rsid w:val="008503A8"/>
    <w:rsid w:val="00853506"/>
    <w:rsid w:val="00854FAB"/>
    <w:rsid w:val="00855869"/>
    <w:rsid w:val="00855BE6"/>
    <w:rsid w:val="0086184D"/>
    <w:rsid w:val="008626C2"/>
    <w:rsid w:val="00862C6F"/>
    <w:rsid w:val="00863A50"/>
    <w:rsid w:val="00864DAC"/>
    <w:rsid w:val="0086525D"/>
    <w:rsid w:val="0086719E"/>
    <w:rsid w:val="008673C5"/>
    <w:rsid w:val="00871693"/>
    <w:rsid w:val="008722C6"/>
    <w:rsid w:val="0087437F"/>
    <w:rsid w:val="008751F9"/>
    <w:rsid w:val="00875BBE"/>
    <w:rsid w:val="00877772"/>
    <w:rsid w:val="00880C7E"/>
    <w:rsid w:val="00880FCA"/>
    <w:rsid w:val="0088240C"/>
    <w:rsid w:val="008827C1"/>
    <w:rsid w:val="008841AC"/>
    <w:rsid w:val="00884E14"/>
    <w:rsid w:val="00890487"/>
    <w:rsid w:val="00895367"/>
    <w:rsid w:val="008969ED"/>
    <w:rsid w:val="008A0929"/>
    <w:rsid w:val="008A0EB2"/>
    <w:rsid w:val="008A3852"/>
    <w:rsid w:val="008A3B5F"/>
    <w:rsid w:val="008A6A5B"/>
    <w:rsid w:val="008A76C3"/>
    <w:rsid w:val="008A7787"/>
    <w:rsid w:val="008B17B2"/>
    <w:rsid w:val="008B385C"/>
    <w:rsid w:val="008B409C"/>
    <w:rsid w:val="008B494B"/>
    <w:rsid w:val="008B5F8F"/>
    <w:rsid w:val="008B78FC"/>
    <w:rsid w:val="008C026D"/>
    <w:rsid w:val="008C310D"/>
    <w:rsid w:val="008C4B17"/>
    <w:rsid w:val="008C4E8F"/>
    <w:rsid w:val="008C5A54"/>
    <w:rsid w:val="008C67CF"/>
    <w:rsid w:val="008C7C28"/>
    <w:rsid w:val="008D0542"/>
    <w:rsid w:val="008D18EB"/>
    <w:rsid w:val="008D2C10"/>
    <w:rsid w:val="008D32D2"/>
    <w:rsid w:val="008D3CB5"/>
    <w:rsid w:val="008D6558"/>
    <w:rsid w:val="008D7467"/>
    <w:rsid w:val="008D7479"/>
    <w:rsid w:val="008D76F8"/>
    <w:rsid w:val="008E0313"/>
    <w:rsid w:val="008E07A4"/>
    <w:rsid w:val="008E1D69"/>
    <w:rsid w:val="008E4396"/>
    <w:rsid w:val="008E4C60"/>
    <w:rsid w:val="008E533D"/>
    <w:rsid w:val="008E59F2"/>
    <w:rsid w:val="008E5C21"/>
    <w:rsid w:val="008E5DF0"/>
    <w:rsid w:val="008E67A6"/>
    <w:rsid w:val="008F21DF"/>
    <w:rsid w:val="008F239E"/>
    <w:rsid w:val="008F3258"/>
    <w:rsid w:val="008F4389"/>
    <w:rsid w:val="008F4837"/>
    <w:rsid w:val="008F655D"/>
    <w:rsid w:val="008F66EF"/>
    <w:rsid w:val="008F7624"/>
    <w:rsid w:val="00900DA1"/>
    <w:rsid w:val="00901706"/>
    <w:rsid w:val="00903CBB"/>
    <w:rsid w:val="00904620"/>
    <w:rsid w:val="00905219"/>
    <w:rsid w:val="00906103"/>
    <w:rsid w:val="00907B8B"/>
    <w:rsid w:val="00910C77"/>
    <w:rsid w:val="00910D96"/>
    <w:rsid w:val="0091322C"/>
    <w:rsid w:val="00914C17"/>
    <w:rsid w:val="009158C9"/>
    <w:rsid w:val="00916113"/>
    <w:rsid w:val="0091792A"/>
    <w:rsid w:val="009222BF"/>
    <w:rsid w:val="00922777"/>
    <w:rsid w:val="00922DEE"/>
    <w:rsid w:val="009327A0"/>
    <w:rsid w:val="00932968"/>
    <w:rsid w:val="00933A05"/>
    <w:rsid w:val="0093404A"/>
    <w:rsid w:val="009353AE"/>
    <w:rsid w:val="0093605A"/>
    <w:rsid w:val="00936C71"/>
    <w:rsid w:val="00940043"/>
    <w:rsid w:val="0094109C"/>
    <w:rsid w:val="0094172E"/>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874"/>
    <w:rsid w:val="009609B3"/>
    <w:rsid w:val="00961081"/>
    <w:rsid w:val="00963E75"/>
    <w:rsid w:val="009644C4"/>
    <w:rsid w:val="0096568D"/>
    <w:rsid w:val="00965884"/>
    <w:rsid w:val="009700EB"/>
    <w:rsid w:val="009702A7"/>
    <w:rsid w:val="00973E33"/>
    <w:rsid w:val="0097619E"/>
    <w:rsid w:val="00976B56"/>
    <w:rsid w:val="009774CB"/>
    <w:rsid w:val="00977C53"/>
    <w:rsid w:val="00977E65"/>
    <w:rsid w:val="00980429"/>
    <w:rsid w:val="0098190D"/>
    <w:rsid w:val="00983760"/>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89D"/>
    <w:rsid w:val="009B1F96"/>
    <w:rsid w:val="009B368B"/>
    <w:rsid w:val="009B59A4"/>
    <w:rsid w:val="009B5A30"/>
    <w:rsid w:val="009B6855"/>
    <w:rsid w:val="009B79E3"/>
    <w:rsid w:val="009C067C"/>
    <w:rsid w:val="009C599F"/>
    <w:rsid w:val="009C5AAD"/>
    <w:rsid w:val="009C709C"/>
    <w:rsid w:val="009D0919"/>
    <w:rsid w:val="009D0A9B"/>
    <w:rsid w:val="009D0A9D"/>
    <w:rsid w:val="009D4ADF"/>
    <w:rsid w:val="009D4FA0"/>
    <w:rsid w:val="009D513E"/>
    <w:rsid w:val="009D59B5"/>
    <w:rsid w:val="009D69E4"/>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030D"/>
    <w:rsid w:val="00A217BE"/>
    <w:rsid w:val="00A25305"/>
    <w:rsid w:val="00A25CD8"/>
    <w:rsid w:val="00A27223"/>
    <w:rsid w:val="00A2761F"/>
    <w:rsid w:val="00A276F0"/>
    <w:rsid w:val="00A27A1E"/>
    <w:rsid w:val="00A305DF"/>
    <w:rsid w:val="00A306D3"/>
    <w:rsid w:val="00A30F5A"/>
    <w:rsid w:val="00A3114E"/>
    <w:rsid w:val="00A32D4A"/>
    <w:rsid w:val="00A339CB"/>
    <w:rsid w:val="00A348C6"/>
    <w:rsid w:val="00A34EE6"/>
    <w:rsid w:val="00A355AC"/>
    <w:rsid w:val="00A35CA3"/>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224B"/>
    <w:rsid w:val="00A634C4"/>
    <w:rsid w:val="00A646BB"/>
    <w:rsid w:val="00A64760"/>
    <w:rsid w:val="00A65176"/>
    <w:rsid w:val="00A65CF9"/>
    <w:rsid w:val="00A66595"/>
    <w:rsid w:val="00A702FF"/>
    <w:rsid w:val="00A70C08"/>
    <w:rsid w:val="00A70CFE"/>
    <w:rsid w:val="00A71033"/>
    <w:rsid w:val="00A75187"/>
    <w:rsid w:val="00A75F57"/>
    <w:rsid w:val="00A804D6"/>
    <w:rsid w:val="00A81F9A"/>
    <w:rsid w:val="00A83376"/>
    <w:rsid w:val="00A84D8B"/>
    <w:rsid w:val="00A862B3"/>
    <w:rsid w:val="00A86C50"/>
    <w:rsid w:val="00A87518"/>
    <w:rsid w:val="00A87D27"/>
    <w:rsid w:val="00A90102"/>
    <w:rsid w:val="00A902F1"/>
    <w:rsid w:val="00A94710"/>
    <w:rsid w:val="00A96661"/>
    <w:rsid w:val="00A96C2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4A23"/>
    <w:rsid w:val="00AD6170"/>
    <w:rsid w:val="00AD65E0"/>
    <w:rsid w:val="00AD7AB8"/>
    <w:rsid w:val="00AE1C35"/>
    <w:rsid w:val="00AE1F8A"/>
    <w:rsid w:val="00AE2290"/>
    <w:rsid w:val="00AE4878"/>
    <w:rsid w:val="00AE4A29"/>
    <w:rsid w:val="00AE5D13"/>
    <w:rsid w:val="00AE714F"/>
    <w:rsid w:val="00AF199C"/>
    <w:rsid w:val="00AF382A"/>
    <w:rsid w:val="00B018DE"/>
    <w:rsid w:val="00B02A7E"/>
    <w:rsid w:val="00B045FB"/>
    <w:rsid w:val="00B11EF9"/>
    <w:rsid w:val="00B1248A"/>
    <w:rsid w:val="00B167B8"/>
    <w:rsid w:val="00B20530"/>
    <w:rsid w:val="00B21D21"/>
    <w:rsid w:val="00B23799"/>
    <w:rsid w:val="00B265BC"/>
    <w:rsid w:val="00B27A7B"/>
    <w:rsid w:val="00B30564"/>
    <w:rsid w:val="00B3084C"/>
    <w:rsid w:val="00B32F92"/>
    <w:rsid w:val="00B35458"/>
    <w:rsid w:val="00B370C8"/>
    <w:rsid w:val="00B37308"/>
    <w:rsid w:val="00B40ABA"/>
    <w:rsid w:val="00B417CD"/>
    <w:rsid w:val="00B4236C"/>
    <w:rsid w:val="00B42931"/>
    <w:rsid w:val="00B50766"/>
    <w:rsid w:val="00B51002"/>
    <w:rsid w:val="00B51291"/>
    <w:rsid w:val="00B51C23"/>
    <w:rsid w:val="00B60CFC"/>
    <w:rsid w:val="00B61DB2"/>
    <w:rsid w:val="00B64A22"/>
    <w:rsid w:val="00B64CC4"/>
    <w:rsid w:val="00B6561F"/>
    <w:rsid w:val="00B657A4"/>
    <w:rsid w:val="00B65B58"/>
    <w:rsid w:val="00B65C70"/>
    <w:rsid w:val="00B6787C"/>
    <w:rsid w:val="00B71D49"/>
    <w:rsid w:val="00B7253E"/>
    <w:rsid w:val="00B751F7"/>
    <w:rsid w:val="00B8254E"/>
    <w:rsid w:val="00B8589B"/>
    <w:rsid w:val="00B85A78"/>
    <w:rsid w:val="00B9605B"/>
    <w:rsid w:val="00B975F4"/>
    <w:rsid w:val="00BA309E"/>
    <w:rsid w:val="00BA3385"/>
    <w:rsid w:val="00BB214A"/>
    <w:rsid w:val="00BB5E1A"/>
    <w:rsid w:val="00BB5E9B"/>
    <w:rsid w:val="00BC057A"/>
    <w:rsid w:val="00BC088A"/>
    <w:rsid w:val="00BC0F1F"/>
    <w:rsid w:val="00BC178C"/>
    <w:rsid w:val="00BC4432"/>
    <w:rsid w:val="00BC57A4"/>
    <w:rsid w:val="00BC653C"/>
    <w:rsid w:val="00BC757A"/>
    <w:rsid w:val="00BD1FA5"/>
    <w:rsid w:val="00BD4E67"/>
    <w:rsid w:val="00BD62F8"/>
    <w:rsid w:val="00BD63D2"/>
    <w:rsid w:val="00BD7FB2"/>
    <w:rsid w:val="00BE00D5"/>
    <w:rsid w:val="00BE2243"/>
    <w:rsid w:val="00BE2A72"/>
    <w:rsid w:val="00BE2BF5"/>
    <w:rsid w:val="00BE2BF6"/>
    <w:rsid w:val="00BE3CA0"/>
    <w:rsid w:val="00BE4891"/>
    <w:rsid w:val="00BF0462"/>
    <w:rsid w:val="00BF0DA8"/>
    <w:rsid w:val="00BF27B5"/>
    <w:rsid w:val="00BF28B1"/>
    <w:rsid w:val="00BF3DFF"/>
    <w:rsid w:val="00BF60B8"/>
    <w:rsid w:val="00BF787D"/>
    <w:rsid w:val="00C010CB"/>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1587"/>
    <w:rsid w:val="00C2685F"/>
    <w:rsid w:val="00C316EA"/>
    <w:rsid w:val="00C32B9A"/>
    <w:rsid w:val="00C32EEB"/>
    <w:rsid w:val="00C338CC"/>
    <w:rsid w:val="00C40774"/>
    <w:rsid w:val="00C42B62"/>
    <w:rsid w:val="00C432C4"/>
    <w:rsid w:val="00C43338"/>
    <w:rsid w:val="00C45AA9"/>
    <w:rsid w:val="00C45F62"/>
    <w:rsid w:val="00C460BC"/>
    <w:rsid w:val="00C462BB"/>
    <w:rsid w:val="00C55A51"/>
    <w:rsid w:val="00C55B6B"/>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87B05"/>
    <w:rsid w:val="00C90C21"/>
    <w:rsid w:val="00C91A4B"/>
    <w:rsid w:val="00C94434"/>
    <w:rsid w:val="00C9610D"/>
    <w:rsid w:val="00C96622"/>
    <w:rsid w:val="00C96D1E"/>
    <w:rsid w:val="00C97DEB"/>
    <w:rsid w:val="00C97E8C"/>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B3"/>
    <w:rsid w:val="00CD03C5"/>
    <w:rsid w:val="00CD0BC3"/>
    <w:rsid w:val="00CD1612"/>
    <w:rsid w:val="00CD2F4B"/>
    <w:rsid w:val="00CD4241"/>
    <w:rsid w:val="00CD4678"/>
    <w:rsid w:val="00CD5439"/>
    <w:rsid w:val="00CD7ADB"/>
    <w:rsid w:val="00CE0F7B"/>
    <w:rsid w:val="00CE1703"/>
    <w:rsid w:val="00CE48E7"/>
    <w:rsid w:val="00CE60C0"/>
    <w:rsid w:val="00CE622E"/>
    <w:rsid w:val="00CE671D"/>
    <w:rsid w:val="00CE689C"/>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1295"/>
    <w:rsid w:val="00D33E45"/>
    <w:rsid w:val="00D35A93"/>
    <w:rsid w:val="00D36269"/>
    <w:rsid w:val="00D369DA"/>
    <w:rsid w:val="00D411E4"/>
    <w:rsid w:val="00D41B3F"/>
    <w:rsid w:val="00D42CB1"/>
    <w:rsid w:val="00D440AC"/>
    <w:rsid w:val="00D44EDB"/>
    <w:rsid w:val="00D45D23"/>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37F8"/>
    <w:rsid w:val="00D64962"/>
    <w:rsid w:val="00D64C00"/>
    <w:rsid w:val="00D65348"/>
    <w:rsid w:val="00D65609"/>
    <w:rsid w:val="00D7176D"/>
    <w:rsid w:val="00D723CB"/>
    <w:rsid w:val="00D73AAC"/>
    <w:rsid w:val="00D745B9"/>
    <w:rsid w:val="00D750E0"/>
    <w:rsid w:val="00D7707A"/>
    <w:rsid w:val="00D80978"/>
    <w:rsid w:val="00D8151A"/>
    <w:rsid w:val="00D8256B"/>
    <w:rsid w:val="00D82FEC"/>
    <w:rsid w:val="00D84650"/>
    <w:rsid w:val="00D87E7F"/>
    <w:rsid w:val="00D933E9"/>
    <w:rsid w:val="00D93916"/>
    <w:rsid w:val="00D9468F"/>
    <w:rsid w:val="00D94EFB"/>
    <w:rsid w:val="00D9627D"/>
    <w:rsid w:val="00D96C37"/>
    <w:rsid w:val="00DA3869"/>
    <w:rsid w:val="00DA461B"/>
    <w:rsid w:val="00DA5133"/>
    <w:rsid w:val="00DA6134"/>
    <w:rsid w:val="00DA6A02"/>
    <w:rsid w:val="00DA77A2"/>
    <w:rsid w:val="00DB1677"/>
    <w:rsid w:val="00DB2E62"/>
    <w:rsid w:val="00DB3542"/>
    <w:rsid w:val="00DB694C"/>
    <w:rsid w:val="00DB6CE0"/>
    <w:rsid w:val="00DB7115"/>
    <w:rsid w:val="00DC0B81"/>
    <w:rsid w:val="00DC2EC8"/>
    <w:rsid w:val="00DC4284"/>
    <w:rsid w:val="00DD075F"/>
    <w:rsid w:val="00DD08E5"/>
    <w:rsid w:val="00DD17CD"/>
    <w:rsid w:val="00DD28F1"/>
    <w:rsid w:val="00DD3757"/>
    <w:rsid w:val="00DD5939"/>
    <w:rsid w:val="00DD71C1"/>
    <w:rsid w:val="00DE18AF"/>
    <w:rsid w:val="00DE1E58"/>
    <w:rsid w:val="00DE27D7"/>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5DE3"/>
    <w:rsid w:val="00E17968"/>
    <w:rsid w:val="00E17B0C"/>
    <w:rsid w:val="00E211D0"/>
    <w:rsid w:val="00E21EAA"/>
    <w:rsid w:val="00E21EC9"/>
    <w:rsid w:val="00E23858"/>
    <w:rsid w:val="00E24E65"/>
    <w:rsid w:val="00E2588A"/>
    <w:rsid w:val="00E269AB"/>
    <w:rsid w:val="00E27465"/>
    <w:rsid w:val="00E30364"/>
    <w:rsid w:val="00E31659"/>
    <w:rsid w:val="00E32CAC"/>
    <w:rsid w:val="00E34FFC"/>
    <w:rsid w:val="00E352A6"/>
    <w:rsid w:val="00E36616"/>
    <w:rsid w:val="00E36E16"/>
    <w:rsid w:val="00E41203"/>
    <w:rsid w:val="00E43461"/>
    <w:rsid w:val="00E44C33"/>
    <w:rsid w:val="00E45158"/>
    <w:rsid w:val="00E46836"/>
    <w:rsid w:val="00E50E77"/>
    <w:rsid w:val="00E51201"/>
    <w:rsid w:val="00E51955"/>
    <w:rsid w:val="00E53BF1"/>
    <w:rsid w:val="00E54F7A"/>
    <w:rsid w:val="00E602DF"/>
    <w:rsid w:val="00E63C1F"/>
    <w:rsid w:val="00E64D38"/>
    <w:rsid w:val="00E656A1"/>
    <w:rsid w:val="00E6795C"/>
    <w:rsid w:val="00E7025A"/>
    <w:rsid w:val="00E717B4"/>
    <w:rsid w:val="00E719DC"/>
    <w:rsid w:val="00E73AD8"/>
    <w:rsid w:val="00E74AAD"/>
    <w:rsid w:val="00E76127"/>
    <w:rsid w:val="00E82750"/>
    <w:rsid w:val="00E8604C"/>
    <w:rsid w:val="00E860FB"/>
    <w:rsid w:val="00E87648"/>
    <w:rsid w:val="00E90E91"/>
    <w:rsid w:val="00E91647"/>
    <w:rsid w:val="00E937EE"/>
    <w:rsid w:val="00E93F90"/>
    <w:rsid w:val="00E95160"/>
    <w:rsid w:val="00E95F14"/>
    <w:rsid w:val="00E971C8"/>
    <w:rsid w:val="00EA00DC"/>
    <w:rsid w:val="00EA18C9"/>
    <w:rsid w:val="00EA23BB"/>
    <w:rsid w:val="00EA2A59"/>
    <w:rsid w:val="00EA512F"/>
    <w:rsid w:val="00EA59FD"/>
    <w:rsid w:val="00EB027E"/>
    <w:rsid w:val="00EB144C"/>
    <w:rsid w:val="00EB15F2"/>
    <w:rsid w:val="00EB3985"/>
    <w:rsid w:val="00EB43B8"/>
    <w:rsid w:val="00EB5CAF"/>
    <w:rsid w:val="00EB6154"/>
    <w:rsid w:val="00EB76F8"/>
    <w:rsid w:val="00EC3815"/>
    <w:rsid w:val="00EC3BAA"/>
    <w:rsid w:val="00EC75B2"/>
    <w:rsid w:val="00EC7EF3"/>
    <w:rsid w:val="00ED25F5"/>
    <w:rsid w:val="00ED2961"/>
    <w:rsid w:val="00ED2A2B"/>
    <w:rsid w:val="00ED3BF0"/>
    <w:rsid w:val="00ED5C4A"/>
    <w:rsid w:val="00ED5E6E"/>
    <w:rsid w:val="00ED5F2D"/>
    <w:rsid w:val="00ED7688"/>
    <w:rsid w:val="00EE04A9"/>
    <w:rsid w:val="00EE1961"/>
    <w:rsid w:val="00EE40DD"/>
    <w:rsid w:val="00EE556C"/>
    <w:rsid w:val="00EE5BD5"/>
    <w:rsid w:val="00EE73B8"/>
    <w:rsid w:val="00EF0632"/>
    <w:rsid w:val="00EF27FE"/>
    <w:rsid w:val="00EF2A7B"/>
    <w:rsid w:val="00EF3D7E"/>
    <w:rsid w:val="00EF6128"/>
    <w:rsid w:val="00EF6BFE"/>
    <w:rsid w:val="00F01ADC"/>
    <w:rsid w:val="00F01FC2"/>
    <w:rsid w:val="00F0241A"/>
    <w:rsid w:val="00F0243B"/>
    <w:rsid w:val="00F02612"/>
    <w:rsid w:val="00F04061"/>
    <w:rsid w:val="00F0534C"/>
    <w:rsid w:val="00F05A65"/>
    <w:rsid w:val="00F10F20"/>
    <w:rsid w:val="00F1133D"/>
    <w:rsid w:val="00F119FB"/>
    <w:rsid w:val="00F12978"/>
    <w:rsid w:val="00F145A8"/>
    <w:rsid w:val="00F17B41"/>
    <w:rsid w:val="00F200A8"/>
    <w:rsid w:val="00F21531"/>
    <w:rsid w:val="00F221D1"/>
    <w:rsid w:val="00F229E6"/>
    <w:rsid w:val="00F239CF"/>
    <w:rsid w:val="00F246BF"/>
    <w:rsid w:val="00F25C99"/>
    <w:rsid w:val="00F26806"/>
    <w:rsid w:val="00F279FF"/>
    <w:rsid w:val="00F300F6"/>
    <w:rsid w:val="00F30685"/>
    <w:rsid w:val="00F3238C"/>
    <w:rsid w:val="00F33760"/>
    <w:rsid w:val="00F34DB2"/>
    <w:rsid w:val="00F37BBA"/>
    <w:rsid w:val="00F4064B"/>
    <w:rsid w:val="00F40A0C"/>
    <w:rsid w:val="00F41648"/>
    <w:rsid w:val="00F41B81"/>
    <w:rsid w:val="00F425EE"/>
    <w:rsid w:val="00F42C84"/>
    <w:rsid w:val="00F42EF5"/>
    <w:rsid w:val="00F459E9"/>
    <w:rsid w:val="00F46FE4"/>
    <w:rsid w:val="00F51754"/>
    <w:rsid w:val="00F5175E"/>
    <w:rsid w:val="00F54C1B"/>
    <w:rsid w:val="00F55958"/>
    <w:rsid w:val="00F573B0"/>
    <w:rsid w:val="00F620E6"/>
    <w:rsid w:val="00F62608"/>
    <w:rsid w:val="00F63692"/>
    <w:rsid w:val="00F63CF2"/>
    <w:rsid w:val="00F645EA"/>
    <w:rsid w:val="00F64774"/>
    <w:rsid w:val="00F64F4B"/>
    <w:rsid w:val="00F6774F"/>
    <w:rsid w:val="00F70313"/>
    <w:rsid w:val="00F7085C"/>
    <w:rsid w:val="00F75E07"/>
    <w:rsid w:val="00F77FB9"/>
    <w:rsid w:val="00F80D00"/>
    <w:rsid w:val="00F82A04"/>
    <w:rsid w:val="00F91ED7"/>
    <w:rsid w:val="00F95DB7"/>
    <w:rsid w:val="00F9730C"/>
    <w:rsid w:val="00FA034A"/>
    <w:rsid w:val="00FA0D84"/>
    <w:rsid w:val="00FA3338"/>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0497"/>
    <w:rsid w:val="00FF2007"/>
    <w:rsid w:val="00FF3B97"/>
    <w:rsid w:val="00FF48F4"/>
    <w:rsid w:val="00FF5A37"/>
    <w:rsid w:val="00FF5BFB"/>
    <w:rsid w:val="00FF6C86"/>
    <w:rsid w:val="00FF7F9B"/>
    <w:rsid w:val="01536131"/>
    <w:rsid w:val="016128F5"/>
    <w:rsid w:val="017E39A9"/>
    <w:rsid w:val="01967DCC"/>
    <w:rsid w:val="022335E1"/>
    <w:rsid w:val="02807867"/>
    <w:rsid w:val="028D1415"/>
    <w:rsid w:val="02B127FF"/>
    <w:rsid w:val="02E04439"/>
    <w:rsid w:val="02E74285"/>
    <w:rsid w:val="03D10C9E"/>
    <w:rsid w:val="043E0B51"/>
    <w:rsid w:val="046107AB"/>
    <w:rsid w:val="04723400"/>
    <w:rsid w:val="04B654FF"/>
    <w:rsid w:val="04EF152A"/>
    <w:rsid w:val="04F3513D"/>
    <w:rsid w:val="053C0D83"/>
    <w:rsid w:val="05A51346"/>
    <w:rsid w:val="05CA0F79"/>
    <w:rsid w:val="05EA6938"/>
    <w:rsid w:val="06002E14"/>
    <w:rsid w:val="06296FF4"/>
    <w:rsid w:val="066252E1"/>
    <w:rsid w:val="06CD4426"/>
    <w:rsid w:val="070B4A32"/>
    <w:rsid w:val="08B466A8"/>
    <w:rsid w:val="08FD6B72"/>
    <w:rsid w:val="092D370C"/>
    <w:rsid w:val="093F0D49"/>
    <w:rsid w:val="0966277A"/>
    <w:rsid w:val="09837013"/>
    <w:rsid w:val="099208A0"/>
    <w:rsid w:val="0A39416F"/>
    <w:rsid w:val="0A426D43"/>
    <w:rsid w:val="0AA14F66"/>
    <w:rsid w:val="0AAE43D8"/>
    <w:rsid w:val="0AC02BDC"/>
    <w:rsid w:val="0AD11C61"/>
    <w:rsid w:val="0AD8365D"/>
    <w:rsid w:val="0ADD55E7"/>
    <w:rsid w:val="0AE23E86"/>
    <w:rsid w:val="0B050CA4"/>
    <w:rsid w:val="0B361F96"/>
    <w:rsid w:val="0B3A2110"/>
    <w:rsid w:val="0BAC7E55"/>
    <w:rsid w:val="0C425E43"/>
    <w:rsid w:val="0C7803C2"/>
    <w:rsid w:val="0CDF7EBC"/>
    <w:rsid w:val="0CE51C08"/>
    <w:rsid w:val="0D142709"/>
    <w:rsid w:val="0D942755"/>
    <w:rsid w:val="0DBB1F91"/>
    <w:rsid w:val="0DC2436E"/>
    <w:rsid w:val="0DF6738D"/>
    <w:rsid w:val="0E05580F"/>
    <w:rsid w:val="0E7B78C7"/>
    <w:rsid w:val="0E8D451A"/>
    <w:rsid w:val="0E9869F2"/>
    <w:rsid w:val="0F205179"/>
    <w:rsid w:val="0F31002F"/>
    <w:rsid w:val="0F5240AD"/>
    <w:rsid w:val="0F56503F"/>
    <w:rsid w:val="0FA814FE"/>
    <w:rsid w:val="109C11D1"/>
    <w:rsid w:val="113B172F"/>
    <w:rsid w:val="11967974"/>
    <w:rsid w:val="1236016D"/>
    <w:rsid w:val="12644E70"/>
    <w:rsid w:val="12A147FB"/>
    <w:rsid w:val="12EB0686"/>
    <w:rsid w:val="13141499"/>
    <w:rsid w:val="13383059"/>
    <w:rsid w:val="138C744D"/>
    <w:rsid w:val="14423DE3"/>
    <w:rsid w:val="15437E13"/>
    <w:rsid w:val="156E5386"/>
    <w:rsid w:val="159B2F20"/>
    <w:rsid w:val="159F45E4"/>
    <w:rsid w:val="16823727"/>
    <w:rsid w:val="16933BA9"/>
    <w:rsid w:val="17296DB3"/>
    <w:rsid w:val="17574443"/>
    <w:rsid w:val="17960C97"/>
    <w:rsid w:val="18001DFE"/>
    <w:rsid w:val="18716B48"/>
    <w:rsid w:val="18DE232D"/>
    <w:rsid w:val="19095406"/>
    <w:rsid w:val="19471BF0"/>
    <w:rsid w:val="19517AFF"/>
    <w:rsid w:val="19747BBC"/>
    <w:rsid w:val="19D21059"/>
    <w:rsid w:val="1A7C1EB7"/>
    <w:rsid w:val="1A8226E3"/>
    <w:rsid w:val="1A862C7C"/>
    <w:rsid w:val="1A92257F"/>
    <w:rsid w:val="1ADF238C"/>
    <w:rsid w:val="1AEB78ED"/>
    <w:rsid w:val="1B452D37"/>
    <w:rsid w:val="1B7526B6"/>
    <w:rsid w:val="1B8F5B60"/>
    <w:rsid w:val="1BDF5EED"/>
    <w:rsid w:val="1C422231"/>
    <w:rsid w:val="1C6067D6"/>
    <w:rsid w:val="1CFF6462"/>
    <w:rsid w:val="1D231455"/>
    <w:rsid w:val="1D5951DB"/>
    <w:rsid w:val="1D6E6F58"/>
    <w:rsid w:val="1D9B550E"/>
    <w:rsid w:val="1DCB0BE0"/>
    <w:rsid w:val="1E8555E3"/>
    <w:rsid w:val="1EA71193"/>
    <w:rsid w:val="1ECA660B"/>
    <w:rsid w:val="1F811C64"/>
    <w:rsid w:val="1F9C084C"/>
    <w:rsid w:val="1FFD5BCC"/>
    <w:rsid w:val="201422E9"/>
    <w:rsid w:val="203C6FB1"/>
    <w:rsid w:val="21295501"/>
    <w:rsid w:val="215E6DAB"/>
    <w:rsid w:val="2184758F"/>
    <w:rsid w:val="219966D8"/>
    <w:rsid w:val="221C3A77"/>
    <w:rsid w:val="2283187E"/>
    <w:rsid w:val="23EC0713"/>
    <w:rsid w:val="24321CBE"/>
    <w:rsid w:val="245169EB"/>
    <w:rsid w:val="24A109B0"/>
    <w:rsid w:val="24B86132"/>
    <w:rsid w:val="252C5476"/>
    <w:rsid w:val="25FC064B"/>
    <w:rsid w:val="26121868"/>
    <w:rsid w:val="26571970"/>
    <w:rsid w:val="26BE369E"/>
    <w:rsid w:val="26E36D60"/>
    <w:rsid w:val="27C04FF5"/>
    <w:rsid w:val="27D017CB"/>
    <w:rsid w:val="27DE30F1"/>
    <w:rsid w:val="27DF5133"/>
    <w:rsid w:val="27F560E7"/>
    <w:rsid w:val="28326DA8"/>
    <w:rsid w:val="28B5472C"/>
    <w:rsid w:val="28C574CC"/>
    <w:rsid w:val="28E702F4"/>
    <w:rsid w:val="28F60AAB"/>
    <w:rsid w:val="28F803C7"/>
    <w:rsid w:val="29477A7A"/>
    <w:rsid w:val="29F6324E"/>
    <w:rsid w:val="2A290829"/>
    <w:rsid w:val="2A852156"/>
    <w:rsid w:val="2A8D20D4"/>
    <w:rsid w:val="2AB0139E"/>
    <w:rsid w:val="2B0B0B30"/>
    <w:rsid w:val="2B771119"/>
    <w:rsid w:val="2BA421EC"/>
    <w:rsid w:val="2BDD78F5"/>
    <w:rsid w:val="2C444276"/>
    <w:rsid w:val="2C530A72"/>
    <w:rsid w:val="2C576226"/>
    <w:rsid w:val="2C8B747B"/>
    <w:rsid w:val="2CE04C48"/>
    <w:rsid w:val="2CF04F5D"/>
    <w:rsid w:val="2D502C75"/>
    <w:rsid w:val="2DAA05D8"/>
    <w:rsid w:val="2EB10275"/>
    <w:rsid w:val="2F1120CC"/>
    <w:rsid w:val="2F5500EA"/>
    <w:rsid w:val="2F7D6C3A"/>
    <w:rsid w:val="2F877444"/>
    <w:rsid w:val="2FC072EB"/>
    <w:rsid w:val="30247706"/>
    <w:rsid w:val="304C1E1A"/>
    <w:rsid w:val="30B24526"/>
    <w:rsid w:val="3112609C"/>
    <w:rsid w:val="31496359"/>
    <w:rsid w:val="3220355E"/>
    <w:rsid w:val="32236BAB"/>
    <w:rsid w:val="323D19AC"/>
    <w:rsid w:val="327F64D7"/>
    <w:rsid w:val="32D35837"/>
    <w:rsid w:val="33423DCB"/>
    <w:rsid w:val="33972A4F"/>
    <w:rsid w:val="33C0438B"/>
    <w:rsid w:val="33C2101C"/>
    <w:rsid w:val="34252D0E"/>
    <w:rsid w:val="34B51B43"/>
    <w:rsid w:val="34F124FA"/>
    <w:rsid w:val="3530525A"/>
    <w:rsid w:val="3541286D"/>
    <w:rsid w:val="35586B6B"/>
    <w:rsid w:val="357A0DCF"/>
    <w:rsid w:val="362F2266"/>
    <w:rsid w:val="36603F29"/>
    <w:rsid w:val="36643639"/>
    <w:rsid w:val="36985DB9"/>
    <w:rsid w:val="36B35430"/>
    <w:rsid w:val="375A0883"/>
    <w:rsid w:val="37AB09D0"/>
    <w:rsid w:val="37C14E9C"/>
    <w:rsid w:val="37F27EC3"/>
    <w:rsid w:val="37F50E10"/>
    <w:rsid w:val="38796120"/>
    <w:rsid w:val="3908426B"/>
    <w:rsid w:val="39311BAD"/>
    <w:rsid w:val="397A17A6"/>
    <w:rsid w:val="39C011A9"/>
    <w:rsid w:val="3A3D4495"/>
    <w:rsid w:val="3A520291"/>
    <w:rsid w:val="3A8A7A28"/>
    <w:rsid w:val="3AB42A96"/>
    <w:rsid w:val="3AF61300"/>
    <w:rsid w:val="3B011823"/>
    <w:rsid w:val="3B15239D"/>
    <w:rsid w:val="3B976C1F"/>
    <w:rsid w:val="3BDB03EA"/>
    <w:rsid w:val="3C4607F2"/>
    <w:rsid w:val="3CC50C34"/>
    <w:rsid w:val="3D1D10BA"/>
    <w:rsid w:val="3D2F7E2D"/>
    <w:rsid w:val="3D5236AA"/>
    <w:rsid w:val="3D642FFB"/>
    <w:rsid w:val="3D756550"/>
    <w:rsid w:val="3D8432BA"/>
    <w:rsid w:val="3D84766D"/>
    <w:rsid w:val="3DBF411C"/>
    <w:rsid w:val="3DDE4D70"/>
    <w:rsid w:val="3E0042CD"/>
    <w:rsid w:val="3E1975F1"/>
    <w:rsid w:val="3EA572C5"/>
    <w:rsid w:val="3EB968CD"/>
    <w:rsid w:val="3EF7343D"/>
    <w:rsid w:val="3FA6545F"/>
    <w:rsid w:val="40AB493B"/>
    <w:rsid w:val="415E375B"/>
    <w:rsid w:val="419C630F"/>
    <w:rsid w:val="41DE6BDE"/>
    <w:rsid w:val="42642FF3"/>
    <w:rsid w:val="43422672"/>
    <w:rsid w:val="43756869"/>
    <w:rsid w:val="438F3C13"/>
    <w:rsid w:val="43E77A38"/>
    <w:rsid w:val="440469C7"/>
    <w:rsid w:val="4433676F"/>
    <w:rsid w:val="44CB4478"/>
    <w:rsid w:val="44DB40F2"/>
    <w:rsid w:val="44EF764B"/>
    <w:rsid w:val="4513485D"/>
    <w:rsid w:val="45BE2073"/>
    <w:rsid w:val="46883EF7"/>
    <w:rsid w:val="472843D7"/>
    <w:rsid w:val="475D6E50"/>
    <w:rsid w:val="47630206"/>
    <w:rsid w:val="47B76B30"/>
    <w:rsid w:val="47F24D3A"/>
    <w:rsid w:val="483A349D"/>
    <w:rsid w:val="48684EBF"/>
    <w:rsid w:val="48CE242A"/>
    <w:rsid w:val="492C76F7"/>
    <w:rsid w:val="49323487"/>
    <w:rsid w:val="494330C8"/>
    <w:rsid w:val="495849FC"/>
    <w:rsid w:val="4A765837"/>
    <w:rsid w:val="4A772580"/>
    <w:rsid w:val="4B401982"/>
    <w:rsid w:val="4B6461DA"/>
    <w:rsid w:val="4B7E22FC"/>
    <w:rsid w:val="4BA6714C"/>
    <w:rsid w:val="4BDD1AE7"/>
    <w:rsid w:val="4D573EC1"/>
    <w:rsid w:val="4D642772"/>
    <w:rsid w:val="4D794113"/>
    <w:rsid w:val="4DA16EA9"/>
    <w:rsid w:val="4E231F7E"/>
    <w:rsid w:val="4E6B245D"/>
    <w:rsid w:val="4E71398D"/>
    <w:rsid w:val="4E881E17"/>
    <w:rsid w:val="4EA51083"/>
    <w:rsid w:val="4EB26E94"/>
    <w:rsid w:val="4EC21DD0"/>
    <w:rsid w:val="4F2A2DF2"/>
    <w:rsid w:val="4F375610"/>
    <w:rsid w:val="4F6D38C0"/>
    <w:rsid w:val="4F73207A"/>
    <w:rsid w:val="50011E81"/>
    <w:rsid w:val="50B4145F"/>
    <w:rsid w:val="517859C4"/>
    <w:rsid w:val="51AC22C1"/>
    <w:rsid w:val="51F53341"/>
    <w:rsid w:val="52254EA8"/>
    <w:rsid w:val="52343C47"/>
    <w:rsid w:val="523F5D3A"/>
    <w:rsid w:val="524B48B1"/>
    <w:rsid w:val="52E2325A"/>
    <w:rsid w:val="532B45E0"/>
    <w:rsid w:val="5428215B"/>
    <w:rsid w:val="54414F42"/>
    <w:rsid w:val="545D78A2"/>
    <w:rsid w:val="54A67B78"/>
    <w:rsid w:val="54FB4AFB"/>
    <w:rsid w:val="555B4CA6"/>
    <w:rsid w:val="557806DC"/>
    <w:rsid w:val="55913AAF"/>
    <w:rsid w:val="562A7B8C"/>
    <w:rsid w:val="567A55BE"/>
    <w:rsid w:val="56970039"/>
    <w:rsid w:val="569C7DD5"/>
    <w:rsid w:val="569D6131"/>
    <w:rsid w:val="56B34F08"/>
    <w:rsid w:val="56BB7EA7"/>
    <w:rsid w:val="57023944"/>
    <w:rsid w:val="57E31375"/>
    <w:rsid w:val="57FE39BD"/>
    <w:rsid w:val="585B1260"/>
    <w:rsid w:val="58680BE1"/>
    <w:rsid w:val="586F6B1A"/>
    <w:rsid w:val="592827E0"/>
    <w:rsid w:val="59BD39BE"/>
    <w:rsid w:val="59E70355"/>
    <w:rsid w:val="59ED632E"/>
    <w:rsid w:val="5A144EA7"/>
    <w:rsid w:val="5ABE0E26"/>
    <w:rsid w:val="5AC35E3A"/>
    <w:rsid w:val="5AF77960"/>
    <w:rsid w:val="5B036D9F"/>
    <w:rsid w:val="5B491EA8"/>
    <w:rsid w:val="5B8F3CE4"/>
    <w:rsid w:val="5BEE4F64"/>
    <w:rsid w:val="5C593896"/>
    <w:rsid w:val="5D753EAF"/>
    <w:rsid w:val="5DB3607E"/>
    <w:rsid w:val="5E4562C3"/>
    <w:rsid w:val="5EA07300"/>
    <w:rsid w:val="5ED11B6D"/>
    <w:rsid w:val="5F021772"/>
    <w:rsid w:val="5F46462A"/>
    <w:rsid w:val="60054E02"/>
    <w:rsid w:val="60B847DE"/>
    <w:rsid w:val="60F92E43"/>
    <w:rsid w:val="61700C15"/>
    <w:rsid w:val="6233638E"/>
    <w:rsid w:val="625A4B92"/>
    <w:rsid w:val="62703343"/>
    <w:rsid w:val="62ED7867"/>
    <w:rsid w:val="62F35580"/>
    <w:rsid w:val="638061C1"/>
    <w:rsid w:val="63EA7860"/>
    <w:rsid w:val="640E2967"/>
    <w:rsid w:val="64C26078"/>
    <w:rsid w:val="64DF0AFE"/>
    <w:rsid w:val="66154073"/>
    <w:rsid w:val="66726134"/>
    <w:rsid w:val="669F0B6A"/>
    <w:rsid w:val="67FA3502"/>
    <w:rsid w:val="6819344E"/>
    <w:rsid w:val="683F35B9"/>
    <w:rsid w:val="68FE57E9"/>
    <w:rsid w:val="69227A8F"/>
    <w:rsid w:val="694302F0"/>
    <w:rsid w:val="694F7CAA"/>
    <w:rsid w:val="699B698E"/>
    <w:rsid w:val="6A0B153B"/>
    <w:rsid w:val="6A4757E1"/>
    <w:rsid w:val="6A5E5B47"/>
    <w:rsid w:val="6A6C1225"/>
    <w:rsid w:val="6BB44445"/>
    <w:rsid w:val="6BF258B5"/>
    <w:rsid w:val="6C082426"/>
    <w:rsid w:val="6C240F7A"/>
    <w:rsid w:val="6C4761F3"/>
    <w:rsid w:val="6C9003BD"/>
    <w:rsid w:val="6D2D7C59"/>
    <w:rsid w:val="6D3C36EF"/>
    <w:rsid w:val="6DA03CB7"/>
    <w:rsid w:val="6DA848B1"/>
    <w:rsid w:val="6E001573"/>
    <w:rsid w:val="6E1321C3"/>
    <w:rsid w:val="6F122D10"/>
    <w:rsid w:val="6FBF35AE"/>
    <w:rsid w:val="700D2A49"/>
    <w:rsid w:val="70383246"/>
    <w:rsid w:val="70436206"/>
    <w:rsid w:val="7046650E"/>
    <w:rsid w:val="70E30BE7"/>
    <w:rsid w:val="70E76A1A"/>
    <w:rsid w:val="710019DC"/>
    <w:rsid w:val="712B6906"/>
    <w:rsid w:val="71B94EAF"/>
    <w:rsid w:val="72080D8E"/>
    <w:rsid w:val="72797A70"/>
    <w:rsid w:val="727F3267"/>
    <w:rsid w:val="72B15531"/>
    <w:rsid w:val="7329331A"/>
    <w:rsid w:val="732D68A2"/>
    <w:rsid w:val="73563D56"/>
    <w:rsid w:val="73676B0B"/>
    <w:rsid w:val="736D557B"/>
    <w:rsid w:val="73774085"/>
    <w:rsid w:val="73B73D06"/>
    <w:rsid w:val="73CD2FC7"/>
    <w:rsid w:val="7464499E"/>
    <w:rsid w:val="74D453D8"/>
    <w:rsid w:val="74F4230F"/>
    <w:rsid w:val="75004E12"/>
    <w:rsid w:val="75444CE6"/>
    <w:rsid w:val="75CA0D8D"/>
    <w:rsid w:val="75D05CCE"/>
    <w:rsid w:val="75ED4AD2"/>
    <w:rsid w:val="7623401F"/>
    <w:rsid w:val="762C55FB"/>
    <w:rsid w:val="766864D8"/>
    <w:rsid w:val="76837F0B"/>
    <w:rsid w:val="76F02150"/>
    <w:rsid w:val="770117D0"/>
    <w:rsid w:val="770E68EE"/>
    <w:rsid w:val="771332F3"/>
    <w:rsid w:val="7713525D"/>
    <w:rsid w:val="77D57B19"/>
    <w:rsid w:val="780659D7"/>
    <w:rsid w:val="782037BB"/>
    <w:rsid w:val="78212811"/>
    <w:rsid w:val="784731B4"/>
    <w:rsid w:val="78A407FE"/>
    <w:rsid w:val="78A8668A"/>
    <w:rsid w:val="78B70D97"/>
    <w:rsid w:val="7A3F1AB2"/>
    <w:rsid w:val="7A8C0E44"/>
    <w:rsid w:val="7AA77987"/>
    <w:rsid w:val="7B0A519B"/>
    <w:rsid w:val="7B286E3C"/>
    <w:rsid w:val="7B555B44"/>
    <w:rsid w:val="7B6B171D"/>
    <w:rsid w:val="7BE841A3"/>
    <w:rsid w:val="7BF42242"/>
    <w:rsid w:val="7C4F2869"/>
    <w:rsid w:val="7C685FEA"/>
    <w:rsid w:val="7C6A17D1"/>
    <w:rsid w:val="7C974F21"/>
    <w:rsid w:val="7CAD4798"/>
    <w:rsid w:val="7CB9122E"/>
    <w:rsid w:val="7CD924C5"/>
    <w:rsid w:val="7D761851"/>
    <w:rsid w:val="7D8E6B9B"/>
    <w:rsid w:val="7E2175F4"/>
    <w:rsid w:val="7E313FCB"/>
    <w:rsid w:val="7E736A89"/>
    <w:rsid w:val="7E826256"/>
    <w:rsid w:val="7F046956"/>
    <w:rsid w:val="7F3C22A1"/>
    <w:rsid w:val="7F8367C0"/>
    <w:rsid w:val="7FA13BCB"/>
    <w:rsid w:val="7FBE4DEA"/>
    <w:rsid w:val="7FD727AE"/>
    <w:rsid w:val="7FF86481"/>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7">
    <w:name w:val="heading 1"/>
    <w:basedOn w:val="1"/>
    <w:next w:val="1"/>
    <w:link w:val="107"/>
    <w:qFormat/>
    <w:uiPriority w:val="0"/>
    <w:pPr>
      <w:keepNext/>
      <w:jc w:val="center"/>
      <w:outlineLvl w:val="0"/>
    </w:pPr>
    <w:rPr>
      <w:rFonts w:ascii="Times New Roman" w:hAnsi="Times New Roman" w:eastAsia="宋体"/>
      <w:b/>
      <w:snapToGrid/>
      <w:kern w:val="44"/>
      <w:sz w:val="44"/>
      <w:szCs w:val="44"/>
    </w:rPr>
  </w:style>
  <w:style w:type="paragraph" w:styleId="8">
    <w:name w:val="heading 2"/>
    <w:basedOn w:val="1"/>
    <w:next w:val="1"/>
    <w:link w:val="108"/>
    <w:qFormat/>
    <w:uiPriority w:val="0"/>
    <w:pPr>
      <w:keepNext/>
      <w:keepLines/>
      <w:spacing w:before="60" w:after="60" w:line="413" w:lineRule="auto"/>
      <w:outlineLvl w:val="1"/>
    </w:pPr>
    <w:rPr>
      <w:rFonts w:ascii="Arial" w:hAnsi="Arial" w:eastAsia="黑体"/>
      <w:b/>
      <w:bCs/>
      <w:snapToGrid/>
      <w:kern w:val="2"/>
      <w:szCs w:val="32"/>
    </w:rPr>
  </w:style>
  <w:style w:type="paragraph" w:styleId="9">
    <w:name w:val="heading 3"/>
    <w:basedOn w:val="1"/>
    <w:next w:val="1"/>
    <w:link w:val="109"/>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110"/>
    <w:unhideWhenUsed/>
    <w:qFormat/>
    <w:uiPriority w:val="0"/>
    <w:pPr>
      <w:keepNext/>
      <w:keepLines/>
      <w:spacing w:before="280" w:after="290" w:line="376" w:lineRule="auto"/>
      <w:outlineLvl w:val="3"/>
    </w:pPr>
    <w:rPr>
      <w:rFonts w:ascii="Cambria" w:hAnsi="Cambria" w:eastAsia="宋体"/>
      <w:b/>
      <w:bCs/>
      <w:sz w:val="28"/>
      <w:szCs w:val="28"/>
    </w:rPr>
  </w:style>
  <w:style w:type="paragraph" w:styleId="11">
    <w:name w:val="heading 5"/>
    <w:basedOn w:val="1"/>
    <w:next w:val="1"/>
    <w:link w:val="111"/>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12">
    <w:name w:val="heading 6"/>
    <w:basedOn w:val="1"/>
    <w:next w:val="1"/>
    <w:link w:val="112"/>
    <w:qFormat/>
    <w:uiPriority w:val="0"/>
    <w:pPr>
      <w:keepNext/>
      <w:keepLines/>
      <w:spacing w:before="240" w:after="64" w:line="317" w:lineRule="auto"/>
      <w:outlineLvl w:val="5"/>
    </w:pPr>
    <w:rPr>
      <w:rFonts w:ascii="Cambria" w:hAnsi="Cambria" w:eastAsia="宋体"/>
      <w:b/>
      <w:bCs/>
      <w:snapToGrid/>
      <w:kern w:val="2"/>
      <w:sz w:val="24"/>
    </w:rPr>
  </w:style>
  <w:style w:type="paragraph" w:styleId="13">
    <w:name w:val="heading 7"/>
    <w:basedOn w:val="1"/>
    <w:next w:val="1"/>
    <w:link w:val="113"/>
    <w:qFormat/>
    <w:uiPriority w:val="0"/>
    <w:pPr>
      <w:keepNext/>
      <w:keepLines/>
      <w:spacing w:before="240" w:after="64" w:line="317" w:lineRule="auto"/>
      <w:outlineLvl w:val="6"/>
    </w:pPr>
    <w:rPr>
      <w:rFonts w:ascii="Calibri" w:hAnsi="Calibri" w:eastAsia="宋体"/>
      <w:b/>
      <w:bCs/>
      <w:snapToGrid/>
      <w:kern w:val="2"/>
      <w:sz w:val="24"/>
    </w:rPr>
  </w:style>
  <w:style w:type="paragraph" w:styleId="14">
    <w:name w:val="heading 8"/>
    <w:basedOn w:val="1"/>
    <w:next w:val="1"/>
    <w:link w:val="114"/>
    <w:qFormat/>
    <w:uiPriority w:val="0"/>
    <w:pPr>
      <w:keepNext/>
      <w:keepLines/>
      <w:spacing w:before="240" w:after="64" w:line="317" w:lineRule="auto"/>
      <w:outlineLvl w:val="7"/>
    </w:pPr>
    <w:rPr>
      <w:rFonts w:ascii="Cambria" w:hAnsi="Cambria" w:eastAsia="宋体"/>
      <w:snapToGrid/>
      <w:kern w:val="2"/>
      <w:sz w:val="24"/>
    </w:rPr>
  </w:style>
  <w:style w:type="paragraph" w:styleId="15">
    <w:name w:val="heading 9"/>
    <w:basedOn w:val="1"/>
    <w:next w:val="1"/>
    <w:link w:val="115"/>
    <w:qFormat/>
    <w:uiPriority w:val="0"/>
    <w:pPr>
      <w:keepNext/>
      <w:keepLines/>
      <w:spacing w:before="240" w:after="64" w:line="317" w:lineRule="auto"/>
      <w:outlineLvl w:val="8"/>
    </w:pPr>
    <w:rPr>
      <w:rFonts w:ascii="Cambria" w:hAnsi="Cambria" w:eastAsia="宋体"/>
      <w:snapToGrid/>
      <w:kern w:val="2"/>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42"/>
    <w:unhideWhenUsed/>
    <w:qFormat/>
    <w:uiPriority w:val="99"/>
    <w:pPr>
      <w:spacing w:after="120"/>
      <w:ind w:left="420" w:leftChars="200" w:firstLine="420" w:firstLineChars="200"/>
    </w:pPr>
    <w:rPr>
      <w:rFonts w:ascii="Calibri" w:hAnsi="Calibri" w:eastAsia="宋体"/>
      <w:sz w:val="21"/>
      <w:szCs w:val="24"/>
    </w:rPr>
  </w:style>
  <w:style w:type="paragraph" w:styleId="3">
    <w:name w:val="Body Text Indent"/>
    <w:basedOn w:val="1"/>
    <w:next w:val="4"/>
    <w:link w:val="103"/>
    <w:qFormat/>
    <w:uiPriority w:val="0"/>
    <w:pPr>
      <w:ind w:firstLine="570"/>
    </w:pPr>
    <w:rPr>
      <w:rFonts w:ascii="楷体_GB2312" w:hAnsi="Times New Roman" w:eastAsia="楷体_GB2312"/>
      <w:snapToGrid/>
      <w:kern w:val="2"/>
      <w:sz w:val="30"/>
      <w:szCs w:val="20"/>
    </w:rPr>
  </w:style>
  <w:style w:type="paragraph" w:styleId="4">
    <w:name w:val="envelope return"/>
    <w:basedOn w:val="1"/>
    <w:qFormat/>
    <w:uiPriority w:val="0"/>
    <w:pPr>
      <w:snapToGrid w:val="0"/>
    </w:pPr>
    <w:rPr>
      <w:rFonts w:ascii="Arial" w:hAnsi="Arial" w:eastAsia="宋体" w:cs="Arial"/>
      <w:snapToGrid/>
      <w:kern w:val="2"/>
    </w:rPr>
  </w:style>
  <w:style w:type="paragraph" w:styleId="5">
    <w:name w:val="Body Text Indent 3"/>
    <w:basedOn w:val="1"/>
    <w:link w:val="105"/>
    <w:qFormat/>
    <w:uiPriority w:val="0"/>
    <w:pPr>
      <w:spacing w:line="360" w:lineRule="auto"/>
      <w:ind w:left="840"/>
    </w:pPr>
    <w:rPr>
      <w:rFonts w:ascii="Times New Roman" w:hAnsi="Times New Roman" w:eastAsia="宋体"/>
      <w:snapToGrid/>
      <w:kern w:val="2"/>
      <w:sz w:val="16"/>
      <w:szCs w:val="16"/>
    </w:rPr>
  </w:style>
  <w:style w:type="paragraph" w:styleId="6">
    <w:name w:val="macro"/>
    <w:link w:val="106"/>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List 3"/>
    <w:basedOn w:val="1"/>
    <w:qFormat/>
    <w:uiPriority w:val="0"/>
    <w:pPr>
      <w:ind w:left="100" w:leftChars="400" w:hanging="200" w:hangingChars="200"/>
    </w:pPr>
    <w:rPr>
      <w:rFonts w:ascii="Times New Roman" w:hAnsi="Times New Roman" w:eastAsia="宋体"/>
      <w:snapToGrid/>
      <w:kern w:val="2"/>
    </w:rPr>
  </w:style>
  <w:style w:type="paragraph" w:styleId="17">
    <w:name w:val="toc 7"/>
    <w:basedOn w:val="1"/>
    <w:next w:val="1"/>
    <w:semiHidden/>
    <w:qFormat/>
    <w:uiPriority w:val="99"/>
    <w:pPr>
      <w:ind w:left="1260"/>
      <w:jc w:val="left"/>
    </w:pPr>
    <w:rPr>
      <w:rFonts w:ascii="Times New Roman" w:hAnsi="Times New Roman" w:eastAsia="宋体"/>
      <w:snapToGrid/>
      <w:kern w:val="2"/>
      <w:sz w:val="18"/>
      <w:szCs w:val="18"/>
    </w:rPr>
  </w:style>
  <w:style w:type="paragraph" w:styleId="18">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9">
    <w:name w:val="table of authorities"/>
    <w:basedOn w:val="1"/>
    <w:next w:val="1"/>
    <w:qFormat/>
    <w:uiPriority w:val="0"/>
    <w:pPr>
      <w:ind w:left="420" w:leftChars="200"/>
    </w:pPr>
    <w:rPr>
      <w:rFonts w:ascii="Times New Roman" w:hAnsi="Times New Roman" w:eastAsia="宋体"/>
      <w:snapToGrid/>
      <w:kern w:val="2"/>
    </w:rPr>
  </w:style>
  <w:style w:type="paragraph" w:styleId="20">
    <w:name w:val="Note Heading"/>
    <w:basedOn w:val="1"/>
    <w:next w:val="1"/>
    <w:link w:val="116"/>
    <w:qFormat/>
    <w:uiPriority w:val="0"/>
    <w:pPr>
      <w:jc w:val="center"/>
    </w:pPr>
    <w:rPr>
      <w:rFonts w:ascii="Times New Roman" w:hAnsi="Times New Roman" w:eastAsia="宋体"/>
      <w:snapToGrid/>
      <w:kern w:val="2"/>
    </w:rPr>
  </w:style>
  <w:style w:type="paragraph" w:styleId="21">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22">
    <w:name w:val="index 8"/>
    <w:basedOn w:val="1"/>
    <w:next w:val="1"/>
    <w:qFormat/>
    <w:uiPriority w:val="0"/>
    <w:pPr>
      <w:ind w:left="1400" w:leftChars="1400"/>
    </w:pPr>
    <w:rPr>
      <w:rFonts w:ascii="Times New Roman" w:hAnsi="Times New Roman" w:eastAsia="宋体"/>
      <w:snapToGrid/>
      <w:kern w:val="2"/>
    </w:rPr>
  </w:style>
  <w:style w:type="paragraph" w:styleId="23">
    <w:name w:val="E-mail Signature"/>
    <w:basedOn w:val="1"/>
    <w:link w:val="117"/>
    <w:qFormat/>
    <w:uiPriority w:val="0"/>
    <w:rPr>
      <w:rFonts w:ascii="Times New Roman" w:hAnsi="Times New Roman" w:eastAsia="宋体"/>
      <w:snapToGrid/>
      <w:kern w:val="2"/>
    </w:rPr>
  </w:style>
  <w:style w:type="paragraph" w:styleId="24">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5">
    <w:name w:val="Normal Indent"/>
    <w:basedOn w:val="1"/>
    <w:link w:val="118"/>
    <w:qFormat/>
    <w:uiPriority w:val="0"/>
    <w:pPr>
      <w:adjustRightInd w:val="0"/>
      <w:ind w:firstLine="420"/>
      <w:jc w:val="left"/>
    </w:pPr>
    <w:rPr>
      <w:rFonts w:ascii="Times New Roman" w:hAnsi="Times New Roman" w:eastAsia="楷体_GB2312"/>
      <w:snapToGrid/>
      <w:kern w:val="2"/>
      <w:sz w:val="24"/>
      <w:szCs w:val="20"/>
    </w:rPr>
  </w:style>
  <w:style w:type="paragraph" w:styleId="26">
    <w:name w:val="caption"/>
    <w:basedOn w:val="1"/>
    <w:next w:val="1"/>
    <w:qFormat/>
    <w:uiPriority w:val="0"/>
    <w:rPr>
      <w:rFonts w:ascii="Cambria" w:hAnsi="Cambria" w:eastAsia="黑体"/>
      <w:snapToGrid/>
      <w:kern w:val="2"/>
      <w:sz w:val="20"/>
      <w:szCs w:val="20"/>
    </w:rPr>
  </w:style>
  <w:style w:type="paragraph" w:styleId="27">
    <w:name w:val="index 5"/>
    <w:basedOn w:val="1"/>
    <w:next w:val="1"/>
    <w:qFormat/>
    <w:uiPriority w:val="0"/>
    <w:pPr>
      <w:ind w:left="800" w:leftChars="800"/>
    </w:pPr>
    <w:rPr>
      <w:rFonts w:ascii="Times New Roman" w:hAnsi="Times New Roman" w:eastAsia="宋体"/>
      <w:snapToGrid/>
      <w:kern w:val="2"/>
    </w:rPr>
  </w:style>
  <w:style w:type="paragraph" w:styleId="28">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9">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30">
    <w:name w:val="Document Map"/>
    <w:basedOn w:val="1"/>
    <w:link w:val="119"/>
    <w:qFormat/>
    <w:uiPriority w:val="0"/>
    <w:pPr>
      <w:shd w:val="clear" w:color="auto" w:fill="000080"/>
    </w:pPr>
    <w:rPr>
      <w:rFonts w:ascii="Times New Roman" w:hAnsi="Times New Roman" w:eastAsia="宋体"/>
      <w:snapToGrid/>
      <w:kern w:val="2"/>
      <w:shd w:val="clear" w:color="auto" w:fill="000080"/>
    </w:rPr>
  </w:style>
  <w:style w:type="paragraph" w:styleId="31">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32">
    <w:name w:val="annotation text"/>
    <w:basedOn w:val="1"/>
    <w:link w:val="120"/>
    <w:qFormat/>
    <w:uiPriority w:val="0"/>
    <w:pPr>
      <w:jc w:val="left"/>
    </w:pPr>
    <w:rPr>
      <w:rFonts w:ascii="Times New Roman" w:hAnsi="Times New Roman" w:eastAsia="宋体"/>
      <w:snapToGrid/>
      <w:kern w:val="2"/>
    </w:rPr>
  </w:style>
  <w:style w:type="paragraph" w:styleId="33">
    <w:name w:val="index 6"/>
    <w:basedOn w:val="1"/>
    <w:next w:val="1"/>
    <w:qFormat/>
    <w:uiPriority w:val="0"/>
    <w:pPr>
      <w:ind w:left="1000" w:leftChars="1000"/>
    </w:pPr>
    <w:rPr>
      <w:rFonts w:ascii="Times New Roman" w:hAnsi="Times New Roman" w:eastAsia="宋体"/>
      <w:snapToGrid/>
      <w:kern w:val="2"/>
    </w:rPr>
  </w:style>
  <w:style w:type="paragraph" w:styleId="34">
    <w:name w:val="Salutation"/>
    <w:basedOn w:val="1"/>
    <w:next w:val="1"/>
    <w:link w:val="121"/>
    <w:qFormat/>
    <w:uiPriority w:val="0"/>
    <w:pPr>
      <w:widowControl/>
      <w:jc w:val="left"/>
    </w:pPr>
    <w:rPr>
      <w:rFonts w:ascii="Times New Roman" w:hAnsi="Times New Roman" w:eastAsia="Times New Roman"/>
      <w:snapToGrid/>
      <w:sz w:val="30"/>
      <w:szCs w:val="20"/>
    </w:rPr>
  </w:style>
  <w:style w:type="paragraph" w:styleId="35">
    <w:name w:val="Body Text 3"/>
    <w:basedOn w:val="1"/>
    <w:link w:val="122"/>
    <w:unhideWhenUsed/>
    <w:qFormat/>
    <w:uiPriority w:val="0"/>
    <w:pPr>
      <w:spacing w:line="360" w:lineRule="auto"/>
    </w:pPr>
    <w:rPr>
      <w:rFonts w:hint="eastAsia" w:ascii="宋体" w:hAnsi="宋体" w:eastAsia="宋体"/>
      <w:snapToGrid/>
      <w:color w:val="FF0000"/>
      <w:sz w:val="20"/>
      <w:szCs w:val="20"/>
    </w:rPr>
  </w:style>
  <w:style w:type="paragraph" w:styleId="36">
    <w:name w:val="Closing"/>
    <w:basedOn w:val="1"/>
    <w:link w:val="123"/>
    <w:qFormat/>
    <w:uiPriority w:val="0"/>
    <w:pPr>
      <w:ind w:left="100" w:leftChars="2100"/>
    </w:pPr>
    <w:rPr>
      <w:rFonts w:ascii="Times New Roman" w:hAnsi="Times New Roman" w:eastAsia="宋体"/>
      <w:snapToGrid/>
      <w:kern w:val="2"/>
    </w:rPr>
  </w:style>
  <w:style w:type="paragraph" w:styleId="37">
    <w:name w:val="List Bullet 3"/>
    <w:basedOn w:val="1"/>
    <w:qFormat/>
    <w:uiPriority w:val="0"/>
    <w:pPr>
      <w:tabs>
        <w:tab w:val="left" w:pos="1200"/>
      </w:tabs>
      <w:ind w:left="1180" w:hanging="720"/>
    </w:pPr>
    <w:rPr>
      <w:rFonts w:ascii="Times New Roman" w:hAnsi="Times New Roman" w:eastAsia="宋体"/>
      <w:snapToGrid/>
      <w:kern w:val="2"/>
    </w:rPr>
  </w:style>
  <w:style w:type="paragraph" w:styleId="38">
    <w:name w:val="Body Text"/>
    <w:basedOn w:val="1"/>
    <w:next w:val="39"/>
    <w:link w:val="124"/>
    <w:unhideWhenUsed/>
    <w:qFormat/>
    <w:uiPriority w:val="0"/>
    <w:pPr>
      <w:tabs>
        <w:tab w:val="left" w:pos="5250"/>
      </w:tabs>
    </w:pPr>
    <w:rPr>
      <w:rFonts w:ascii="Times New Roman" w:hAnsi="Times New Roman" w:eastAsia="宋体"/>
      <w:snapToGrid/>
      <w:kern w:val="2"/>
      <w:szCs w:val="20"/>
    </w:rPr>
  </w:style>
  <w:style w:type="paragraph" w:styleId="39">
    <w:name w:val="toc 2"/>
    <w:basedOn w:val="1"/>
    <w:next w:val="1"/>
    <w:semiHidden/>
    <w:qFormat/>
    <w:uiPriority w:val="99"/>
    <w:pPr>
      <w:ind w:left="210"/>
      <w:jc w:val="left"/>
    </w:pPr>
    <w:rPr>
      <w:smallCaps/>
      <w:sz w:val="20"/>
      <w:szCs w:val="20"/>
    </w:rPr>
  </w:style>
  <w:style w:type="paragraph" w:styleId="40">
    <w:name w:val="List Number 3"/>
    <w:basedOn w:val="1"/>
    <w:qFormat/>
    <w:uiPriority w:val="0"/>
    <w:pPr>
      <w:tabs>
        <w:tab w:val="left" w:pos="1200"/>
      </w:tabs>
      <w:ind w:left="1180" w:hanging="720"/>
    </w:pPr>
    <w:rPr>
      <w:rFonts w:ascii="Times New Roman" w:hAnsi="Times New Roman" w:eastAsia="宋体"/>
      <w:snapToGrid/>
      <w:kern w:val="2"/>
    </w:rPr>
  </w:style>
  <w:style w:type="paragraph" w:styleId="41">
    <w:name w:val="List 2"/>
    <w:basedOn w:val="1"/>
    <w:qFormat/>
    <w:uiPriority w:val="0"/>
    <w:pPr>
      <w:ind w:left="100" w:leftChars="200" w:hanging="200" w:hangingChars="200"/>
    </w:pPr>
    <w:rPr>
      <w:rFonts w:ascii="Times New Roman" w:hAnsi="Times New Roman" w:eastAsia="宋体"/>
      <w:snapToGrid/>
      <w:kern w:val="2"/>
    </w:rPr>
  </w:style>
  <w:style w:type="paragraph" w:styleId="42">
    <w:name w:val="List Continue"/>
    <w:basedOn w:val="1"/>
    <w:qFormat/>
    <w:uiPriority w:val="0"/>
    <w:pPr>
      <w:spacing w:after="120"/>
      <w:ind w:left="420" w:leftChars="200"/>
    </w:pPr>
    <w:rPr>
      <w:rFonts w:ascii="Times New Roman" w:hAnsi="Times New Roman" w:eastAsia="宋体"/>
      <w:snapToGrid/>
      <w:kern w:val="2"/>
    </w:rPr>
  </w:style>
  <w:style w:type="paragraph" w:styleId="43">
    <w:name w:val="Block Text"/>
    <w:basedOn w:val="1"/>
    <w:qFormat/>
    <w:uiPriority w:val="0"/>
    <w:pPr>
      <w:ind w:left="1" w:leftChars="-171" w:right="-359" w:rightChars="-171" w:hanging="360" w:hangingChars="150"/>
    </w:pPr>
    <w:rPr>
      <w:rFonts w:ascii="仿宋_GB2312" w:hAnsi="DotumChe" w:eastAsia="仿宋_GB2312"/>
      <w:sz w:val="24"/>
    </w:rPr>
  </w:style>
  <w:style w:type="paragraph" w:styleId="44">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5">
    <w:name w:val="HTML Address"/>
    <w:basedOn w:val="1"/>
    <w:link w:val="125"/>
    <w:qFormat/>
    <w:uiPriority w:val="0"/>
    <w:rPr>
      <w:rFonts w:ascii="Times New Roman" w:hAnsi="Times New Roman" w:eastAsia="宋体"/>
      <w:i/>
      <w:iCs/>
      <w:snapToGrid/>
      <w:kern w:val="2"/>
    </w:rPr>
  </w:style>
  <w:style w:type="paragraph" w:styleId="46">
    <w:name w:val="index 4"/>
    <w:basedOn w:val="1"/>
    <w:next w:val="1"/>
    <w:qFormat/>
    <w:uiPriority w:val="0"/>
    <w:pPr>
      <w:ind w:left="600" w:leftChars="600"/>
    </w:pPr>
    <w:rPr>
      <w:rFonts w:ascii="Times New Roman" w:hAnsi="Times New Roman" w:eastAsia="宋体"/>
      <w:snapToGrid/>
      <w:kern w:val="2"/>
    </w:rPr>
  </w:style>
  <w:style w:type="paragraph" w:styleId="47">
    <w:name w:val="toc 5"/>
    <w:basedOn w:val="1"/>
    <w:next w:val="1"/>
    <w:semiHidden/>
    <w:qFormat/>
    <w:uiPriority w:val="99"/>
    <w:pPr>
      <w:ind w:left="840"/>
      <w:jc w:val="left"/>
    </w:pPr>
    <w:rPr>
      <w:rFonts w:ascii="Times New Roman" w:hAnsi="Times New Roman" w:eastAsia="宋体"/>
      <w:snapToGrid/>
      <w:kern w:val="2"/>
      <w:sz w:val="18"/>
      <w:szCs w:val="18"/>
    </w:rPr>
  </w:style>
  <w:style w:type="paragraph" w:styleId="48">
    <w:name w:val="toc 3"/>
    <w:basedOn w:val="1"/>
    <w:next w:val="1"/>
    <w:semiHidden/>
    <w:qFormat/>
    <w:uiPriority w:val="99"/>
    <w:pPr>
      <w:ind w:left="420"/>
      <w:jc w:val="left"/>
    </w:pPr>
    <w:rPr>
      <w:rFonts w:ascii="Times New Roman" w:hAnsi="Times New Roman" w:eastAsia="宋体"/>
      <w:i/>
      <w:iCs/>
      <w:snapToGrid/>
      <w:kern w:val="2"/>
      <w:sz w:val="20"/>
      <w:szCs w:val="20"/>
    </w:rPr>
  </w:style>
  <w:style w:type="paragraph" w:styleId="49">
    <w:name w:val="Plain Text"/>
    <w:basedOn w:val="1"/>
    <w:link w:val="126"/>
    <w:unhideWhenUsed/>
    <w:qFormat/>
    <w:uiPriority w:val="0"/>
    <w:rPr>
      <w:rFonts w:hint="eastAsia" w:ascii="宋体" w:hAnsi="Courier New" w:eastAsia="楷体_GB2312"/>
      <w:snapToGrid/>
      <w:sz w:val="28"/>
      <w:szCs w:val="20"/>
    </w:rPr>
  </w:style>
  <w:style w:type="paragraph" w:styleId="50">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51">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52">
    <w:name w:val="toc 8"/>
    <w:basedOn w:val="1"/>
    <w:next w:val="1"/>
    <w:semiHidden/>
    <w:qFormat/>
    <w:uiPriority w:val="99"/>
    <w:pPr>
      <w:ind w:left="1470"/>
      <w:jc w:val="left"/>
    </w:pPr>
    <w:rPr>
      <w:rFonts w:ascii="Times New Roman" w:hAnsi="Times New Roman" w:eastAsia="宋体"/>
      <w:snapToGrid/>
      <w:kern w:val="2"/>
      <w:sz w:val="18"/>
      <w:szCs w:val="18"/>
    </w:rPr>
  </w:style>
  <w:style w:type="paragraph" w:styleId="53">
    <w:name w:val="index 3"/>
    <w:basedOn w:val="1"/>
    <w:next w:val="1"/>
    <w:qFormat/>
    <w:uiPriority w:val="0"/>
    <w:pPr>
      <w:ind w:left="400" w:leftChars="400"/>
    </w:pPr>
    <w:rPr>
      <w:rFonts w:ascii="Times New Roman" w:hAnsi="Times New Roman" w:eastAsia="宋体"/>
      <w:snapToGrid/>
      <w:kern w:val="2"/>
    </w:rPr>
  </w:style>
  <w:style w:type="paragraph" w:styleId="54">
    <w:name w:val="Date"/>
    <w:basedOn w:val="1"/>
    <w:next w:val="1"/>
    <w:link w:val="127"/>
    <w:qFormat/>
    <w:uiPriority w:val="0"/>
    <w:pPr>
      <w:ind w:left="2500" w:leftChars="2500"/>
    </w:pPr>
    <w:rPr>
      <w:rFonts w:ascii="Times New Roman" w:hAnsi="Times New Roman" w:eastAsia="宋体"/>
      <w:snapToGrid/>
      <w:sz w:val="20"/>
      <w:szCs w:val="20"/>
    </w:rPr>
  </w:style>
  <w:style w:type="paragraph" w:styleId="55">
    <w:name w:val="Body Text Indent 2"/>
    <w:basedOn w:val="1"/>
    <w:link w:val="128"/>
    <w:qFormat/>
    <w:uiPriority w:val="0"/>
    <w:pPr>
      <w:spacing w:line="520" w:lineRule="atLeast"/>
      <w:ind w:firstLine="570"/>
    </w:pPr>
    <w:rPr>
      <w:rFonts w:ascii="Times New Roman" w:hAnsi="Times New Roman" w:eastAsia="宋体"/>
      <w:snapToGrid/>
      <w:kern w:val="2"/>
      <w:szCs w:val="20"/>
    </w:rPr>
  </w:style>
  <w:style w:type="paragraph" w:styleId="56">
    <w:name w:val="endnote text"/>
    <w:basedOn w:val="1"/>
    <w:link w:val="129"/>
    <w:qFormat/>
    <w:uiPriority w:val="0"/>
    <w:pPr>
      <w:snapToGrid w:val="0"/>
      <w:jc w:val="left"/>
    </w:pPr>
    <w:rPr>
      <w:rFonts w:ascii="Times New Roman" w:hAnsi="Times New Roman" w:eastAsia="宋体"/>
      <w:snapToGrid/>
      <w:kern w:val="2"/>
    </w:rPr>
  </w:style>
  <w:style w:type="paragraph" w:styleId="57">
    <w:name w:val="List Continue 5"/>
    <w:basedOn w:val="1"/>
    <w:qFormat/>
    <w:uiPriority w:val="0"/>
    <w:pPr>
      <w:spacing w:after="120"/>
      <w:ind w:left="2100" w:leftChars="1000"/>
    </w:pPr>
    <w:rPr>
      <w:rFonts w:ascii="Times New Roman" w:hAnsi="Times New Roman" w:eastAsia="宋体"/>
      <w:snapToGrid/>
      <w:kern w:val="2"/>
    </w:rPr>
  </w:style>
  <w:style w:type="paragraph" w:styleId="58">
    <w:name w:val="Balloon Text"/>
    <w:basedOn w:val="1"/>
    <w:link w:val="130"/>
    <w:qFormat/>
    <w:uiPriority w:val="0"/>
    <w:rPr>
      <w:rFonts w:ascii="Times New Roman" w:hAnsi="Times New Roman" w:eastAsia="宋体"/>
      <w:snapToGrid/>
      <w:kern w:val="2"/>
      <w:sz w:val="18"/>
      <w:szCs w:val="18"/>
    </w:rPr>
  </w:style>
  <w:style w:type="paragraph" w:styleId="59">
    <w:name w:val="footer"/>
    <w:basedOn w:val="1"/>
    <w:link w:val="131"/>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60">
    <w:name w:val="header"/>
    <w:basedOn w:val="1"/>
    <w:link w:val="132"/>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61">
    <w:name w:val="Signature"/>
    <w:basedOn w:val="1"/>
    <w:link w:val="133"/>
    <w:qFormat/>
    <w:uiPriority w:val="0"/>
    <w:pPr>
      <w:ind w:left="100" w:leftChars="2100"/>
    </w:pPr>
    <w:rPr>
      <w:rFonts w:ascii="Times New Roman" w:hAnsi="Times New Roman" w:eastAsia="宋体"/>
      <w:snapToGrid/>
      <w:kern w:val="2"/>
    </w:rPr>
  </w:style>
  <w:style w:type="paragraph" w:styleId="62">
    <w:name w:val="toc 1"/>
    <w:basedOn w:val="1"/>
    <w:next w:val="1"/>
    <w:unhideWhenUsed/>
    <w:qFormat/>
    <w:uiPriority w:val="39"/>
  </w:style>
  <w:style w:type="paragraph" w:styleId="63">
    <w:name w:val="List Continue 4"/>
    <w:basedOn w:val="1"/>
    <w:qFormat/>
    <w:uiPriority w:val="0"/>
    <w:pPr>
      <w:spacing w:after="120"/>
      <w:ind w:left="1680" w:leftChars="800"/>
    </w:pPr>
    <w:rPr>
      <w:rFonts w:ascii="Times New Roman" w:hAnsi="Times New Roman" w:eastAsia="宋体"/>
      <w:snapToGrid/>
      <w:kern w:val="2"/>
    </w:rPr>
  </w:style>
  <w:style w:type="paragraph" w:styleId="64">
    <w:name w:val="toc 4"/>
    <w:basedOn w:val="1"/>
    <w:next w:val="1"/>
    <w:semiHidden/>
    <w:qFormat/>
    <w:uiPriority w:val="99"/>
    <w:pPr>
      <w:tabs>
        <w:tab w:val="left" w:pos="1080"/>
        <w:tab w:val="right" w:leader="dot" w:pos="9125"/>
      </w:tabs>
      <w:adjustRightInd w:val="0"/>
      <w:snapToGrid w:val="0"/>
      <w:spacing w:line="360" w:lineRule="auto"/>
      <w:jc w:val="left"/>
    </w:pPr>
    <w:rPr>
      <w:rFonts w:ascii="Times New Roman" w:hAnsi="Times New Roman" w:eastAsia="宋体"/>
      <w:snapToGrid/>
      <w:kern w:val="2"/>
      <w:sz w:val="18"/>
      <w:szCs w:val="18"/>
    </w:rPr>
  </w:style>
  <w:style w:type="paragraph" w:styleId="65">
    <w:name w:val="index heading"/>
    <w:basedOn w:val="1"/>
    <w:next w:val="66"/>
    <w:qFormat/>
    <w:uiPriority w:val="0"/>
    <w:rPr>
      <w:rFonts w:ascii="Arial" w:hAnsi="Arial" w:eastAsia="宋体" w:cs="Arial"/>
      <w:b/>
      <w:bCs/>
      <w:snapToGrid/>
      <w:kern w:val="2"/>
    </w:rPr>
  </w:style>
  <w:style w:type="paragraph" w:styleId="66">
    <w:name w:val="index 1"/>
    <w:basedOn w:val="1"/>
    <w:next w:val="1"/>
    <w:unhideWhenUsed/>
    <w:qFormat/>
    <w:uiPriority w:val="0"/>
  </w:style>
  <w:style w:type="paragraph" w:styleId="67">
    <w:name w:val="Subtitle"/>
    <w:basedOn w:val="1"/>
    <w:next w:val="1"/>
    <w:link w:val="134"/>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8">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9">
    <w:name w:val="List"/>
    <w:basedOn w:val="1"/>
    <w:qFormat/>
    <w:uiPriority w:val="0"/>
    <w:pPr>
      <w:ind w:left="200" w:hanging="200" w:hangingChars="200"/>
    </w:pPr>
    <w:rPr>
      <w:rFonts w:ascii="Times New Roman" w:hAnsi="Times New Roman" w:eastAsia="宋体"/>
      <w:snapToGrid/>
      <w:kern w:val="2"/>
    </w:rPr>
  </w:style>
  <w:style w:type="paragraph" w:styleId="70">
    <w:name w:val="footnote text"/>
    <w:basedOn w:val="1"/>
    <w:link w:val="135"/>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71">
    <w:name w:val="toc 6"/>
    <w:basedOn w:val="1"/>
    <w:next w:val="1"/>
    <w:semiHidden/>
    <w:qFormat/>
    <w:uiPriority w:val="99"/>
    <w:pPr>
      <w:ind w:left="1050"/>
      <w:jc w:val="left"/>
    </w:pPr>
    <w:rPr>
      <w:rFonts w:ascii="Times New Roman" w:hAnsi="Times New Roman" w:eastAsia="宋体"/>
      <w:snapToGrid/>
      <w:kern w:val="2"/>
      <w:sz w:val="18"/>
      <w:szCs w:val="18"/>
    </w:rPr>
  </w:style>
  <w:style w:type="paragraph" w:styleId="72">
    <w:name w:val="List 5"/>
    <w:basedOn w:val="1"/>
    <w:qFormat/>
    <w:uiPriority w:val="0"/>
    <w:pPr>
      <w:ind w:left="100" w:leftChars="800" w:hanging="200" w:hangingChars="200"/>
    </w:pPr>
    <w:rPr>
      <w:rFonts w:ascii="Times New Roman" w:hAnsi="Times New Roman" w:eastAsia="宋体"/>
      <w:snapToGrid/>
      <w:kern w:val="2"/>
    </w:rPr>
  </w:style>
  <w:style w:type="paragraph" w:styleId="73">
    <w:name w:val="index 7"/>
    <w:basedOn w:val="1"/>
    <w:next w:val="1"/>
    <w:qFormat/>
    <w:uiPriority w:val="0"/>
    <w:pPr>
      <w:ind w:left="1200" w:leftChars="1200"/>
    </w:pPr>
    <w:rPr>
      <w:rFonts w:ascii="Times New Roman" w:hAnsi="Times New Roman" w:eastAsia="宋体"/>
      <w:snapToGrid/>
      <w:kern w:val="2"/>
    </w:rPr>
  </w:style>
  <w:style w:type="paragraph" w:styleId="74">
    <w:name w:val="index 9"/>
    <w:basedOn w:val="1"/>
    <w:next w:val="1"/>
    <w:qFormat/>
    <w:uiPriority w:val="0"/>
    <w:pPr>
      <w:ind w:left="1600" w:leftChars="1600"/>
    </w:pPr>
    <w:rPr>
      <w:rFonts w:ascii="Times New Roman" w:hAnsi="Times New Roman" w:eastAsia="宋体"/>
      <w:snapToGrid/>
      <w:kern w:val="2"/>
    </w:rPr>
  </w:style>
  <w:style w:type="paragraph" w:styleId="75">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76">
    <w:name w:val="toc 9"/>
    <w:basedOn w:val="1"/>
    <w:next w:val="1"/>
    <w:semiHidden/>
    <w:qFormat/>
    <w:uiPriority w:val="99"/>
    <w:pPr>
      <w:ind w:left="1680"/>
      <w:jc w:val="left"/>
    </w:pPr>
    <w:rPr>
      <w:rFonts w:ascii="Times New Roman" w:hAnsi="Times New Roman" w:eastAsia="宋体"/>
      <w:snapToGrid/>
      <w:kern w:val="2"/>
      <w:sz w:val="18"/>
      <w:szCs w:val="18"/>
    </w:rPr>
  </w:style>
  <w:style w:type="paragraph" w:styleId="77">
    <w:name w:val="Body Text 2"/>
    <w:basedOn w:val="1"/>
    <w:link w:val="136"/>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8">
    <w:name w:val="List 4"/>
    <w:basedOn w:val="1"/>
    <w:qFormat/>
    <w:uiPriority w:val="0"/>
    <w:pPr>
      <w:ind w:left="100" w:leftChars="600" w:hanging="200" w:hangingChars="200"/>
    </w:pPr>
    <w:rPr>
      <w:rFonts w:ascii="Times New Roman" w:hAnsi="Times New Roman" w:eastAsia="宋体"/>
      <w:snapToGrid/>
      <w:kern w:val="2"/>
    </w:rPr>
  </w:style>
  <w:style w:type="paragraph" w:styleId="79">
    <w:name w:val="List Continue 2"/>
    <w:basedOn w:val="1"/>
    <w:qFormat/>
    <w:uiPriority w:val="0"/>
    <w:pPr>
      <w:spacing w:after="120"/>
      <w:ind w:left="840" w:leftChars="400"/>
    </w:pPr>
    <w:rPr>
      <w:rFonts w:ascii="Times New Roman" w:hAnsi="Times New Roman" w:eastAsia="宋体"/>
      <w:snapToGrid/>
      <w:kern w:val="2"/>
    </w:rPr>
  </w:style>
  <w:style w:type="paragraph" w:styleId="80">
    <w:name w:val="Message Header"/>
    <w:basedOn w:val="1"/>
    <w:link w:val="13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81">
    <w:name w:val="HTML Preformatted"/>
    <w:basedOn w:val="1"/>
    <w:next w:val="1"/>
    <w:link w:val="13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82">
    <w:name w:val="Normal (Web)"/>
    <w:basedOn w:val="1"/>
    <w:qFormat/>
    <w:uiPriority w:val="99"/>
    <w:pPr>
      <w:widowControl/>
      <w:spacing w:before="100" w:beforeAutospacing="1" w:after="100" w:afterAutospacing="1"/>
      <w:jc w:val="left"/>
    </w:pPr>
    <w:rPr>
      <w:rFonts w:ascii="宋体" w:hAnsi="宋体" w:eastAsia="宋体"/>
      <w:snapToGrid/>
      <w:sz w:val="24"/>
    </w:rPr>
  </w:style>
  <w:style w:type="paragraph" w:styleId="83">
    <w:name w:val="List Continue 3"/>
    <w:basedOn w:val="1"/>
    <w:qFormat/>
    <w:uiPriority w:val="0"/>
    <w:pPr>
      <w:spacing w:after="120"/>
      <w:ind w:left="1260" w:leftChars="600"/>
    </w:pPr>
    <w:rPr>
      <w:rFonts w:ascii="Times New Roman" w:hAnsi="Times New Roman" w:eastAsia="宋体"/>
      <w:snapToGrid/>
      <w:kern w:val="2"/>
    </w:rPr>
  </w:style>
  <w:style w:type="paragraph" w:styleId="84">
    <w:name w:val="index 2"/>
    <w:basedOn w:val="1"/>
    <w:next w:val="1"/>
    <w:qFormat/>
    <w:uiPriority w:val="0"/>
    <w:pPr>
      <w:ind w:left="200" w:leftChars="200"/>
    </w:pPr>
    <w:rPr>
      <w:rFonts w:ascii="Times New Roman" w:hAnsi="Times New Roman" w:eastAsia="宋体"/>
      <w:snapToGrid/>
      <w:kern w:val="2"/>
    </w:rPr>
  </w:style>
  <w:style w:type="paragraph" w:styleId="85">
    <w:name w:val="Title"/>
    <w:basedOn w:val="1"/>
    <w:next w:val="1"/>
    <w:link w:val="139"/>
    <w:qFormat/>
    <w:uiPriority w:val="0"/>
    <w:pPr>
      <w:spacing w:before="240" w:after="60"/>
      <w:jc w:val="center"/>
      <w:outlineLvl w:val="0"/>
    </w:pPr>
    <w:rPr>
      <w:rFonts w:ascii="Cambria" w:hAnsi="Cambria" w:eastAsia="宋体"/>
      <w:b/>
      <w:bCs/>
      <w:snapToGrid/>
      <w:kern w:val="2"/>
      <w:sz w:val="32"/>
      <w:szCs w:val="32"/>
    </w:rPr>
  </w:style>
  <w:style w:type="paragraph" w:styleId="86">
    <w:name w:val="annotation subject"/>
    <w:basedOn w:val="32"/>
    <w:next w:val="32"/>
    <w:link w:val="140"/>
    <w:qFormat/>
    <w:uiPriority w:val="0"/>
    <w:rPr>
      <w:b/>
      <w:bCs/>
    </w:rPr>
  </w:style>
  <w:style w:type="paragraph" w:styleId="87">
    <w:name w:val="Body Text First Indent"/>
    <w:basedOn w:val="38"/>
    <w:link w:val="143"/>
    <w:unhideWhenUsed/>
    <w:qFormat/>
    <w:uiPriority w:val="0"/>
    <w:pPr>
      <w:tabs>
        <w:tab w:val="clear" w:pos="5250"/>
      </w:tabs>
      <w:spacing w:after="120"/>
      <w:ind w:firstLine="420" w:firstLineChars="100"/>
    </w:pPr>
    <w:rPr>
      <w:rFonts w:eastAsia="仿宋_GB2312"/>
      <w:szCs w:val="24"/>
    </w:rPr>
  </w:style>
  <w:style w:type="table" w:styleId="89">
    <w:name w:val="Table Grid"/>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1">
    <w:name w:val="Strong"/>
    <w:qFormat/>
    <w:uiPriority w:val="22"/>
    <w:rPr>
      <w:b/>
      <w:bCs/>
    </w:rPr>
  </w:style>
  <w:style w:type="character" w:styleId="92">
    <w:name w:val="endnote reference"/>
    <w:unhideWhenUsed/>
    <w:qFormat/>
    <w:uiPriority w:val="99"/>
    <w:rPr>
      <w:vertAlign w:val="superscript"/>
    </w:rPr>
  </w:style>
  <w:style w:type="character" w:styleId="93">
    <w:name w:val="page number"/>
    <w:basedOn w:val="90"/>
    <w:qFormat/>
    <w:uiPriority w:val="0"/>
  </w:style>
  <w:style w:type="character" w:styleId="94">
    <w:name w:val="FollowedHyperlink"/>
    <w:unhideWhenUsed/>
    <w:qFormat/>
    <w:uiPriority w:val="0"/>
    <w:rPr>
      <w:color w:val="999999"/>
      <w:u w:val="none"/>
    </w:rPr>
  </w:style>
  <w:style w:type="character" w:styleId="95">
    <w:name w:val="Emphasis"/>
    <w:qFormat/>
    <w:uiPriority w:val="0"/>
  </w:style>
  <w:style w:type="character" w:styleId="96">
    <w:name w:val="HTML Typewriter"/>
    <w:qFormat/>
    <w:uiPriority w:val="0"/>
    <w:rPr>
      <w:rFonts w:ascii="黑体" w:hAnsi="Courier New" w:eastAsia="黑体" w:cs="Courier New"/>
      <w:sz w:val="14"/>
      <w:szCs w:val="14"/>
    </w:rPr>
  </w:style>
  <w:style w:type="character" w:styleId="97">
    <w:name w:val="Hyperlink"/>
    <w:qFormat/>
    <w:uiPriority w:val="99"/>
    <w:rPr>
      <w:color w:val="000000"/>
      <w:u w:val="none"/>
    </w:rPr>
  </w:style>
  <w:style w:type="character" w:styleId="98">
    <w:name w:val="annotation reference"/>
    <w:qFormat/>
    <w:uiPriority w:val="0"/>
    <w:rPr>
      <w:sz w:val="21"/>
      <w:szCs w:val="21"/>
    </w:rPr>
  </w:style>
  <w:style w:type="character" w:styleId="99">
    <w:name w:val="footnote reference"/>
    <w:qFormat/>
    <w:uiPriority w:val="0"/>
    <w:rPr>
      <w:vertAlign w:val="superscript"/>
    </w:rPr>
  </w:style>
  <w:style w:type="paragraph" w:customStyle="1" w:styleId="100">
    <w:name w:val="一级条标题"/>
    <w:basedOn w:val="101"/>
    <w:next w:val="10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10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102">
    <w:name w:val="段"/>
    <w:basedOn w:val="1"/>
    <w:next w:val="1"/>
    <w:qFormat/>
    <w:uiPriority w:val="0"/>
    <w:pPr>
      <w:widowControl/>
      <w:autoSpaceDE w:val="0"/>
      <w:autoSpaceDN w:val="0"/>
      <w:ind w:firstLine="200" w:firstLineChars="200"/>
    </w:pPr>
    <w:rPr>
      <w:rFonts w:hint="eastAsia" w:ascii="宋体"/>
    </w:rPr>
  </w:style>
  <w:style w:type="character" w:customStyle="1" w:styleId="103">
    <w:name w:val="正文文本缩进 Char2"/>
    <w:link w:val="3"/>
    <w:qFormat/>
    <w:uiPriority w:val="0"/>
    <w:rPr>
      <w:rFonts w:ascii="楷体_GB2312" w:eastAsia="楷体_GB2312"/>
      <w:kern w:val="2"/>
      <w:sz w:val="30"/>
    </w:rPr>
  </w:style>
  <w:style w:type="character" w:customStyle="1" w:styleId="104">
    <w:name w:val="正文首行缩进 2 Char1"/>
    <w:semiHidden/>
    <w:qFormat/>
    <w:uiPriority w:val="99"/>
    <w:rPr>
      <w:rFonts w:ascii="华文楷体" w:hAnsi="华文楷体" w:eastAsia="华文楷体"/>
      <w:snapToGrid/>
      <w:kern w:val="2"/>
      <w:sz w:val="21"/>
      <w:szCs w:val="24"/>
    </w:rPr>
  </w:style>
  <w:style w:type="character" w:customStyle="1" w:styleId="105">
    <w:name w:val="正文文本缩进 3 Char1"/>
    <w:link w:val="5"/>
    <w:qFormat/>
    <w:uiPriority w:val="99"/>
    <w:rPr>
      <w:rFonts w:hint="default" w:ascii="Times New Roman" w:hAnsi="Times New Roman" w:cs="Times New Roman"/>
      <w:kern w:val="2"/>
      <w:sz w:val="16"/>
      <w:szCs w:val="16"/>
    </w:rPr>
  </w:style>
  <w:style w:type="character" w:customStyle="1" w:styleId="106">
    <w:name w:val="宏文本 Char"/>
    <w:link w:val="6"/>
    <w:qFormat/>
    <w:uiPriority w:val="0"/>
    <w:rPr>
      <w:rFonts w:ascii="Courier New" w:hAnsi="Courier New" w:cs="Courier New"/>
      <w:kern w:val="2"/>
      <w:sz w:val="24"/>
      <w:szCs w:val="24"/>
    </w:rPr>
  </w:style>
  <w:style w:type="character" w:customStyle="1" w:styleId="107">
    <w:name w:val="标题 1 Char"/>
    <w:link w:val="7"/>
    <w:qFormat/>
    <w:uiPriority w:val="0"/>
    <w:rPr>
      <w:rFonts w:hint="default" w:ascii="Times New Roman" w:hAnsi="Times New Roman" w:cs="Times New Roman"/>
      <w:b/>
      <w:kern w:val="44"/>
      <w:sz w:val="44"/>
      <w:szCs w:val="44"/>
    </w:rPr>
  </w:style>
  <w:style w:type="character" w:customStyle="1" w:styleId="108">
    <w:name w:val="标题 2 Char"/>
    <w:link w:val="8"/>
    <w:qFormat/>
    <w:uiPriority w:val="0"/>
    <w:rPr>
      <w:rFonts w:ascii="Arial" w:hAnsi="Arial" w:eastAsia="黑体"/>
      <w:b/>
      <w:bCs/>
      <w:kern w:val="2"/>
      <w:sz w:val="21"/>
      <w:szCs w:val="32"/>
    </w:rPr>
  </w:style>
  <w:style w:type="character" w:customStyle="1" w:styleId="109">
    <w:name w:val="标题 3 Char"/>
    <w:link w:val="9"/>
    <w:qFormat/>
    <w:uiPriority w:val="0"/>
    <w:rPr>
      <w:rFonts w:ascii="华文楷体" w:hAnsi="华文楷体" w:eastAsia="华文楷体"/>
      <w:b/>
      <w:bCs/>
      <w:snapToGrid/>
      <w:sz w:val="32"/>
      <w:szCs w:val="32"/>
    </w:rPr>
  </w:style>
  <w:style w:type="character" w:customStyle="1" w:styleId="110">
    <w:name w:val="标题 4 Char"/>
    <w:link w:val="10"/>
    <w:qFormat/>
    <w:uiPriority w:val="0"/>
    <w:rPr>
      <w:rFonts w:ascii="Cambria" w:hAnsi="Cambria" w:eastAsia="宋体" w:cs="Times New Roman"/>
      <w:b/>
      <w:bCs/>
      <w:snapToGrid/>
      <w:sz w:val="28"/>
      <w:szCs w:val="28"/>
    </w:rPr>
  </w:style>
  <w:style w:type="character" w:customStyle="1" w:styleId="111">
    <w:name w:val="标题 5 Char"/>
    <w:link w:val="11"/>
    <w:qFormat/>
    <w:uiPriority w:val="0"/>
    <w:rPr>
      <w:b/>
      <w:bCs/>
      <w:kern w:val="2"/>
      <w:sz w:val="28"/>
      <w:szCs w:val="28"/>
    </w:rPr>
  </w:style>
  <w:style w:type="character" w:customStyle="1" w:styleId="112">
    <w:name w:val="标题 6 Char"/>
    <w:link w:val="12"/>
    <w:qFormat/>
    <w:uiPriority w:val="0"/>
    <w:rPr>
      <w:rFonts w:ascii="Cambria" w:hAnsi="Cambria"/>
      <w:b/>
      <w:bCs/>
      <w:kern w:val="2"/>
      <w:sz w:val="24"/>
      <w:szCs w:val="24"/>
    </w:rPr>
  </w:style>
  <w:style w:type="character" w:customStyle="1" w:styleId="113">
    <w:name w:val="标题 7 Char"/>
    <w:link w:val="13"/>
    <w:qFormat/>
    <w:uiPriority w:val="0"/>
    <w:rPr>
      <w:rFonts w:ascii="Calibri" w:hAnsi="Calibri"/>
      <w:b/>
      <w:bCs/>
      <w:kern w:val="2"/>
      <w:sz w:val="24"/>
      <w:szCs w:val="24"/>
    </w:rPr>
  </w:style>
  <w:style w:type="character" w:customStyle="1" w:styleId="114">
    <w:name w:val="标题 8 Char"/>
    <w:link w:val="14"/>
    <w:qFormat/>
    <w:uiPriority w:val="0"/>
    <w:rPr>
      <w:rFonts w:ascii="Cambria" w:hAnsi="Cambria"/>
      <w:kern w:val="2"/>
      <w:sz w:val="24"/>
      <w:szCs w:val="24"/>
    </w:rPr>
  </w:style>
  <w:style w:type="character" w:customStyle="1" w:styleId="115">
    <w:name w:val="标题 9 Char"/>
    <w:link w:val="15"/>
    <w:qFormat/>
    <w:uiPriority w:val="0"/>
    <w:rPr>
      <w:rFonts w:ascii="Cambria" w:hAnsi="Cambria"/>
      <w:kern w:val="2"/>
      <w:sz w:val="21"/>
      <w:szCs w:val="21"/>
    </w:rPr>
  </w:style>
  <w:style w:type="character" w:customStyle="1" w:styleId="116">
    <w:name w:val="注释标题 Char"/>
    <w:link w:val="20"/>
    <w:qFormat/>
    <w:uiPriority w:val="0"/>
    <w:rPr>
      <w:kern w:val="2"/>
      <w:sz w:val="21"/>
      <w:szCs w:val="24"/>
    </w:rPr>
  </w:style>
  <w:style w:type="character" w:customStyle="1" w:styleId="117">
    <w:name w:val="电子邮件签名 Char"/>
    <w:link w:val="23"/>
    <w:qFormat/>
    <w:uiPriority w:val="0"/>
    <w:rPr>
      <w:kern w:val="2"/>
      <w:sz w:val="21"/>
      <w:szCs w:val="24"/>
    </w:rPr>
  </w:style>
  <w:style w:type="character" w:customStyle="1" w:styleId="118">
    <w:name w:val="正文缩进 Char"/>
    <w:link w:val="25"/>
    <w:qFormat/>
    <w:uiPriority w:val="0"/>
    <w:rPr>
      <w:rFonts w:hint="default" w:ascii="Times New Roman" w:hAnsi="Times New Roman" w:eastAsia="楷体_GB2312" w:cs="Times New Roman"/>
      <w:kern w:val="2"/>
      <w:sz w:val="24"/>
    </w:rPr>
  </w:style>
  <w:style w:type="character" w:customStyle="1" w:styleId="119">
    <w:name w:val="文档结构图 Char"/>
    <w:link w:val="30"/>
    <w:qFormat/>
    <w:uiPriority w:val="0"/>
    <w:rPr>
      <w:kern w:val="2"/>
      <w:sz w:val="21"/>
      <w:szCs w:val="24"/>
      <w:shd w:val="clear" w:color="auto" w:fill="000080"/>
    </w:rPr>
  </w:style>
  <w:style w:type="character" w:customStyle="1" w:styleId="120">
    <w:name w:val="批注文字 Char2"/>
    <w:link w:val="32"/>
    <w:qFormat/>
    <w:uiPriority w:val="0"/>
    <w:rPr>
      <w:kern w:val="2"/>
      <w:sz w:val="21"/>
      <w:szCs w:val="24"/>
    </w:rPr>
  </w:style>
  <w:style w:type="character" w:customStyle="1" w:styleId="121">
    <w:name w:val="称呼 Char"/>
    <w:link w:val="34"/>
    <w:qFormat/>
    <w:uiPriority w:val="0"/>
    <w:rPr>
      <w:rFonts w:eastAsia="Times New Roman"/>
      <w:sz w:val="30"/>
    </w:rPr>
  </w:style>
  <w:style w:type="character" w:customStyle="1" w:styleId="122">
    <w:name w:val="正文文本 3 Char"/>
    <w:link w:val="35"/>
    <w:qFormat/>
    <w:uiPriority w:val="0"/>
    <w:rPr>
      <w:rFonts w:hint="eastAsia" w:ascii="宋体" w:hAnsi="宋体" w:eastAsia="宋体" w:cs="宋体"/>
      <w:color w:val="FF0000"/>
    </w:rPr>
  </w:style>
  <w:style w:type="character" w:customStyle="1" w:styleId="123">
    <w:name w:val="结束语 Char"/>
    <w:link w:val="36"/>
    <w:qFormat/>
    <w:uiPriority w:val="0"/>
    <w:rPr>
      <w:kern w:val="2"/>
      <w:sz w:val="21"/>
      <w:szCs w:val="24"/>
    </w:rPr>
  </w:style>
  <w:style w:type="character" w:customStyle="1" w:styleId="124">
    <w:name w:val="正文文本 Char1"/>
    <w:link w:val="38"/>
    <w:qFormat/>
    <w:uiPriority w:val="99"/>
    <w:rPr>
      <w:rFonts w:hint="default" w:ascii="Times New Roman" w:hAnsi="Times New Roman" w:cs="Times New Roman"/>
      <w:kern w:val="2"/>
      <w:sz w:val="21"/>
    </w:rPr>
  </w:style>
  <w:style w:type="character" w:customStyle="1" w:styleId="125">
    <w:name w:val="HTML 地址 Char"/>
    <w:link w:val="45"/>
    <w:qFormat/>
    <w:uiPriority w:val="0"/>
    <w:rPr>
      <w:i/>
      <w:iCs/>
      <w:kern w:val="2"/>
      <w:sz w:val="21"/>
      <w:szCs w:val="24"/>
    </w:rPr>
  </w:style>
  <w:style w:type="character" w:customStyle="1" w:styleId="126">
    <w:name w:val="纯文本 Char"/>
    <w:link w:val="49"/>
    <w:qFormat/>
    <w:uiPriority w:val="0"/>
    <w:rPr>
      <w:rFonts w:hint="eastAsia" w:ascii="宋体" w:hAnsi="Courier New" w:eastAsia="楷体_GB2312" w:cs="宋体"/>
      <w:sz w:val="28"/>
    </w:rPr>
  </w:style>
  <w:style w:type="character" w:customStyle="1" w:styleId="127">
    <w:name w:val="日期 Char"/>
    <w:link w:val="54"/>
    <w:qFormat/>
    <w:uiPriority w:val="0"/>
    <w:rPr>
      <w:rFonts w:hint="default" w:ascii="Times New Roman" w:hAnsi="Times New Roman" w:cs="Times New Roman"/>
    </w:rPr>
  </w:style>
  <w:style w:type="character" w:customStyle="1" w:styleId="128">
    <w:name w:val="正文文本缩进 2 Char1"/>
    <w:link w:val="55"/>
    <w:qFormat/>
    <w:uiPriority w:val="99"/>
    <w:rPr>
      <w:rFonts w:hint="default" w:ascii="Times New Roman" w:hAnsi="Times New Roman" w:cs="Times New Roman"/>
      <w:kern w:val="2"/>
      <w:sz w:val="21"/>
    </w:rPr>
  </w:style>
  <w:style w:type="character" w:customStyle="1" w:styleId="129">
    <w:name w:val="尾注文本 Char"/>
    <w:link w:val="56"/>
    <w:qFormat/>
    <w:uiPriority w:val="0"/>
    <w:rPr>
      <w:kern w:val="2"/>
      <w:sz w:val="21"/>
      <w:szCs w:val="24"/>
    </w:rPr>
  </w:style>
  <w:style w:type="character" w:customStyle="1" w:styleId="130">
    <w:name w:val="批注框文本 Char"/>
    <w:link w:val="58"/>
    <w:qFormat/>
    <w:uiPriority w:val="0"/>
    <w:rPr>
      <w:kern w:val="2"/>
      <w:sz w:val="18"/>
      <w:szCs w:val="18"/>
    </w:rPr>
  </w:style>
  <w:style w:type="character" w:customStyle="1" w:styleId="131">
    <w:name w:val="页脚 Char"/>
    <w:link w:val="59"/>
    <w:qFormat/>
    <w:uiPriority w:val="99"/>
    <w:rPr>
      <w:rFonts w:hint="default" w:ascii="Times New Roman" w:hAnsi="Times New Roman" w:cs="Times New Roman"/>
      <w:sz w:val="18"/>
    </w:rPr>
  </w:style>
  <w:style w:type="character" w:customStyle="1" w:styleId="132">
    <w:name w:val="页眉 Char1"/>
    <w:link w:val="60"/>
    <w:qFormat/>
    <w:uiPriority w:val="99"/>
    <w:rPr>
      <w:rFonts w:hint="default" w:ascii="Times New Roman" w:hAnsi="Times New Roman" w:cs="Times New Roman"/>
      <w:kern w:val="2"/>
      <w:sz w:val="18"/>
      <w:szCs w:val="18"/>
    </w:rPr>
  </w:style>
  <w:style w:type="character" w:customStyle="1" w:styleId="133">
    <w:name w:val="签名 Char"/>
    <w:link w:val="61"/>
    <w:qFormat/>
    <w:uiPriority w:val="0"/>
    <w:rPr>
      <w:kern w:val="2"/>
      <w:sz w:val="21"/>
      <w:szCs w:val="24"/>
    </w:rPr>
  </w:style>
  <w:style w:type="character" w:customStyle="1" w:styleId="134">
    <w:name w:val="副标题 Char"/>
    <w:link w:val="67"/>
    <w:qFormat/>
    <w:uiPriority w:val="0"/>
    <w:rPr>
      <w:rFonts w:ascii="Cambria" w:hAnsi="Cambria"/>
      <w:b/>
      <w:bCs/>
      <w:kern w:val="28"/>
      <w:sz w:val="32"/>
      <w:szCs w:val="32"/>
    </w:rPr>
  </w:style>
  <w:style w:type="character" w:customStyle="1" w:styleId="135">
    <w:name w:val="脚注文本 Char"/>
    <w:link w:val="70"/>
    <w:qFormat/>
    <w:uiPriority w:val="0"/>
    <w:rPr>
      <w:sz w:val="18"/>
    </w:rPr>
  </w:style>
  <w:style w:type="character" w:customStyle="1" w:styleId="136">
    <w:name w:val="正文文本 2 Char"/>
    <w:link w:val="77"/>
    <w:qFormat/>
    <w:uiPriority w:val="0"/>
    <w:rPr>
      <w:rFonts w:eastAsia="Times New Roman"/>
      <w:sz w:val="24"/>
      <w:szCs w:val="24"/>
    </w:rPr>
  </w:style>
  <w:style w:type="character" w:customStyle="1" w:styleId="137">
    <w:name w:val="信息标题 Char"/>
    <w:link w:val="80"/>
    <w:qFormat/>
    <w:uiPriority w:val="0"/>
    <w:rPr>
      <w:rFonts w:ascii="Arial" w:hAnsi="Arial" w:cs="Arial"/>
      <w:kern w:val="2"/>
      <w:sz w:val="24"/>
      <w:szCs w:val="24"/>
      <w:shd w:val="pct20" w:color="auto" w:fill="auto"/>
    </w:rPr>
  </w:style>
  <w:style w:type="character" w:customStyle="1" w:styleId="138">
    <w:name w:val="HTML 预设格式 Char"/>
    <w:link w:val="81"/>
    <w:qFormat/>
    <w:uiPriority w:val="0"/>
    <w:rPr>
      <w:rFonts w:hint="eastAsia" w:ascii="黑体" w:hAnsi="Courier New" w:eastAsia="黑体" w:cs="黑体"/>
    </w:rPr>
  </w:style>
  <w:style w:type="character" w:customStyle="1" w:styleId="139">
    <w:name w:val="标题 Char"/>
    <w:link w:val="85"/>
    <w:qFormat/>
    <w:uiPriority w:val="0"/>
    <w:rPr>
      <w:rFonts w:ascii="Cambria" w:hAnsi="Cambria"/>
      <w:b/>
      <w:bCs/>
      <w:kern w:val="2"/>
      <w:sz w:val="32"/>
      <w:szCs w:val="32"/>
    </w:rPr>
  </w:style>
  <w:style w:type="character" w:customStyle="1" w:styleId="140">
    <w:name w:val="批注主题 Char"/>
    <w:link w:val="86"/>
    <w:qFormat/>
    <w:uiPriority w:val="0"/>
    <w:rPr>
      <w:b/>
      <w:bCs/>
      <w:kern w:val="2"/>
      <w:sz w:val="21"/>
      <w:szCs w:val="24"/>
    </w:rPr>
  </w:style>
  <w:style w:type="character" w:customStyle="1" w:styleId="141">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42">
    <w:name w:val="正文首行缩进 2 Char"/>
    <w:link w:val="2"/>
    <w:qFormat/>
    <w:uiPriority w:val="0"/>
    <w:rPr>
      <w:rFonts w:ascii="Calibri" w:hAnsi="Calibri"/>
      <w:kern w:val="2"/>
      <w:sz w:val="21"/>
      <w:szCs w:val="24"/>
      <w:lang w:bidi="ar-SA"/>
    </w:rPr>
  </w:style>
  <w:style w:type="character" w:customStyle="1" w:styleId="143">
    <w:name w:val="正文首行缩进 Char"/>
    <w:link w:val="87"/>
    <w:qFormat/>
    <w:uiPriority w:val="0"/>
    <w:rPr>
      <w:rFonts w:eastAsia="仿宋_GB2312"/>
      <w:kern w:val="2"/>
      <w:sz w:val="21"/>
      <w:szCs w:val="24"/>
      <w:lang w:val="en-US" w:eastAsia="zh-CN" w:bidi="ar-SA"/>
    </w:rPr>
  </w:style>
  <w:style w:type="character" w:customStyle="1" w:styleId="144">
    <w:name w:val="页脚 Char1"/>
    <w:qFormat/>
    <w:uiPriority w:val="99"/>
    <w:rPr>
      <w:rFonts w:hint="default" w:ascii="Times New Roman" w:hAnsi="Times New Roman" w:cs="Times New Roman"/>
      <w:kern w:val="2"/>
      <w:sz w:val="18"/>
      <w:szCs w:val="18"/>
    </w:rPr>
  </w:style>
  <w:style w:type="character" w:customStyle="1" w:styleId="145">
    <w:name w:val="日期 Char1"/>
    <w:qFormat/>
    <w:uiPriority w:val="99"/>
    <w:rPr>
      <w:rFonts w:hint="default" w:ascii="Times New Roman" w:hAnsi="Times New Roman" w:cs="Times New Roman"/>
      <w:kern w:val="2"/>
      <w:sz w:val="21"/>
    </w:rPr>
  </w:style>
  <w:style w:type="character" w:customStyle="1" w:styleId="146">
    <w:name w:val="font01"/>
    <w:qFormat/>
    <w:uiPriority w:val="0"/>
    <w:rPr>
      <w:rFonts w:hint="eastAsia" w:ascii="宋体" w:hAnsi="宋体" w:eastAsia="宋体" w:cs="宋体"/>
      <w:b/>
      <w:color w:val="000000"/>
      <w:sz w:val="21"/>
      <w:szCs w:val="21"/>
      <w:u w:val="single"/>
    </w:rPr>
  </w:style>
  <w:style w:type="character" w:customStyle="1" w:styleId="147">
    <w:name w:val="页眉 Char"/>
    <w:qFormat/>
    <w:uiPriority w:val="99"/>
    <w:rPr>
      <w:rFonts w:hint="default" w:ascii="Times New Roman" w:hAnsi="Times New Roman" w:cs="Times New Roman"/>
      <w:sz w:val="18"/>
    </w:rPr>
  </w:style>
  <w:style w:type="character" w:customStyle="1" w:styleId="148">
    <w:name w:val="font11"/>
    <w:qFormat/>
    <w:uiPriority w:val="0"/>
    <w:rPr>
      <w:rFonts w:hint="eastAsia" w:ascii="仿宋" w:hAnsi="仿宋" w:eastAsia="仿宋" w:cs="仿宋"/>
      <w:color w:val="FF0000"/>
      <w:sz w:val="20"/>
      <w:szCs w:val="20"/>
      <w:u w:val="none"/>
    </w:rPr>
  </w:style>
  <w:style w:type="character" w:customStyle="1" w:styleId="149">
    <w:name w:val="HTML 预设格式 Char1"/>
    <w:qFormat/>
    <w:uiPriority w:val="99"/>
    <w:rPr>
      <w:rFonts w:hint="default" w:ascii="Courier New" w:hAnsi="Courier New" w:cs="Courier New"/>
      <w:kern w:val="2"/>
    </w:rPr>
  </w:style>
  <w:style w:type="character" w:customStyle="1" w:styleId="150">
    <w:name w:val="纯文本 Char1"/>
    <w:qFormat/>
    <w:uiPriority w:val="99"/>
    <w:rPr>
      <w:rFonts w:hint="eastAsia" w:ascii="宋体" w:hAnsi="Courier New" w:eastAsia="宋体" w:cs="Courier New"/>
      <w:kern w:val="2"/>
      <w:sz w:val="21"/>
      <w:szCs w:val="21"/>
    </w:rPr>
  </w:style>
  <w:style w:type="character" w:customStyle="1" w:styleId="151">
    <w:name w:val="正文文本 3 Char1"/>
    <w:qFormat/>
    <w:uiPriority w:val="0"/>
    <w:rPr>
      <w:rFonts w:hint="default" w:ascii="Times New Roman" w:hAnsi="Times New Roman" w:cs="Times New Roman"/>
      <w:kern w:val="2"/>
      <w:sz w:val="16"/>
      <w:szCs w:val="16"/>
    </w:rPr>
  </w:style>
  <w:style w:type="character" w:customStyle="1" w:styleId="152">
    <w:name w:val="正文缩进 Char1"/>
    <w:qFormat/>
    <w:uiPriority w:val="0"/>
    <w:rPr>
      <w:rFonts w:eastAsia="楷体_GB2312"/>
      <w:kern w:val="2"/>
      <w:sz w:val="24"/>
      <w:lang w:val="en-US" w:eastAsia="zh-CN" w:bidi="ar-SA"/>
    </w:rPr>
  </w:style>
  <w:style w:type="character" w:customStyle="1" w:styleId="153">
    <w:name w:val="正文文本缩进 3 Char"/>
    <w:qFormat/>
    <w:uiPriority w:val="0"/>
    <w:rPr>
      <w:rFonts w:hint="default" w:ascii="Times New Roman" w:hAnsi="Times New Roman" w:cs="Times New Roman"/>
      <w:sz w:val="24"/>
    </w:rPr>
  </w:style>
  <w:style w:type="character" w:customStyle="1" w:styleId="154">
    <w:name w:val="正文文本缩进 2 Char"/>
    <w:qFormat/>
    <w:uiPriority w:val="0"/>
    <w:rPr>
      <w:rFonts w:hint="default" w:ascii="Times New Roman" w:hAnsi="Times New Roman" w:cs="Times New Roman"/>
    </w:rPr>
  </w:style>
  <w:style w:type="character" w:customStyle="1" w:styleId="155">
    <w:name w:val="正文文本 Char"/>
    <w:qFormat/>
    <w:uiPriority w:val="0"/>
    <w:rPr>
      <w:rFonts w:hint="default" w:ascii="Times New Roman" w:hAnsi="Times New Roman" w:cs="Times New Roman"/>
      <w:sz w:val="28"/>
    </w:rPr>
  </w:style>
  <w:style w:type="character" w:customStyle="1" w:styleId="156">
    <w:name w:val="font41"/>
    <w:qFormat/>
    <w:uiPriority w:val="0"/>
    <w:rPr>
      <w:rFonts w:hint="eastAsia" w:ascii="宋体" w:hAnsi="宋体" w:eastAsia="宋体" w:cs="宋体"/>
      <w:color w:val="000000"/>
      <w:sz w:val="18"/>
      <w:szCs w:val="18"/>
      <w:u w:val="none"/>
    </w:rPr>
  </w:style>
  <w:style w:type="character" w:customStyle="1" w:styleId="157">
    <w:name w:val="font21"/>
    <w:qFormat/>
    <w:uiPriority w:val="0"/>
    <w:rPr>
      <w:rFonts w:hint="default" w:ascii="Arial" w:hAnsi="Arial" w:cs="Arial"/>
      <w:b/>
      <w:color w:val="000000"/>
      <w:sz w:val="21"/>
      <w:szCs w:val="21"/>
      <w:u w:val="single"/>
    </w:rPr>
  </w:style>
  <w:style w:type="character" w:customStyle="1" w:styleId="158">
    <w:name w:val="font31"/>
    <w:qFormat/>
    <w:uiPriority w:val="0"/>
    <w:rPr>
      <w:rFonts w:hint="eastAsia" w:ascii="宋体" w:hAnsi="宋体" w:eastAsia="宋体" w:cs="宋体"/>
      <w:color w:val="000000"/>
      <w:sz w:val="22"/>
      <w:szCs w:val="22"/>
      <w:u w:val="none"/>
    </w:rPr>
  </w:style>
  <w:style w:type="paragraph" w:customStyle="1" w:styleId="159">
    <w:name w:val="纯文本2"/>
    <w:basedOn w:val="1"/>
    <w:qFormat/>
    <w:uiPriority w:val="0"/>
    <w:pPr>
      <w:adjustRightInd w:val="0"/>
    </w:pPr>
    <w:rPr>
      <w:rFonts w:hint="eastAsia" w:ascii="宋体" w:hAnsi="Courier New" w:eastAsia="楷体_GB2312"/>
      <w:kern w:val="2"/>
      <w:sz w:val="26"/>
      <w:szCs w:val="20"/>
    </w:rPr>
  </w:style>
  <w:style w:type="paragraph" w:customStyle="1" w:styleId="160">
    <w:name w:val="表格文字"/>
    <w:basedOn w:val="1"/>
    <w:qFormat/>
    <w:uiPriority w:val="0"/>
    <w:rPr>
      <w:rFonts w:ascii="Times New Roman" w:hAnsi="Times New Roman" w:eastAsia="宋体"/>
      <w:kern w:val="2"/>
      <w:szCs w:val="20"/>
    </w:rPr>
  </w:style>
  <w:style w:type="paragraph" w:customStyle="1" w:styleId="161">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2">
    <w:name w:val="默认段落字体 Para Char Char Char Char Char Char Char Char Char"/>
    <w:basedOn w:val="1"/>
    <w:qFormat/>
    <w:uiPriority w:val="0"/>
    <w:rPr>
      <w:rFonts w:ascii="Tahoma" w:hAnsi="Tahoma" w:eastAsia="宋体" w:cs="Tahoma"/>
      <w:snapToGrid/>
      <w:kern w:val="2"/>
      <w:sz w:val="24"/>
    </w:rPr>
  </w:style>
  <w:style w:type="paragraph" w:customStyle="1" w:styleId="163">
    <w:name w:val="纯文本1"/>
    <w:basedOn w:val="1"/>
    <w:qFormat/>
    <w:uiPriority w:val="0"/>
    <w:pPr>
      <w:adjustRightInd w:val="0"/>
    </w:pPr>
    <w:rPr>
      <w:rFonts w:hint="eastAsia" w:ascii="宋体" w:hAnsi="Courier New" w:eastAsia="楷体_GB2312"/>
      <w:kern w:val="2"/>
      <w:sz w:val="28"/>
      <w:szCs w:val="20"/>
    </w:rPr>
  </w:style>
  <w:style w:type="paragraph" w:customStyle="1" w:styleId="164">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5">
    <w:name w:val="Char1"/>
    <w:basedOn w:val="1"/>
    <w:qFormat/>
    <w:uiPriority w:val="0"/>
    <w:pPr>
      <w:tabs>
        <w:tab w:val="left" w:pos="840"/>
      </w:tabs>
      <w:ind w:left="840" w:hanging="420"/>
    </w:pPr>
    <w:rPr>
      <w:rFonts w:ascii="Times New Roman" w:hAnsi="Times New Roman" w:eastAsia="宋体"/>
      <w:snapToGrid/>
      <w:kern w:val="2"/>
      <w:sz w:val="24"/>
    </w:rPr>
  </w:style>
  <w:style w:type="paragraph" w:customStyle="1" w:styleId="166">
    <w:name w:val="_Style 84"/>
    <w:basedOn w:val="1"/>
    <w:qFormat/>
    <w:uiPriority w:val="0"/>
    <w:pPr>
      <w:widowControl/>
      <w:spacing w:after="160" w:line="240" w:lineRule="exact"/>
      <w:jc w:val="left"/>
    </w:pPr>
  </w:style>
  <w:style w:type="paragraph" w:styleId="167">
    <w:name w:val="List Paragraph"/>
    <w:basedOn w:val="1"/>
    <w:qFormat/>
    <w:uiPriority w:val="34"/>
    <w:pPr>
      <w:ind w:firstLine="420" w:firstLineChars="200"/>
    </w:pPr>
    <w:rPr>
      <w:rFonts w:ascii="Calibri" w:hAnsi="Calibri" w:eastAsia="宋体"/>
      <w:snapToGrid/>
      <w:kern w:val="2"/>
      <w:szCs w:val="22"/>
    </w:rPr>
  </w:style>
  <w:style w:type="paragraph" w:customStyle="1" w:styleId="168">
    <w:name w:val="Char111"/>
    <w:basedOn w:val="1"/>
    <w:qFormat/>
    <w:uiPriority w:val="0"/>
    <w:pPr>
      <w:tabs>
        <w:tab w:val="left" w:pos="360"/>
      </w:tabs>
    </w:pPr>
    <w:rPr>
      <w:rFonts w:ascii="Times New Roman" w:hAnsi="Times New Roman" w:eastAsia="宋体"/>
      <w:snapToGrid/>
      <w:kern w:val="2"/>
      <w:sz w:val="24"/>
    </w:rPr>
  </w:style>
  <w:style w:type="paragraph" w:customStyle="1" w:styleId="169">
    <w:name w:val="纯文本3"/>
    <w:basedOn w:val="1"/>
    <w:qFormat/>
    <w:uiPriority w:val="0"/>
    <w:pPr>
      <w:adjustRightInd w:val="0"/>
      <w:textAlignment w:val="baseline"/>
    </w:pPr>
    <w:rPr>
      <w:rFonts w:ascii="宋体" w:hAnsi="Courier New" w:eastAsia="楷体_GB2312"/>
      <w:snapToGrid/>
      <w:kern w:val="2"/>
      <w:sz w:val="28"/>
      <w:szCs w:val="20"/>
    </w:rPr>
  </w:style>
  <w:style w:type="paragraph" w:styleId="170">
    <w:name w:val="No Spacing"/>
    <w:link w:val="171"/>
    <w:qFormat/>
    <w:uiPriority w:val="0"/>
    <w:pPr>
      <w:adjustRightInd w:val="0"/>
      <w:snapToGrid w:val="0"/>
    </w:pPr>
    <w:rPr>
      <w:rFonts w:ascii="Tahoma" w:hAnsi="Tahoma" w:eastAsia="微软雅黑" w:cs="Times New Roman"/>
      <w:sz w:val="22"/>
      <w:szCs w:val="22"/>
      <w:lang w:val="en-US" w:eastAsia="zh-CN" w:bidi="ar-SA"/>
    </w:rPr>
  </w:style>
  <w:style w:type="character" w:customStyle="1" w:styleId="171">
    <w:name w:val="无间隔 Char"/>
    <w:link w:val="170"/>
    <w:qFormat/>
    <w:uiPriority w:val="0"/>
    <w:rPr>
      <w:rFonts w:ascii="Tahoma" w:hAnsi="Tahoma" w:eastAsia="微软雅黑"/>
      <w:sz w:val="22"/>
      <w:szCs w:val="22"/>
    </w:rPr>
  </w:style>
  <w:style w:type="character" w:customStyle="1" w:styleId="172">
    <w:name w:val="批注文字 Char"/>
    <w:qFormat/>
    <w:uiPriority w:val="0"/>
    <w:rPr>
      <w:rFonts w:ascii="华文楷体" w:hAnsi="华文楷体" w:eastAsia="华文楷体"/>
      <w:snapToGrid/>
      <w:sz w:val="21"/>
      <w:szCs w:val="24"/>
    </w:rPr>
  </w:style>
  <w:style w:type="character" w:customStyle="1" w:styleId="173">
    <w:name w:val="Char Char151"/>
    <w:qFormat/>
    <w:locked/>
    <w:uiPriority w:val="0"/>
    <w:rPr>
      <w:rFonts w:ascii="Arial" w:hAnsi="Arial" w:eastAsia="黑体"/>
      <w:kern w:val="2"/>
      <w:sz w:val="21"/>
      <w:lang w:val="en-US" w:eastAsia="zh-CN" w:bidi="ar-SA"/>
    </w:rPr>
  </w:style>
  <w:style w:type="character" w:customStyle="1" w:styleId="174">
    <w:name w:val="不明显参考1"/>
    <w:qFormat/>
    <w:uiPriority w:val="0"/>
    <w:rPr>
      <w:smallCaps/>
      <w:color w:val="C0504D"/>
      <w:u w:val="single"/>
    </w:rPr>
  </w:style>
  <w:style w:type="character" w:customStyle="1" w:styleId="175">
    <w:name w:val="批注文字 字符1"/>
    <w:qFormat/>
    <w:uiPriority w:val="0"/>
    <w:rPr>
      <w:kern w:val="2"/>
      <w:sz w:val="21"/>
      <w:szCs w:val="24"/>
    </w:rPr>
  </w:style>
  <w:style w:type="character" w:customStyle="1" w:styleId="176">
    <w:name w:val="正文文本 字符1"/>
    <w:qFormat/>
    <w:uiPriority w:val="0"/>
    <w:rPr>
      <w:rFonts w:eastAsia="宋体"/>
      <w:kern w:val="2"/>
      <w:sz w:val="21"/>
      <w:szCs w:val="24"/>
      <w:lang w:val="en-US" w:eastAsia="zh-CN" w:bidi="ar-SA"/>
    </w:rPr>
  </w:style>
  <w:style w:type="character" w:customStyle="1" w:styleId="177">
    <w:name w:val="Char Char22"/>
    <w:qFormat/>
    <w:uiPriority w:val="0"/>
    <w:rPr>
      <w:rFonts w:ascii="Times New Roman" w:hAnsi="Times New Roman" w:eastAsia="宋体" w:cs="Times New Roman"/>
      <w:b/>
      <w:bCs/>
      <w:kern w:val="44"/>
      <w:sz w:val="32"/>
      <w:szCs w:val="44"/>
    </w:rPr>
  </w:style>
  <w:style w:type="character" w:customStyle="1" w:styleId="178">
    <w:name w:val="标题 Char1"/>
    <w:qFormat/>
    <w:uiPriority w:val="10"/>
    <w:rPr>
      <w:rFonts w:ascii="Cambria" w:hAnsi="Cambria" w:cs="Times New Roman"/>
      <w:b/>
      <w:bCs/>
      <w:snapToGrid/>
      <w:sz w:val="32"/>
      <w:szCs w:val="32"/>
    </w:rPr>
  </w:style>
  <w:style w:type="character" w:customStyle="1" w:styleId="179">
    <w:name w:val="未处理的提及"/>
    <w:unhideWhenUsed/>
    <w:qFormat/>
    <w:uiPriority w:val="99"/>
    <w:rPr>
      <w:color w:val="605E5C"/>
      <w:shd w:val="clear" w:color="auto" w:fill="E1DFDD"/>
    </w:rPr>
  </w:style>
  <w:style w:type="character" w:customStyle="1" w:styleId="180">
    <w:name w:val="副标题 字符"/>
    <w:qFormat/>
    <w:uiPriority w:val="0"/>
    <w:rPr>
      <w:b/>
      <w:bCs/>
      <w:kern w:val="28"/>
      <w:sz w:val="32"/>
      <w:szCs w:val="32"/>
    </w:rPr>
  </w:style>
  <w:style w:type="character" w:customStyle="1" w:styleId="181">
    <w:name w:val="H2 Char"/>
    <w:qFormat/>
    <w:locked/>
    <w:uiPriority w:val="0"/>
    <w:rPr>
      <w:rFonts w:ascii="Arial" w:hAnsi="Arial" w:eastAsia="黑体"/>
      <w:b/>
      <w:bCs/>
      <w:kern w:val="2"/>
      <w:sz w:val="32"/>
      <w:szCs w:val="32"/>
      <w:lang w:val="en-US" w:eastAsia="zh-CN" w:bidi="ar-SA"/>
    </w:rPr>
  </w:style>
  <w:style w:type="character" w:customStyle="1" w:styleId="182">
    <w:name w:val="样式3 Char Char Char Char"/>
    <w:link w:val="183"/>
    <w:qFormat/>
    <w:uiPriority w:val="0"/>
    <w:rPr>
      <w:rFonts w:eastAsia="黑体"/>
      <w:b/>
      <w:bCs/>
      <w:sz w:val="32"/>
      <w:szCs w:val="32"/>
    </w:rPr>
  </w:style>
  <w:style w:type="paragraph" w:customStyle="1" w:styleId="183">
    <w:name w:val="样式3 Char"/>
    <w:basedOn w:val="9"/>
    <w:next w:val="1"/>
    <w:link w:val="182"/>
    <w:qFormat/>
    <w:uiPriority w:val="0"/>
    <w:pPr>
      <w:spacing w:line="240" w:lineRule="auto"/>
      <w:jc w:val="center"/>
    </w:pPr>
    <w:rPr>
      <w:rFonts w:ascii="Times New Roman" w:hAnsi="Times New Roman" w:eastAsia="黑体"/>
      <w:snapToGrid/>
    </w:rPr>
  </w:style>
  <w:style w:type="character" w:customStyle="1" w:styleId="184">
    <w:name w:val="批注框文本 字符1"/>
    <w:qFormat/>
    <w:uiPriority w:val="0"/>
    <w:rPr>
      <w:rFonts w:eastAsia="宋体"/>
      <w:sz w:val="18"/>
      <w:szCs w:val="18"/>
    </w:rPr>
  </w:style>
  <w:style w:type="character" w:customStyle="1" w:styleId="185">
    <w:name w:val="HTML 预设格式 字符1"/>
    <w:qFormat/>
    <w:uiPriority w:val="0"/>
    <w:rPr>
      <w:rFonts w:ascii="Arial" w:hAnsi="Arial" w:cs="Arial"/>
      <w:sz w:val="24"/>
      <w:szCs w:val="24"/>
    </w:rPr>
  </w:style>
  <w:style w:type="character" w:customStyle="1" w:styleId="186">
    <w:name w:val="文档结构图 字符1"/>
    <w:qFormat/>
    <w:uiPriority w:val="0"/>
    <w:rPr>
      <w:rFonts w:eastAsia="宋体"/>
      <w:szCs w:val="24"/>
      <w:shd w:val="clear" w:color="auto" w:fill="000080"/>
    </w:rPr>
  </w:style>
  <w:style w:type="character" w:customStyle="1" w:styleId="187">
    <w:name w:val="标题 6 字符"/>
    <w:qFormat/>
    <w:uiPriority w:val="0"/>
    <w:rPr>
      <w:rFonts w:ascii="Cambria" w:hAnsi="Cambria" w:eastAsia="宋体" w:cs="Times New Roman"/>
      <w:b/>
      <w:bCs/>
      <w:sz w:val="24"/>
      <w:szCs w:val="24"/>
    </w:rPr>
  </w:style>
  <w:style w:type="character" w:customStyle="1" w:styleId="188">
    <w:name w:val="Char Char11"/>
    <w:qFormat/>
    <w:locked/>
    <w:uiPriority w:val="0"/>
    <w:rPr>
      <w:rFonts w:ascii="宋体" w:hAnsi="宋体" w:eastAsia="宋体"/>
      <w:kern w:val="2"/>
      <w:sz w:val="21"/>
      <w:szCs w:val="24"/>
      <w:lang w:val="en-US" w:eastAsia="zh-CN" w:bidi="ar-SA"/>
    </w:rPr>
  </w:style>
  <w:style w:type="character" w:customStyle="1" w:styleId="189">
    <w:name w:val="newsbg1"/>
    <w:qFormat/>
    <w:uiPriority w:val="0"/>
  </w:style>
  <w:style w:type="character" w:customStyle="1" w:styleId="190">
    <w:name w:val="批注文字 Char Char"/>
    <w:qFormat/>
    <w:uiPriority w:val="0"/>
    <w:rPr>
      <w:rFonts w:ascii="宋体" w:hAnsi="Times New Roman" w:eastAsia="宋体" w:cs="Times New Roman"/>
      <w:sz w:val="28"/>
      <w:szCs w:val="20"/>
    </w:rPr>
  </w:style>
  <w:style w:type="character" w:customStyle="1" w:styleId="191">
    <w:name w:val="_Style 182"/>
    <w:qFormat/>
    <w:uiPriority w:val="0"/>
    <w:rPr>
      <w:b/>
      <w:bCs/>
      <w:i/>
      <w:iCs/>
      <w:color w:val="4F81BD"/>
    </w:rPr>
  </w:style>
  <w:style w:type="paragraph" w:customStyle="1" w:styleId="192">
    <w:name w:val="正文首行缩进 21"/>
    <w:basedOn w:val="1"/>
    <w:next w:val="167"/>
    <w:qFormat/>
    <w:uiPriority w:val="99"/>
    <w:pPr>
      <w:ind w:firstLine="420" w:firstLineChars="200"/>
    </w:pPr>
    <w:rPr>
      <w:rFonts w:ascii="Calibri" w:hAnsi="Calibri" w:eastAsia="宋体"/>
      <w:snapToGrid/>
      <w:kern w:val="2"/>
      <w:szCs w:val="22"/>
    </w:rPr>
  </w:style>
  <w:style w:type="character" w:customStyle="1" w:styleId="193">
    <w:name w:val="正文文本缩进 Char"/>
    <w:qFormat/>
    <w:uiPriority w:val="0"/>
    <w:rPr>
      <w:rFonts w:ascii="宋体" w:hAnsi="宋体"/>
      <w:kern w:val="2"/>
      <w:sz w:val="21"/>
      <w:lang w:bidi="ar-SA"/>
    </w:rPr>
  </w:style>
  <w:style w:type="character" w:customStyle="1" w:styleId="194">
    <w:name w:val="Date Char"/>
    <w:qFormat/>
    <w:uiPriority w:val="0"/>
    <w:rPr>
      <w:rFonts w:eastAsia="宋体"/>
      <w:kern w:val="2"/>
      <w:sz w:val="21"/>
      <w:szCs w:val="24"/>
      <w:lang w:val="en-US" w:eastAsia="zh-CN" w:bidi="ar-SA"/>
    </w:rPr>
  </w:style>
  <w:style w:type="character" w:customStyle="1" w:styleId="195">
    <w:name w:val="正文缩进 字符1"/>
    <w:qFormat/>
    <w:locked/>
    <w:uiPriority w:val="0"/>
    <w:rPr>
      <w:sz w:val="24"/>
      <w:szCs w:val="24"/>
    </w:rPr>
  </w:style>
  <w:style w:type="character" w:customStyle="1" w:styleId="196">
    <w:name w:val="宏文本 Char1"/>
    <w:semiHidden/>
    <w:qFormat/>
    <w:uiPriority w:val="99"/>
    <w:rPr>
      <w:rFonts w:ascii="Courier New" w:hAnsi="Courier New" w:cs="Courier New"/>
      <w:snapToGrid/>
      <w:sz w:val="24"/>
      <w:szCs w:val="24"/>
    </w:rPr>
  </w:style>
  <w:style w:type="character" w:customStyle="1" w:styleId="197">
    <w:name w:val="副标题 字符1"/>
    <w:qFormat/>
    <w:uiPriority w:val="0"/>
    <w:rPr>
      <w:rFonts w:ascii="Arial" w:hAnsi="Arial" w:eastAsia="宋体" w:cs="Times New Roman"/>
      <w:b/>
      <w:bCs/>
      <w:kern w:val="28"/>
      <w:sz w:val="32"/>
      <w:szCs w:val="32"/>
    </w:rPr>
  </w:style>
  <w:style w:type="character" w:customStyle="1" w:styleId="198">
    <w:name w:val="正文文本 3 字符1"/>
    <w:qFormat/>
    <w:uiPriority w:val="0"/>
    <w:rPr>
      <w:color w:val="000000"/>
      <w:kern w:val="2"/>
      <w:sz w:val="24"/>
    </w:rPr>
  </w:style>
  <w:style w:type="character" w:customStyle="1" w:styleId="199">
    <w:name w:val="HTML 地址 Char1"/>
    <w:semiHidden/>
    <w:qFormat/>
    <w:uiPriority w:val="99"/>
    <w:rPr>
      <w:rFonts w:ascii="华文楷体" w:hAnsi="华文楷体" w:eastAsia="华文楷体"/>
      <w:i/>
      <w:iCs/>
      <w:snapToGrid/>
      <w:sz w:val="21"/>
      <w:szCs w:val="24"/>
    </w:rPr>
  </w:style>
  <w:style w:type="character" w:customStyle="1" w:styleId="200">
    <w:name w:val="标题 1 Char1"/>
    <w:qFormat/>
    <w:uiPriority w:val="0"/>
    <w:rPr>
      <w:rFonts w:ascii="Calibri" w:hAnsi="Calibri" w:eastAsia="宋体" w:cs="Arial"/>
      <w:b/>
      <w:kern w:val="44"/>
      <w:sz w:val="44"/>
      <w:szCs w:val="20"/>
    </w:rPr>
  </w:style>
  <w:style w:type="character" w:customStyle="1" w:styleId="201">
    <w:name w:val="Body Text Indent 3 Char"/>
    <w:qFormat/>
    <w:locked/>
    <w:uiPriority w:val="0"/>
    <w:rPr>
      <w:rFonts w:ascii="Times New Roman" w:hAnsi="Times New Roman" w:eastAsia="宋体"/>
      <w:sz w:val="16"/>
    </w:rPr>
  </w:style>
  <w:style w:type="character" w:customStyle="1" w:styleId="202">
    <w:name w:val="书籍标题1"/>
    <w:qFormat/>
    <w:uiPriority w:val="0"/>
    <w:rPr>
      <w:b/>
      <w:bCs/>
      <w:smallCaps/>
      <w:spacing w:val="5"/>
    </w:rPr>
  </w:style>
  <w:style w:type="character" w:customStyle="1" w:styleId="203">
    <w:name w:val="bigfont"/>
    <w:qFormat/>
    <w:uiPriority w:val="0"/>
  </w:style>
  <w:style w:type="character" w:customStyle="1" w:styleId="204">
    <w:name w:val="标题4 Char1"/>
    <w:qFormat/>
    <w:uiPriority w:val="0"/>
    <w:rPr>
      <w:rFonts w:eastAsia="宋体"/>
      <w:sz w:val="24"/>
      <w:szCs w:val="24"/>
    </w:rPr>
  </w:style>
  <w:style w:type="character" w:customStyle="1" w:styleId="205">
    <w:name w:val="Char Char62"/>
    <w:qFormat/>
    <w:locked/>
    <w:uiPriority w:val="0"/>
    <w:rPr>
      <w:rFonts w:eastAsia="宋体"/>
      <w:kern w:val="2"/>
      <w:sz w:val="18"/>
      <w:szCs w:val="24"/>
      <w:lang w:val="en-US" w:eastAsia="zh-CN" w:bidi="ar-SA"/>
    </w:rPr>
  </w:style>
  <w:style w:type="character" w:customStyle="1" w:styleId="206">
    <w:name w:val="标题 7 字符1"/>
    <w:qFormat/>
    <w:uiPriority w:val="0"/>
    <w:rPr>
      <w:rFonts w:ascii="Times New Roman" w:hAnsi="Times New Roman" w:eastAsia="宋体" w:cs="Times New Roman"/>
      <w:b/>
      <w:sz w:val="24"/>
      <w:szCs w:val="20"/>
    </w:rPr>
  </w:style>
  <w:style w:type="character" w:customStyle="1" w:styleId="207">
    <w:name w:val="明显强调1"/>
    <w:qFormat/>
    <w:uiPriority w:val="0"/>
    <w:rPr>
      <w:b/>
      <w:bCs/>
      <w:i/>
      <w:iCs/>
      <w:color w:val="4F81BD"/>
    </w:rPr>
  </w:style>
  <w:style w:type="character" w:customStyle="1" w:styleId="208">
    <w:name w:val="标题 9 字符"/>
    <w:qFormat/>
    <w:uiPriority w:val="0"/>
    <w:rPr>
      <w:rFonts w:ascii="Cambria" w:hAnsi="Cambria" w:eastAsia="宋体" w:cs="Times New Roman"/>
      <w:szCs w:val="21"/>
    </w:rPr>
  </w:style>
  <w:style w:type="character" w:customStyle="1" w:styleId="209">
    <w:name w:val="电子邮件签名 Char1"/>
    <w:semiHidden/>
    <w:qFormat/>
    <w:uiPriority w:val="99"/>
    <w:rPr>
      <w:rFonts w:ascii="华文楷体" w:hAnsi="华文楷体" w:eastAsia="华文楷体"/>
      <w:snapToGrid/>
      <w:sz w:val="21"/>
      <w:szCs w:val="24"/>
    </w:rPr>
  </w:style>
  <w:style w:type="character" w:customStyle="1" w:styleId="210">
    <w:name w:val="页眉 字符1"/>
    <w:qFormat/>
    <w:uiPriority w:val="99"/>
    <w:rPr>
      <w:kern w:val="2"/>
      <w:sz w:val="18"/>
      <w:szCs w:val="18"/>
    </w:rPr>
  </w:style>
  <w:style w:type="character" w:customStyle="1" w:styleId="211">
    <w:name w:val="引用 Char1"/>
    <w:qFormat/>
    <w:uiPriority w:val="29"/>
    <w:rPr>
      <w:rFonts w:ascii="Times New Roman" w:hAnsi="Times New Roman" w:eastAsia="宋体" w:cs="Times New Roman"/>
      <w:i/>
      <w:iCs/>
      <w:color w:val="000000"/>
      <w:szCs w:val="24"/>
    </w:rPr>
  </w:style>
  <w:style w:type="character" w:customStyle="1" w:styleId="212">
    <w:name w:val="批注文字 字符"/>
    <w:qFormat/>
    <w:uiPriority w:val="0"/>
    <w:rPr>
      <w:rFonts w:ascii="Times New Roman" w:hAnsi="Times New Roman" w:eastAsia="宋体" w:cs="Times New Roman"/>
      <w:szCs w:val="24"/>
    </w:rPr>
  </w:style>
  <w:style w:type="character" w:customStyle="1" w:styleId="213">
    <w:name w:val="批注主题 字符"/>
    <w:qFormat/>
    <w:uiPriority w:val="0"/>
    <w:rPr>
      <w:rFonts w:ascii="Times New Roman" w:hAnsi="Times New Roman" w:eastAsia="宋体" w:cs="Times New Roman"/>
      <w:b/>
      <w:bCs/>
      <w:szCs w:val="24"/>
    </w:rPr>
  </w:style>
  <w:style w:type="character" w:customStyle="1" w:styleId="214">
    <w:name w:val="Char Char7"/>
    <w:qFormat/>
    <w:locked/>
    <w:uiPriority w:val="0"/>
    <w:rPr>
      <w:rFonts w:ascii="宋体" w:hAnsi="宋体" w:eastAsia="宋体"/>
      <w:kern w:val="2"/>
      <w:sz w:val="21"/>
      <w:szCs w:val="24"/>
      <w:lang w:val="en-US" w:eastAsia="zh-CN" w:bidi="ar-SA"/>
    </w:rPr>
  </w:style>
  <w:style w:type="character" w:customStyle="1" w:styleId="215">
    <w:name w:val="Char Char9"/>
    <w:qFormat/>
    <w:uiPriority w:val="0"/>
    <w:rPr>
      <w:rFonts w:eastAsia="宋体"/>
      <w:b/>
      <w:bCs/>
      <w:kern w:val="44"/>
      <w:sz w:val="32"/>
      <w:szCs w:val="44"/>
      <w:lang w:val="en-US" w:eastAsia="zh-CN" w:bidi="ar-SA"/>
    </w:rPr>
  </w:style>
  <w:style w:type="character" w:customStyle="1" w:styleId="216">
    <w:name w:val="页脚 Char Char"/>
    <w:qFormat/>
    <w:uiPriority w:val="0"/>
    <w:rPr>
      <w:rFonts w:eastAsia="宋体"/>
      <w:kern w:val="2"/>
      <w:sz w:val="18"/>
      <w:szCs w:val="24"/>
      <w:lang w:val="en-US" w:eastAsia="zh-CN" w:bidi="ar-SA"/>
    </w:rPr>
  </w:style>
  <w:style w:type="character" w:customStyle="1" w:styleId="217">
    <w:name w:val="批注主题 字符1"/>
    <w:qFormat/>
    <w:uiPriority w:val="0"/>
    <w:rPr>
      <w:b/>
      <w:bCs/>
      <w:szCs w:val="24"/>
    </w:rPr>
  </w:style>
  <w:style w:type="character" w:customStyle="1" w:styleId="218">
    <w:name w:val="Char Char111"/>
    <w:qFormat/>
    <w:uiPriority w:val="0"/>
    <w:rPr>
      <w:rFonts w:eastAsia="仿宋_GB2312"/>
      <w:kern w:val="2"/>
      <w:sz w:val="23"/>
      <w:szCs w:val="24"/>
    </w:rPr>
  </w:style>
  <w:style w:type="character" w:customStyle="1" w:styleId="219">
    <w:name w:val="正文文本缩进 Char1"/>
    <w:qFormat/>
    <w:locked/>
    <w:uiPriority w:val="99"/>
    <w:rPr>
      <w:rFonts w:ascii="Times New Roman" w:hAnsi="Times New Roman" w:eastAsia="仿宋_GB2312" w:cs="Times New Roman"/>
      <w:sz w:val="25"/>
      <w:szCs w:val="24"/>
    </w:rPr>
  </w:style>
  <w:style w:type="character" w:customStyle="1" w:styleId="220">
    <w:name w:val="明显引用 字符1"/>
    <w:qFormat/>
    <w:uiPriority w:val="30"/>
    <w:rPr>
      <w:b/>
      <w:bCs/>
      <w:i/>
      <w:iCs/>
      <w:color w:val="4F81BD"/>
    </w:rPr>
  </w:style>
  <w:style w:type="character" w:customStyle="1" w:styleId="221">
    <w:name w:val="明显引用 Char1"/>
    <w:qFormat/>
    <w:uiPriority w:val="30"/>
    <w:rPr>
      <w:rFonts w:ascii="Times New Roman" w:hAnsi="Times New Roman" w:eastAsia="宋体" w:cs="Times New Roman"/>
      <w:b/>
      <w:bCs/>
      <w:i/>
      <w:iCs/>
      <w:color w:val="4F81BD"/>
      <w:szCs w:val="24"/>
    </w:rPr>
  </w:style>
  <w:style w:type="character" w:customStyle="1" w:styleId="222">
    <w:name w:val="Char Char3"/>
    <w:qFormat/>
    <w:locked/>
    <w:uiPriority w:val="0"/>
    <w:rPr>
      <w:rFonts w:ascii="宋体" w:hAnsi="宋体" w:eastAsia="宋体"/>
      <w:kern w:val="2"/>
      <w:sz w:val="18"/>
      <w:szCs w:val="18"/>
      <w:lang w:val="en-US" w:eastAsia="zh-CN" w:bidi="ar-SA"/>
    </w:rPr>
  </w:style>
  <w:style w:type="character" w:customStyle="1" w:styleId="223">
    <w:name w:val="文档结构图 Char1"/>
    <w:qFormat/>
    <w:uiPriority w:val="99"/>
    <w:rPr>
      <w:rFonts w:ascii="宋体" w:hAnsi="Times New Roman" w:eastAsia="宋体" w:cs="Times New Roman"/>
      <w:sz w:val="18"/>
      <w:szCs w:val="18"/>
    </w:rPr>
  </w:style>
  <w:style w:type="character" w:customStyle="1" w:styleId="224">
    <w:name w:val="标题5 Char Char"/>
    <w:link w:val="225"/>
    <w:qFormat/>
    <w:uiPriority w:val="0"/>
    <w:rPr>
      <w:rFonts w:ascii="Arial" w:hAnsi="Arial"/>
      <w:b/>
      <w:bCs/>
      <w:sz w:val="24"/>
      <w:szCs w:val="32"/>
    </w:rPr>
  </w:style>
  <w:style w:type="paragraph" w:customStyle="1" w:styleId="225">
    <w:name w:val="标题5"/>
    <w:basedOn w:val="9"/>
    <w:link w:val="224"/>
    <w:qFormat/>
    <w:uiPriority w:val="0"/>
    <w:pPr>
      <w:spacing w:line="413" w:lineRule="auto"/>
    </w:pPr>
    <w:rPr>
      <w:rFonts w:ascii="Arial" w:hAnsi="Arial" w:eastAsia="宋体"/>
      <w:snapToGrid/>
      <w:sz w:val="24"/>
    </w:rPr>
  </w:style>
  <w:style w:type="character" w:customStyle="1" w:styleId="226">
    <w:name w:val="引用 字符"/>
    <w:qFormat/>
    <w:uiPriority w:val="29"/>
    <w:rPr>
      <w:rFonts w:ascii="Times New Roman" w:hAnsi="Times New Roman" w:eastAsia="宋体" w:cs="Times New Roman"/>
      <w:i/>
      <w:iCs/>
      <w:color w:val="404040"/>
      <w:szCs w:val="24"/>
    </w:rPr>
  </w:style>
  <w:style w:type="character" w:customStyle="1" w:styleId="227">
    <w:name w:val="_Style 218"/>
    <w:qFormat/>
    <w:uiPriority w:val="19"/>
    <w:rPr>
      <w:i/>
      <w:iCs/>
      <w:color w:val="808080"/>
    </w:rPr>
  </w:style>
  <w:style w:type="character" w:customStyle="1" w:styleId="228">
    <w:name w:val="Char Char141"/>
    <w:qFormat/>
    <w:uiPriority w:val="0"/>
    <w:rPr>
      <w:rFonts w:eastAsia="宋体"/>
      <w:kern w:val="2"/>
      <w:sz w:val="21"/>
      <w:szCs w:val="24"/>
      <w:lang w:val="en-US" w:eastAsia="zh-CN" w:bidi="ar-SA"/>
    </w:rPr>
  </w:style>
  <w:style w:type="character" w:customStyle="1" w:styleId="229">
    <w:name w:val="不明显强调1"/>
    <w:qFormat/>
    <w:uiPriority w:val="19"/>
    <w:rPr>
      <w:i/>
      <w:iCs/>
      <w:color w:val="808080"/>
    </w:rPr>
  </w:style>
  <w:style w:type="character" w:customStyle="1" w:styleId="230">
    <w:name w:val="Char Char5"/>
    <w:qFormat/>
    <w:locked/>
    <w:uiPriority w:val="0"/>
    <w:rPr>
      <w:rFonts w:ascii="宋体" w:hAnsi="宋体" w:eastAsia="宋体"/>
      <w:kern w:val="2"/>
      <w:sz w:val="21"/>
      <w:szCs w:val="24"/>
      <w:lang w:val="en-US" w:eastAsia="zh-CN" w:bidi="ar-SA"/>
    </w:rPr>
  </w:style>
  <w:style w:type="character" w:customStyle="1" w:styleId="231">
    <w:name w:val="标题 3 字符"/>
    <w:qFormat/>
    <w:uiPriority w:val="0"/>
    <w:rPr>
      <w:rFonts w:ascii="Times New Roman" w:hAnsi="Times New Roman" w:eastAsia="宋体" w:cs="Times New Roman"/>
      <w:b/>
      <w:bCs/>
      <w:sz w:val="32"/>
      <w:szCs w:val="32"/>
    </w:rPr>
  </w:style>
  <w:style w:type="character" w:customStyle="1" w:styleId="232">
    <w:name w:val="Heading 2 Char"/>
    <w:qFormat/>
    <w:uiPriority w:val="0"/>
    <w:rPr>
      <w:rFonts w:ascii="Arial" w:hAnsi="Arial" w:eastAsia="黑体"/>
      <w:b/>
      <w:bCs/>
      <w:kern w:val="2"/>
      <w:sz w:val="32"/>
      <w:szCs w:val="32"/>
      <w:lang w:val="en-US" w:eastAsia="zh-CN" w:bidi="ar-SA"/>
    </w:rPr>
  </w:style>
  <w:style w:type="character" w:customStyle="1" w:styleId="233">
    <w:name w:val="Char Char201"/>
    <w:qFormat/>
    <w:locked/>
    <w:uiPriority w:val="0"/>
    <w:rPr>
      <w:rFonts w:ascii="Arial" w:hAnsi="Arial" w:eastAsia="黑体"/>
      <w:b/>
      <w:bCs/>
      <w:kern w:val="2"/>
      <w:sz w:val="28"/>
      <w:szCs w:val="28"/>
      <w:lang w:val="en-US" w:eastAsia="zh-CN" w:bidi="ar-SA"/>
    </w:rPr>
  </w:style>
  <w:style w:type="character" w:customStyle="1" w:styleId="234">
    <w:name w:val="未处理的提及1"/>
    <w:unhideWhenUsed/>
    <w:qFormat/>
    <w:uiPriority w:val="99"/>
    <w:rPr>
      <w:color w:val="808080"/>
      <w:shd w:val="clear" w:color="auto" w:fill="E6E6E6"/>
    </w:rPr>
  </w:style>
  <w:style w:type="character" w:customStyle="1" w:styleId="235">
    <w:name w:val="Char Char Char Char Char Char"/>
    <w:qFormat/>
    <w:uiPriority w:val="0"/>
    <w:rPr>
      <w:rFonts w:eastAsia="宋体"/>
      <w:kern w:val="2"/>
      <w:sz w:val="21"/>
      <w:szCs w:val="24"/>
      <w:lang w:val="en-US" w:eastAsia="zh-CN" w:bidi="ar-SA"/>
    </w:rPr>
  </w:style>
  <w:style w:type="character" w:customStyle="1" w:styleId="236">
    <w:name w:val="Plain Text Char"/>
    <w:qFormat/>
    <w:uiPriority w:val="0"/>
    <w:rPr>
      <w:rFonts w:ascii="宋体" w:hAnsi="Courier New" w:eastAsia="宋体"/>
      <w:sz w:val="24"/>
      <w:lang w:bidi="ar-SA"/>
    </w:rPr>
  </w:style>
  <w:style w:type="character" w:customStyle="1" w:styleId="237">
    <w:name w:val="副标题 Char1"/>
    <w:qFormat/>
    <w:uiPriority w:val="11"/>
    <w:rPr>
      <w:rFonts w:ascii="Cambria" w:hAnsi="Cambria" w:cs="Times New Roman"/>
      <w:b/>
      <w:bCs/>
      <w:snapToGrid/>
      <w:kern w:val="28"/>
      <w:sz w:val="32"/>
      <w:szCs w:val="32"/>
    </w:rPr>
  </w:style>
  <w:style w:type="character" w:customStyle="1" w:styleId="238">
    <w:name w:val="Char Char13"/>
    <w:qFormat/>
    <w:locked/>
    <w:uiPriority w:val="0"/>
    <w:rPr>
      <w:rFonts w:eastAsia="宋体"/>
      <w:b/>
      <w:bCs/>
      <w:kern w:val="44"/>
      <w:sz w:val="44"/>
      <w:szCs w:val="44"/>
      <w:lang w:val="en-US" w:eastAsia="zh-CN" w:bidi="ar-SA"/>
    </w:rPr>
  </w:style>
  <w:style w:type="character" w:customStyle="1" w:styleId="239">
    <w:name w:val="仿宋，小四"/>
    <w:qFormat/>
    <w:uiPriority w:val="0"/>
    <w:rPr>
      <w:rFonts w:eastAsia="仿宋_GB2312"/>
      <w:sz w:val="24"/>
    </w:rPr>
  </w:style>
  <w:style w:type="character" w:customStyle="1" w:styleId="240">
    <w:name w:val="textcontents"/>
    <w:qFormat/>
    <w:uiPriority w:val="0"/>
    <w:rPr>
      <w:rFonts w:cs="Times New Roman"/>
    </w:rPr>
  </w:style>
  <w:style w:type="character" w:customStyle="1" w:styleId="241">
    <w:name w:val="标题 4 字符1"/>
    <w:qFormat/>
    <w:uiPriority w:val="0"/>
    <w:rPr>
      <w:rFonts w:ascii="Arial" w:hAnsi="Arial" w:eastAsia="黑体" w:cs="Times New Roman"/>
      <w:kern w:val="0"/>
      <w:sz w:val="28"/>
      <w:szCs w:val="20"/>
    </w:rPr>
  </w:style>
  <w:style w:type="character" w:customStyle="1" w:styleId="242">
    <w:name w:val="Heading 4 Char"/>
    <w:qFormat/>
    <w:uiPriority w:val="0"/>
    <w:rPr>
      <w:rFonts w:ascii="Arial" w:hAnsi="Arial" w:eastAsia="宋体"/>
      <w:b/>
      <w:bCs/>
      <w:kern w:val="2"/>
      <w:sz w:val="21"/>
      <w:szCs w:val="28"/>
      <w:lang w:val="en-US" w:eastAsia="zh-CN" w:bidi="ar-SA"/>
    </w:rPr>
  </w:style>
  <w:style w:type="character" w:customStyle="1" w:styleId="243">
    <w:name w:val="正文文本缩进 2 字符1"/>
    <w:qFormat/>
    <w:locked/>
    <w:uiPriority w:val="0"/>
    <w:rPr>
      <w:kern w:val="2"/>
      <w:sz w:val="21"/>
      <w:szCs w:val="24"/>
    </w:rPr>
  </w:style>
  <w:style w:type="character" w:customStyle="1" w:styleId="244">
    <w:name w:val="引用 Char"/>
    <w:link w:val="245"/>
    <w:qFormat/>
    <w:uiPriority w:val="0"/>
    <w:rPr>
      <w:i/>
      <w:iCs/>
      <w:color w:val="000000"/>
    </w:rPr>
  </w:style>
  <w:style w:type="paragraph" w:styleId="245">
    <w:name w:val="Quote"/>
    <w:basedOn w:val="1"/>
    <w:next w:val="1"/>
    <w:link w:val="244"/>
    <w:qFormat/>
    <w:uiPriority w:val="29"/>
    <w:rPr>
      <w:rFonts w:ascii="Times New Roman" w:hAnsi="Times New Roman" w:eastAsia="宋体"/>
      <w:i/>
      <w:iCs/>
      <w:snapToGrid/>
      <w:color w:val="000000"/>
      <w:sz w:val="20"/>
      <w:szCs w:val="20"/>
    </w:rPr>
  </w:style>
  <w:style w:type="character" w:customStyle="1" w:styleId="246">
    <w:name w:val="引用 Char2"/>
    <w:qFormat/>
    <w:uiPriority w:val="29"/>
    <w:rPr>
      <w:rFonts w:ascii="华文楷体" w:hAnsi="华文楷体" w:eastAsia="华文楷体"/>
      <w:i/>
      <w:iCs/>
      <w:snapToGrid/>
      <w:color w:val="000000"/>
      <w:sz w:val="21"/>
      <w:szCs w:val="24"/>
    </w:rPr>
  </w:style>
  <w:style w:type="character" w:customStyle="1" w:styleId="247">
    <w:name w:val="脚注文本 字符"/>
    <w:semiHidden/>
    <w:qFormat/>
    <w:uiPriority w:val="0"/>
    <w:rPr>
      <w:rFonts w:ascii="Times New Roman" w:hAnsi="Times New Roman" w:eastAsia="宋体" w:cs="Times New Roman"/>
      <w:sz w:val="18"/>
      <w:szCs w:val="18"/>
    </w:rPr>
  </w:style>
  <w:style w:type="character" w:customStyle="1" w:styleId="248">
    <w:name w:val="Char Char71"/>
    <w:qFormat/>
    <w:uiPriority w:val="0"/>
    <w:rPr>
      <w:rFonts w:eastAsia="宋体"/>
      <w:kern w:val="2"/>
      <w:sz w:val="18"/>
      <w:szCs w:val="24"/>
      <w:lang w:val="en-US" w:eastAsia="zh-CN" w:bidi="ar-SA"/>
    </w:rPr>
  </w:style>
  <w:style w:type="character" w:customStyle="1" w:styleId="249">
    <w:name w:val="标题 4 字符"/>
    <w:qFormat/>
    <w:uiPriority w:val="0"/>
    <w:rPr>
      <w:rFonts w:ascii="Cambria" w:hAnsi="Cambria" w:eastAsia="宋体" w:cs="Times New Roman"/>
      <w:b/>
      <w:bCs/>
      <w:sz w:val="28"/>
      <w:szCs w:val="28"/>
    </w:rPr>
  </w:style>
  <w:style w:type="character" w:customStyle="1" w:styleId="250">
    <w:name w:val="批注主题 Char1"/>
    <w:qFormat/>
    <w:uiPriority w:val="99"/>
    <w:rPr>
      <w:rFonts w:ascii="Times New Roman" w:hAnsi="Times New Roman" w:eastAsia="宋体" w:cs="Times New Roman"/>
      <w:b/>
      <w:bCs/>
      <w:szCs w:val="24"/>
    </w:rPr>
  </w:style>
  <w:style w:type="character" w:customStyle="1" w:styleId="251">
    <w:name w:val="页脚 字符1"/>
    <w:qFormat/>
    <w:uiPriority w:val="99"/>
    <w:rPr>
      <w:kern w:val="2"/>
      <w:sz w:val="18"/>
      <w:szCs w:val="18"/>
    </w:rPr>
  </w:style>
  <w:style w:type="character" w:customStyle="1" w:styleId="252">
    <w:name w:val="标题 3 Char1"/>
    <w:qFormat/>
    <w:uiPriority w:val="0"/>
    <w:rPr>
      <w:rFonts w:ascii="Calibri" w:hAnsi="Calibri" w:eastAsia="宋体" w:cs="Arial"/>
      <w:b/>
      <w:kern w:val="0"/>
      <w:sz w:val="32"/>
      <w:szCs w:val="20"/>
    </w:rPr>
  </w:style>
  <w:style w:type="character" w:customStyle="1" w:styleId="253">
    <w:name w:val="title2"/>
    <w:qFormat/>
    <w:uiPriority w:val="0"/>
    <w:rPr>
      <w:rFonts w:hint="default" w:ascii="Arial" w:hAnsi="Arial"/>
      <w:b/>
      <w:color w:val="111111"/>
      <w:sz w:val="24"/>
      <w:u w:val="none"/>
    </w:rPr>
  </w:style>
  <w:style w:type="character" w:customStyle="1" w:styleId="254">
    <w:name w:val="Char Char61"/>
    <w:qFormat/>
    <w:uiPriority w:val="0"/>
    <w:rPr>
      <w:rFonts w:eastAsia="宋体"/>
      <w:kern w:val="2"/>
      <w:sz w:val="18"/>
      <w:szCs w:val="18"/>
      <w:lang w:val="en-US" w:eastAsia="zh-CN" w:bidi="ar-SA"/>
    </w:rPr>
  </w:style>
  <w:style w:type="character" w:customStyle="1" w:styleId="255">
    <w:name w:val="纯文本 字符1"/>
    <w:qFormat/>
    <w:uiPriority w:val="0"/>
    <w:rPr>
      <w:rFonts w:ascii="宋体" w:hAnsi="Courier New" w:eastAsia="宋体"/>
    </w:rPr>
  </w:style>
  <w:style w:type="character" w:customStyle="1" w:styleId="256">
    <w:name w:val="Char Char17"/>
    <w:qFormat/>
    <w:uiPriority w:val="0"/>
    <w:rPr>
      <w:rFonts w:eastAsia="宋体"/>
      <w:b/>
      <w:kern w:val="2"/>
      <w:sz w:val="24"/>
      <w:lang w:val="en-US" w:eastAsia="zh-CN" w:bidi="ar-SA"/>
    </w:rPr>
  </w:style>
  <w:style w:type="character" w:customStyle="1" w:styleId="257">
    <w:name w:val="普通文字 Char"/>
    <w:qFormat/>
    <w:uiPriority w:val="0"/>
    <w:rPr>
      <w:rFonts w:ascii="宋体" w:hAnsi="Courier New" w:cs="Courier New"/>
      <w:kern w:val="2"/>
      <w:sz w:val="21"/>
      <w:szCs w:val="21"/>
    </w:rPr>
  </w:style>
  <w:style w:type="character" w:customStyle="1" w:styleId="258">
    <w:name w:val="标题 8 字符1"/>
    <w:qFormat/>
    <w:uiPriority w:val="0"/>
    <w:rPr>
      <w:rFonts w:ascii="Times New Roman" w:hAnsi="Times New Roman" w:eastAsia="宋体" w:cs="Times New Roman"/>
      <w:kern w:val="0"/>
      <w:sz w:val="24"/>
      <w:szCs w:val="20"/>
    </w:rPr>
  </w:style>
  <w:style w:type="character" w:customStyle="1" w:styleId="259">
    <w:name w:val="正文文本缩进 3 字符1"/>
    <w:qFormat/>
    <w:locked/>
    <w:uiPriority w:val="0"/>
    <w:rPr>
      <w:sz w:val="16"/>
      <w:szCs w:val="16"/>
    </w:rPr>
  </w:style>
  <w:style w:type="character" w:customStyle="1" w:styleId="260">
    <w:name w:val="正文文本缩进 字符1"/>
    <w:qFormat/>
    <w:uiPriority w:val="0"/>
    <w:rPr>
      <w:rFonts w:eastAsia="仿宋_GB2312"/>
      <w:sz w:val="25"/>
      <w:szCs w:val="24"/>
    </w:rPr>
  </w:style>
  <w:style w:type="character" w:customStyle="1" w:styleId="261">
    <w:name w:val="明显引用 Char"/>
    <w:link w:val="262"/>
    <w:qFormat/>
    <w:uiPriority w:val="0"/>
    <w:rPr>
      <w:b/>
      <w:bCs/>
      <w:i/>
      <w:iCs/>
      <w:color w:val="4F81BD"/>
    </w:rPr>
  </w:style>
  <w:style w:type="paragraph" w:styleId="262">
    <w:name w:val="Intense Quote"/>
    <w:basedOn w:val="1"/>
    <w:next w:val="1"/>
    <w:link w:val="261"/>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63">
    <w:name w:val="明显引用 Char2"/>
    <w:qFormat/>
    <w:uiPriority w:val="99"/>
    <w:rPr>
      <w:rFonts w:ascii="华文楷体" w:hAnsi="华文楷体" w:eastAsia="华文楷体"/>
      <w:b/>
      <w:bCs/>
      <w:i/>
      <w:iCs/>
      <w:snapToGrid/>
      <w:color w:val="4F81BD"/>
      <w:sz w:val="21"/>
      <w:szCs w:val="24"/>
    </w:rPr>
  </w:style>
  <w:style w:type="character" w:customStyle="1" w:styleId="264">
    <w:name w:val="apple-converted-space"/>
    <w:qFormat/>
    <w:uiPriority w:val="0"/>
  </w:style>
  <w:style w:type="character" w:customStyle="1" w:styleId="265">
    <w:name w:val="正文文本 字符"/>
    <w:qFormat/>
    <w:uiPriority w:val="0"/>
    <w:rPr>
      <w:rFonts w:ascii="Times New Roman" w:hAnsi="Times New Roman" w:eastAsia="宋体" w:cs="Times New Roman"/>
      <w:szCs w:val="24"/>
    </w:rPr>
  </w:style>
  <w:style w:type="character" w:customStyle="1" w:styleId="266">
    <w:name w:val="标题 Char2"/>
    <w:qFormat/>
    <w:uiPriority w:val="0"/>
    <w:rPr>
      <w:rFonts w:ascii="Cambria" w:hAnsi="Cambria" w:eastAsia="宋体" w:cs="Times New Roman"/>
      <w:b/>
      <w:bCs/>
      <w:sz w:val="32"/>
      <w:szCs w:val="32"/>
    </w:rPr>
  </w:style>
  <w:style w:type="character" w:customStyle="1" w:styleId="267">
    <w:name w:val="标题 5 字符1"/>
    <w:qFormat/>
    <w:uiPriority w:val="0"/>
    <w:rPr>
      <w:rFonts w:ascii="Times New Roman" w:hAnsi="Times New Roman" w:eastAsia="宋体" w:cs="Times New Roman"/>
      <w:kern w:val="0"/>
      <w:sz w:val="24"/>
      <w:szCs w:val="20"/>
    </w:rPr>
  </w:style>
  <w:style w:type="character" w:customStyle="1" w:styleId="268">
    <w:name w:val="标题 3 字符1"/>
    <w:qFormat/>
    <w:uiPriority w:val="0"/>
    <w:rPr>
      <w:rFonts w:ascii="Times New Roman" w:hAnsi="Times New Roman" w:eastAsia="宋体" w:cs="Times New Roman"/>
      <w:b/>
      <w:bCs/>
      <w:sz w:val="32"/>
      <w:szCs w:val="32"/>
    </w:rPr>
  </w:style>
  <w:style w:type="character" w:customStyle="1" w:styleId="269">
    <w:name w:val="批注主题 Char2"/>
    <w:semiHidden/>
    <w:qFormat/>
    <w:uiPriority w:val="99"/>
    <w:rPr>
      <w:rFonts w:ascii="华文楷体" w:hAnsi="华文楷体" w:eastAsia="华文楷体"/>
      <w:b/>
      <w:bCs/>
      <w:snapToGrid/>
      <w:kern w:val="2"/>
      <w:sz w:val="21"/>
      <w:szCs w:val="24"/>
    </w:rPr>
  </w:style>
  <w:style w:type="character" w:customStyle="1" w:styleId="270">
    <w:name w:val="Char Char6"/>
    <w:qFormat/>
    <w:uiPriority w:val="0"/>
    <w:rPr>
      <w:rFonts w:eastAsia="宋体"/>
      <w:b/>
      <w:bCs/>
      <w:kern w:val="44"/>
      <w:sz w:val="32"/>
      <w:szCs w:val="44"/>
      <w:lang w:val="en-US" w:eastAsia="zh-CN" w:bidi="ar-SA"/>
    </w:rPr>
  </w:style>
  <w:style w:type="character" w:customStyle="1" w:styleId="271">
    <w:name w:val="Char Char172"/>
    <w:qFormat/>
    <w:uiPriority w:val="0"/>
    <w:rPr>
      <w:rFonts w:eastAsia="宋体"/>
      <w:b/>
      <w:kern w:val="2"/>
      <w:sz w:val="24"/>
      <w:lang w:val="en-US" w:eastAsia="zh-CN" w:bidi="ar-SA"/>
    </w:rPr>
  </w:style>
  <w:style w:type="character" w:customStyle="1" w:styleId="272">
    <w:name w:val="签名 Char1"/>
    <w:semiHidden/>
    <w:qFormat/>
    <w:uiPriority w:val="99"/>
    <w:rPr>
      <w:rFonts w:ascii="华文楷体" w:hAnsi="华文楷体" w:eastAsia="华文楷体"/>
      <w:snapToGrid/>
      <w:sz w:val="21"/>
      <w:szCs w:val="24"/>
    </w:rPr>
  </w:style>
  <w:style w:type="character" w:customStyle="1" w:styleId="273">
    <w:name w:val="Char Char Char Char Char Char1"/>
    <w:qFormat/>
    <w:uiPriority w:val="0"/>
    <w:rPr>
      <w:rFonts w:eastAsia="宋体"/>
      <w:kern w:val="2"/>
      <w:sz w:val="21"/>
      <w:szCs w:val="24"/>
      <w:lang w:val="en-US" w:eastAsia="zh-CN" w:bidi="ar-SA"/>
    </w:rPr>
  </w:style>
  <w:style w:type="character" w:customStyle="1" w:styleId="274">
    <w:name w:val="标题4 Char Char"/>
    <w:link w:val="275"/>
    <w:qFormat/>
    <w:uiPriority w:val="0"/>
    <w:rPr>
      <w:rFonts w:ascii="Arial" w:hAnsi="Arial"/>
      <w:b/>
      <w:bCs/>
      <w:sz w:val="24"/>
      <w:szCs w:val="32"/>
    </w:rPr>
  </w:style>
  <w:style w:type="paragraph" w:customStyle="1" w:styleId="275">
    <w:name w:val="标题4"/>
    <w:basedOn w:val="8"/>
    <w:next w:val="46"/>
    <w:link w:val="274"/>
    <w:qFormat/>
    <w:uiPriority w:val="0"/>
    <w:rPr>
      <w:rFonts w:eastAsia="宋体"/>
      <w:kern w:val="0"/>
      <w:sz w:val="24"/>
    </w:rPr>
  </w:style>
  <w:style w:type="character" w:customStyle="1" w:styleId="276">
    <w:name w:val="Heading 3 Char"/>
    <w:qFormat/>
    <w:uiPriority w:val="0"/>
    <w:rPr>
      <w:rFonts w:cs="Times New Roman"/>
      <w:b/>
      <w:bCs/>
      <w:kern w:val="2"/>
      <w:sz w:val="32"/>
      <w:szCs w:val="32"/>
    </w:rPr>
  </w:style>
  <w:style w:type="character" w:customStyle="1" w:styleId="277">
    <w:name w:val="标题 2 字符"/>
    <w:qFormat/>
    <w:uiPriority w:val="0"/>
    <w:rPr>
      <w:rFonts w:ascii="Cambria" w:hAnsi="Cambria" w:eastAsia="宋体" w:cs="Times New Roman"/>
      <w:b/>
      <w:bCs/>
      <w:sz w:val="32"/>
      <w:szCs w:val="32"/>
    </w:rPr>
  </w:style>
  <w:style w:type="character" w:customStyle="1" w:styleId="278">
    <w:name w:val="引用 字符1"/>
    <w:qFormat/>
    <w:uiPriority w:val="29"/>
    <w:rPr>
      <w:i/>
      <w:iCs/>
      <w:color w:val="000000"/>
    </w:rPr>
  </w:style>
  <w:style w:type="character" w:customStyle="1" w:styleId="279">
    <w:name w:val="日期 字符1"/>
    <w:qFormat/>
    <w:uiPriority w:val="0"/>
    <w:rPr>
      <w:rFonts w:eastAsia="宋体"/>
      <w:szCs w:val="24"/>
    </w:rPr>
  </w:style>
  <w:style w:type="character" w:customStyle="1" w:styleId="280">
    <w:name w:val="样式 Char"/>
    <w:link w:val="281"/>
    <w:qFormat/>
    <w:locked/>
    <w:uiPriority w:val="0"/>
    <w:rPr>
      <w:rFonts w:ascii="宋体" w:hAnsi="宋体" w:cs="宋体"/>
      <w:sz w:val="24"/>
      <w:szCs w:val="24"/>
    </w:rPr>
  </w:style>
  <w:style w:type="paragraph" w:customStyle="1" w:styleId="281">
    <w:name w:val="样式"/>
    <w:link w:val="280"/>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82">
    <w:name w:val="Heading 3 Char1"/>
    <w:qFormat/>
    <w:uiPriority w:val="0"/>
    <w:rPr>
      <w:rFonts w:eastAsia="宋体"/>
      <w:b/>
      <w:bCs/>
      <w:kern w:val="2"/>
      <w:sz w:val="24"/>
      <w:szCs w:val="32"/>
      <w:lang w:val="en-US" w:eastAsia="zh-CN" w:bidi="ar-SA"/>
    </w:rPr>
  </w:style>
  <w:style w:type="character" w:customStyle="1" w:styleId="283">
    <w:name w:val="样式 标题 3h3section:3Level 3 HeadH3level_3PIM 33rd level3H... Char Char"/>
    <w:link w:val="284"/>
    <w:qFormat/>
    <w:uiPriority w:val="0"/>
    <w:rPr>
      <w:rFonts w:ascii="Arial" w:hAnsi="Arial"/>
      <w:b/>
      <w:sz w:val="24"/>
      <w:szCs w:val="28"/>
    </w:rPr>
  </w:style>
  <w:style w:type="paragraph" w:customStyle="1" w:styleId="284">
    <w:name w:val="样式 标题 3h3section:3Level 3 HeadH3level_3PIM 33rd level3H..."/>
    <w:basedOn w:val="9"/>
    <w:link w:val="283"/>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5">
    <w:name w:val="标题 2 Char1"/>
    <w:qFormat/>
    <w:uiPriority w:val="0"/>
    <w:rPr>
      <w:rFonts w:ascii="Arial" w:hAnsi="Arial" w:eastAsia="黑体" w:cs="Calibri"/>
      <w:b/>
      <w:kern w:val="0"/>
      <w:sz w:val="32"/>
      <w:szCs w:val="20"/>
    </w:rPr>
  </w:style>
  <w:style w:type="character" w:customStyle="1" w:styleId="286">
    <w:name w:val="Heading 5 Char"/>
    <w:qFormat/>
    <w:uiPriority w:val="0"/>
    <w:rPr>
      <w:rFonts w:eastAsia="宋体"/>
      <w:b/>
      <w:bCs/>
      <w:kern w:val="2"/>
      <w:sz w:val="28"/>
      <w:szCs w:val="28"/>
      <w:lang w:val="en-US" w:eastAsia="zh-CN" w:bidi="ar-SA"/>
    </w:rPr>
  </w:style>
  <w:style w:type="character" w:customStyle="1" w:styleId="287">
    <w:name w:val="页码1"/>
    <w:qFormat/>
    <w:uiPriority w:val="0"/>
  </w:style>
  <w:style w:type="character" w:customStyle="1" w:styleId="288">
    <w:name w:val="正文文本 2 字符1"/>
    <w:qFormat/>
    <w:uiPriority w:val="0"/>
    <w:rPr>
      <w:kern w:val="2"/>
      <w:sz w:val="24"/>
    </w:rPr>
  </w:style>
  <w:style w:type="character" w:customStyle="1" w:styleId="289">
    <w:name w:val="Char Char4"/>
    <w:qFormat/>
    <w:locked/>
    <w:uiPriority w:val="0"/>
    <w:rPr>
      <w:rFonts w:ascii="Cambria" w:hAnsi="Cambria" w:eastAsia="宋体"/>
      <w:b/>
      <w:bCs/>
      <w:kern w:val="2"/>
      <w:sz w:val="32"/>
      <w:szCs w:val="32"/>
      <w:lang w:val="en-US" w:eastAsia="zh-CN" w:bidi="ar-SA"/>
    </w:rPr>
  </w:style>
  <w:style w:type="character" w:customStyle="1" w:styleId="290">
    <w:name w:val="Comment Text Char"/>
    <w:qFormat/>
    <w:uiPriority w:val="0"/>
    <w:rPr>
      <w:rFonts w:cs="Times New Roman"/>
      <w:sz w:val="24"/>
      <w:szCs w:val="24"/>
    </w:rPr>
  </w:style>
  <w:style w:type="character" w:customStyle="1" w:styleId="291">
    <w:name w:val="Char Char8"/>
    <w:qFormat/>
    <w:locked/>
    <w:uiPriority w:val="0"/>
    <w:rPr>
      <w:rFonts w:ascii="宋体" w:hAnsi="宋体" w:eastAsia="宋体"/>
      <w:kern w:val="2"/>
      <w:sz w:val="18"/>
      <w:szCs w:val="24"/>
      <w:lang w:val="en-US" w:eastAsia="zh-CN" w:bidi="ar-SA"/>
    </w:rPr>
  </w:style>
  <w:style w:type="character" w:customStyle="1" w:styleId="292">
    <w:name w:val="文档结构图 Char2"/>
    <w:semiHidden/>
    <w:qFormat/>
    <w:uiPriority w:val="99"/>
    <w:rPr>
      <w:rFonts w:ascii="宋体" w:hAnsi="华文楷体"/>
      <w:snapToGrid/>
      <w:sz w:val="18"/>
      <w:szCs w:val="18"/>
    </w:rPr>
  </w:style>
  <w:style w:type="character" w:customStyle="1" w:styleId="293">
    <w:name w:val="称呼 字符1"/>
    <w:qFormat/>
    <w:uiPriority w:val="0"/>
    <w:rPr>
      <w:sz w:val="30"/>
    </w:rPr>
  </w:style>
  <w:style w:type="character" w:customStyle="1" w:styleId="294">
    <w:name w:val="Document Map Char"/>
    <w:qFormat/>
    <w:uiPriority w:val="0"/>
    <w:rPr>
      <w:rFonts w:eastAsia="宋体"/>
      <w:kern w:val="2"/>
      <w:sz w:val="21"/>
      <w:szCs w:val="24"/>
      <w:lang w:val="en-US" w:eastAsia="zh-CN" w:bidi="ar-SA"/>
    </w:rPr>
  </w:style>
  <w:style w:type="character" w:customStyle="1" w:styleId="295">
    <w:name w:val="Char Char10"/>
    <w:qFormat/>
    <w:locked/>
    <w:uiPriority w:val="0"/>
    <w:rPr>
      <w:rFonts w:eastAsia="宋体"/>
      <w:sz w:val="24"/>
      <w:lang w:val="en-US" w:eastAsia="zh-CN" w:bidi="ar-SA"/>
    </w:rPr>
  </w:style>
  <w:style w:type="character" w:customStyle="1" w:styleId="296">
    <w:name w:val="Char Char14"/>
    <w:qFormat/>
    <w:uiPriority w:val="0"/>
    <w:rPr>
      <w:rFonts w:eastAsia="宋体"/>
      <w:kern w:val="2"/>
      <w:sz w:val="21"/>
      <w:szCs w:val="24"/>
      <w:lang w:val="en-US" w:eastAsia="zh-CN" w:bidi="ar-SA"/>
    </w:rPr>
  </w:style>
  <w:style w:type="character" w:customStyle="1" w:styleId="297">
    <w:name w:val="Header Char"/>
    <w:qFormat/>
    <w:uiPriority w:val="0"/>
    <w:rPr>
      <w:rFonts w:eastAsia="宋体"/>
      <w:kern w:val="2"/>
      <w:sz w:val="18"/>
      <w:szCs w:val="18"/>
      <w:lang w:val="en-US" w:eastAsia="zh-CN" w:bidi="ar-SA"/>
    </w:rPr>
  </w:style>
  <w:style w:type="character" w:customStyle="1" w:styleId="298">
    <w:name w:val="标题 字符1"/>
    <w:qFormat/>
    <w:uiPriority w:val="0"/>
    <w:rPr>
      <w:rFonts w:ascii="Cambria" w:hAnsi="Cambria"/>
      <w:b/>
      <w:bCs/>
      <w:sz w:val="32"/>
      <w:szCs w:val="32"/>
    </w:rPr>
  </w:style>
  <w:style w:type="character" w:customStyle="1" w:styleId="299">
    <w:name w:val="明显参考1"/>
    <w:qFormat/>
    <w:uiPriority w:val="0"/>
    <w:rPr>
      <w:b/>
      <w:bCs/>
      <w:smallCaps/>
      <w:color w:val="C0504D"/>
      <w:spacing w:val="5"/>
      <w:u w:val="single"/>
    </w:rPr>
  </w:style>
  <w:style w:type="character" w:customStyle="1" w:styleId="300">
    <w:name w:val="标题 1 字符"/>
    <w:qFormat/>
    <w:uiPriority w:val="0"/>
    <w:rPr>
      <w:rFonts w:ascii="Times New Roman" w:hAnsi="Times New Roman" w:eastAsia="宋体" w:cs="Times New Roman"/>
      <w:b/>
      <w:bCs/>
      <w:kern w:val="44"/>
      <w:sz w:val="44"/>
      <w:szCs w:val="44"/>
    </w:rPr>
  </w:style>
  <w:style w:type="character" w:customStyle="1" w:styleId="301">
    <w:name w:val="Char Char161"/>
    <w:qFormat/>
    <w:locked/>
    <w:uiPriority w:val="0"/>
    <w:rPr>
      <w:rFonts w:ascii="Arial" w:hAnsi="Arial" w:eastAsia="黑体"/>
      <w:kern w:val="2"/>
      <w:sz w:val="24"/>
      <w:lang w:val="en-US" w:eastAsia="zh-CN" w:bidi="ar-SA"/>
    </w:rPr>
  </w:style>
  <w:style w:type="character" w:customStyle="1" w:styleId="302">
    <w:name w:val="Char Char15"/>
    <w:qFormat/>
    <w:locked/>
    <w:uiPriority w:val="0"/>
    <w:rPr>
      <w:rFonts w:ascii="Arial" w:hAnsi="Arial" w:eastAsia="黑体"/>
      <w:kern w:val="2"/>
      <w:sz w:val="21"/>
      <w:lang w:val="en-US" w:eastAsia="zh-CN" w:bidi="ar-SA"/>
    </w:rPr>
  </w:style>
  <w:style w:type="character" w:customStyle="1" w:styleId="303">
    <w:name w:val="文档结构图 字符"/>
    <w:qFormat/>
    <w:uiPriority w:val="0"/>
    <w:rPr>
      <w:rFonts w:ascii="宋体" w:hAnsi="Times New Roman" w:eastAsia="宋体" w:cs="Times New Roman"/>
      <w:sz w:val="18"/>
      <w:szCs w:val="18"/>
    </w:rPr>
  </w:style>
  <w:style w:type="character" w:customStyle="1" w:styleId="304">
    <w:name w:val="Body Text Indent 2 Char"/>
    <w:qFormat/>
    <w:uiPriority w:val="0"/>
    <w:rPr>
      <w:rFonts w:eastAsia="宋体"/>
      <w:kern w:val="2"/>
      <w:sz w:val="21"/>
      <w:szCs w:val="24"/>
      <w:lang w:val="en-US" w:eastAsia="zh-CN" w:bidi="ar-SA"/>
    </w:rPr>
  </w:style>
  <w:style w:type="character" w:customStyle="1" w:styleId="305">
    <w:name w:val="批注框文本 Char1"/>
    <w:qFormat/>
    <w:uiPriority w:val="99"/>
    <w:rPr>
      <w:rFonts w:ascii="Times New Roman" w:hAnsi="Times New Roman" w:eastAsia="宋体" w:cs="Times New Roman"/>
      <w:sz w:val="18"/>
      <w:szCs w:val="18"/>
    </w:rPr>
  </w:style>
  <w:style w:type="character" w:customStyle="1" w:styleId="306">
    <w:name w:val="Char Char12"/>
    <w:qFormat/>
    <w:uiPriority w:val="0"/>
    <w:rPr>
      <w:rFonts w:eastAsia="仿宋_GB2312"/>
      <w:kern w:val="2"/>
      <w:sz w:val="23"/>
      <w:szCs w:val="24"/>
      <w:lang w:val="en-US" w:eastAsia="zh-CN" w:bidi="ar-SA"/>
    </w:rPr>
  </w:style>
  <w:style w:type="character" w:customStyle="1" w:styleId="307">
    <w:name w:val="tt21"/>
    <w:qFormat/>
    <w:uiPriority w:val="0"/>
    <w:rPr>
      <w:rFonts w:ascii="宋体" w:hAnsi="宋体"/>
      <w:b/>
      <w:bCs/>
      <w:sz w:val="32"/>
      <w:szCs w:val="18"/>
    </w:rPr>
  </w:style>
  <w:style w:type="character" w:customStyle="1" w:styleId="308">
    <w:name w:val="结束语 Char1"/>
    <w:semiHidden/>
    <w:qFormat/>
    <w:uiPriority w:val="99"/>
    <w:rPr>
      <w:rFonts w:ascii="华文楷体" w:hAnsi="华文楷体" w:eastAsia="华文楷体"/>
      <w:snapToGrid/>
      <w:sz w:val="21"/>
      <w:szCs w:val="24"/>
    </w:rPr>
  </w:style>
  <w:style w:type="character" w:customStyle="1" w:styleId="309">
    <w:name w:val="标题 9 字符1"/>
    <w:qFormat/>
    <w:uiPriority w:val="0"/>
    <w:rPr>
      <w:rFonts w:ascii="Times New Roman" w:hAnsi="Times New Roman" w:eastAsia="宋体" w:cs="Times New Roman"/>
      <w:kern w:val="0"/>
      <w:sz w:val="24"/>
      <w:szCs w:val="20"/>
    </w:rPr>
  </w:style>
  <w:style w:type="character" w:customStyle="1" w:styleId="310">
    <w:name w:val="Char Char211"/>
    <w:qFormat/>
    <w:uiPriority w:val="0"/>
    <w:rPr>
      <w:rFonts w:eastAsia="宋体"/>
      <w:b/>
      <w:bCs/>
      <w:kern w:val="2"/>
      <w:sz w:val="32"/>
      <w:szCs w:val="32"/>
      <w:lang w:val="en-US" w:eastAsia="zh-CN" w:bidi="ar-SA"/>
    </w:rPr>
  </w:style>
  <w:style w:type="character" w:customStyle="1" w:styleId="311">
    <w:name w:val="正文文本缩进 2 字符"/>
    <w:qFormat/>
    <w:uiPriority w:val="0"/>
    <w:rPr>
      <w:rFonts w:ascii="Times New Roman" w:hAnsi="Times New Roman" w:eastAsia="仿宋_GB2312" w:cs="Times New Roman"/>
      <w:sz w:val="25"/>
      <w:szCs w:val="24"/>
    </w:rPr>
  </w:style>
  <w:style w:type="character" w:customStyle="1" w:styleId="312">
    <w:name w:val="Char Char41"/>
    <w:qFormat/>
    <w:uiPriority w:val="0"/>
    <w:rPr>
      <w:rFonts w:eastAsia="宋体"/>
      <w:kern w:val="2"/>
      <w:sz w:val="18"/>
      <w:szCs w:val="24"/>
      <w:lang w:val="en-US" w:eastAsia="zh-CN" w:bidi="ar-SA"/>
    </w:rPr>
  </w:style>
  <w:style w:type="character" w:customStyle="1" w:styleId="313">
    <w:name w:val="Char Char20"/>
    <w:qFormat/>
    <w:uiPriority w:val="0"/>
    <w:rPr>
      <w:rFonts w:ascii="Times New Roman" w:hAnsi="Times New Roman" w:eastAsia="宋体" w:cs="Times New Roman"/>
      <w:b/>
      <w:bCs/>
      <w:sz w:val="24"/>
      <w:szCs w:val="32"/>
    </w:rPr>
  </w:style>
  <w:style w:type="character" w:customStyle="1" w:styleId="314">
    <w:name w:val="标题 7 字符"/>
    <w:qFormat/>
    <w:uiPriority w:val="0"/>
    <w:rPr>
      <w:rFonts w:ascii="Times New Roman" w:hAnsi="Times New Roman" w:eastAsia="宋体" w:cs="Times New Roman"/>
      <w:b/>
      <w:bCs/>
      <w:sz w:val="24"/>
      <w:szCs w:val="24"/>
    </w:rPr>
  </w:style>
  <w:style w:type="character" w:customStyle="1" w:styleId="315">
    <w:name w:val="标题 8 字符"/>
    <w:qFormat/>
    <w:uiPriority w:val="0"/>
    <w:rPr>
      <w:rFonts w:ascii="Cambria" w:hAnsi="Cambria" w:eastAsia="宋体" w:cs="Times New Roman"/>
      <w:sz w:val="24"/>
      <w:szCs w:val="24"/>
    </w:rPr>
  </w:style>
  <w:style w:type="character" w:customStyle="1" w:styleId="316">
    <w:name w:val="正文文本 2 Char1"/>
    <w:semiHidden/>
    <w:qFormat/>
    <w:uiPriority w:val="99"/>
    <w:rPr>
      <w:rFonts w:ascii="华文楷体" w:hAnsi="华文楷体" w:eastAsia="华文楷体"/>
      <w:snapToGrid/>
      <w:sz w:val="21"/>
      <w:szCs w:val="24"/>
    </w:rPr>
  </w:style>
  <w:style w:type="character" w:customStyle="1" w:styleId="317">
    <w:name w:val="Char Char81"/>
    <w:qFormat/>
    <w:locked/>
    <w:uiPriority w:val="0"/>
    <w:rPr>
      <w:rFonts w:ascii="楷体_GB2312" w:eastAsia="楷体_GB2312"/>
      <w:b/>
      <w:spacing w:val="-24"/>
      <w:sz w:val="28"/>
      <w:lang w:val="en-US" w:eastAsia="zh-CN" w:bidi="ar-SA"/>
    </w:rPr>
  </w:style>
  <w:style w:type="character" w:customStyle="1" w:styleId="318">
    <w:name w:val="Variable"/>
    <w:qFormat/>
    <w:uiPriority w:val="0"/>
    <w:rPr>
      <w:i/>
    </w:rPr>
  </w:style>
  <w:style w:type="character" w:customStyle="1" w:styleId="319">
    <w:name w:val="Char Char110"/>
    <w:qFormat/>
    <w:uiPriority w:val="0"/>
    <w:rPr>
      <w:sz w:val="24"/>
      <w:szCs w:val="24"/>
    </w:rPr>
  </w:style>
  <w:style w:type="character" w:customStyle="1" w:styleId="320">
    <w:name w:val="纯文本 字符"/>
    <w:qFormat/>
    <w:uiPriority w:val="0"/>
    <w:rPr>
      <w:rFonts w:ascii="宋体" w:hAnsi="Courier New" w:cs="Courier New"/>
      <w:szCs w:val="24"/>
    </w:rPr>
  </w:style>
  <w:style w:type="character" w:customStyle="1" w:styleId="321">
    <w:name w:val="页眉 Char Char"/>
    <w:qFormat/>
    <w:uiPriority w:val="0"/>
    <w:rPr>
      <w:rFonts w:eastAsia="宋体"/>
      <w:kern w:val="2"/>
      <w:sz w:val="18"/>
      <w:szCs w:val="18"/>
      <w:lang w:val="en-US" w:eastAsia="zh-CN" w:bidi="ar-SA"/>
    </w:rPr>
  </w:style>
  <w:style w:type="character" w:customStyle="1" w:styleId="322">
    <w:name w:val="Char Char191"/>
    <w:qFormat/>
    <w:locked/>
    <w:uiPriority w:val="0"/>
    <w:rPr>
      <w:rFonts w:eastAsia="宋体"/>
      <w:kern w:val="2"/>
      <w:sz w:val="28"/>
      <w:lang w:val="en-US" w:eastAsia="zh-CN" w:bidi="ar-SA"/>
    </w:rPr>
  </w:style>
  <w:style w:type="character" w:customStyle="1" w:styleId="323">
    <w:name w:val="Balloon Text Char"/>
    <w:qFormat/>
    <w:uiPriority w:val="0"/>
    <w:rPr>
      <w:sz w:val="18"/>
      <w:lang w:bidi="ar-SA"/>
    </w:rPr>
  </w:style>
  <w:style w:type="character" w:customStyle="1" w:styleId="324">
    <w:name w:val="标题 2 字符1"/>
    <w:qFormat/>
    <w:uiPriority w:val="0"/>
    <w:rPr>
      <w:rFonts w:ascii="Arial" w:hAnsi="Arial" w:eastAsia="黑体" w:cs="Times New Roman"/>
      <w:b/>
      <w:bCs/>
      <w:sz w:val="32"/>
      <w:szCs w:val="32"/>
    </w:rPr>
  </w:style>
  <w:style w:type="character" w:customStyle="1" w:styleId="325">
    <w:name w:val="信息标题 Char1"/>
    <w:semiHidden/>
    <w:qFormat/>
    <w:uiPriority w:val="99"/>
    <w:rPr>
      <w:rFonts w:ascii="Cambria" w:hAnsi="Cambria" w:eastAsia="宋体" w:cs="Times New Roman"/>
      <w:snapToGrid/>
      <w:sz w:val="24"/>
      <w:szCs w:val="24"/>
      <w:shd w:val="pct20" w:color="auto" w:fill="auto"/>
    </w:rPr>
  </w:style>
  <w:style w:type="character" w:customStyle="1" w:styleId="326">
    <w:name w:val="_Style 317"/>
    <w:qFormat/>
    <w:uiPriority w:val="0"/>
    <w:rPr>
      <w:smallCaps/>
      <w:color w:val="C0504D"/>
      <w:u w:val="single"/>
    </w:rPr>
  </w:style>
  <w:style w:type="character" w:customStyle="1" w:styleId="327">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8">
    <w:name w:val="尾注文本 Char1"/>
    <w:semiHidden/>
    <w:qFormat/>
    <w:uiPriority w:val="99"/>
    <w:rPr>
      <w:rFonts w:ascii="华文楷体" w:hAnsi="华文楷体" w:eastAsia="华文楷体"/>
      <w:snapToGrid/>
      <w:sz w:val="21"/>
      <w:szCs w:val="24"/>
    </w:rPr>
  </w:style>
  <w:style w:type="character" w:customStyle="1" w:styleId="329">
    <w:name w:val="标题 1 字符1"/>
    <w:qFormat/>
    <w:uiPriority w:val="0"/>
    <w:rPr>
      <w:rFonts w:ascii="Times New Roman" w:hAnsi="Times New Roman" w:eastAsia="宋体" w:cs="Times New Roman"/>
      <w:b/>
      <w:bCs/>
      <w:kern w:val="44"/>
      <w:sz w:val="44"/>
      <w:szCs w:val="44"/>
    </w:rPr>
  </w:style>
  <w:style w:type="character" w:customStyle="1" w:styleId="330">
    <w:name w:val="Char Char16"/>
    <w:qFormat/>
    <w:locked/>
    <w:uiPriority w:val="0"/>
    <w:rPr>
      <w:rFonts w:ascii="Arial" w:hAnsi="Arial" w:eastAsia="黑体"/>
      <w:kern w:val="2"/>
      <w:sz w:val="24"/>
      <w:lang w:val="en-US" w:eastAsia="zh-CN" w:bidi="ar-SA"/>
    </w:rPr>
  </w:style>
  <w:style w:type="character" w:customStyle="1" w:styleId="331">
    <w:name w:val="注释标题 Char1"/>
    <w:semiHidden/>
    <w:qFormat/>
    <w:uiPriority w:val="99"/>
    <w:rPr>
      <w:rFonts w:ascii="华文楷体" w:hAnsi="华文楷体" w:eastAsia="华文楷体"/>
      <w:snapToGrid/>
      <w:sz w:val="21"/>
      <w:szCs w:val="24"/>
    </w:rPr>
  </w:style>
  <w:style w:type="character" w:customStyle="1" w:styleId="332">
    <w:name w:val="页脚 字符"/>
    <w:qFormat/>
    <w:uiPriority w:val="99"/>
    <w:rPr>
      <w:sz w:val="18"/>
      <w:szCs w:val="18"/>
    </w:rPr>
  </w:style>
  <w:style w:type="character" w:customStyle="1" w:styleId="333">
    <w:name w:val="Char Char19"/>
    <w:qFormat/>
    <w:uiPriority w:val="0"/>
    <w:rPr>
      <w:rFonts w:ascii="Arial" w:hAnsi="Arial" w:eastAsia="宋体" w:cs="Times New Roman"/>
      <w:b/>
      <w:bCs/>
      <w:szCs w:val="28"/>
    </w:rPr>
  </w:style>
  <w:style w:type="character" w:customStyle="1" w:styleId="334">
    <w:name w:val="Comment Subject Char"/>
    <w:qFormat/>
    <w:uiPriority w:val="0"/>
    <w:rPr>
      <w:b/>
      <w:sz w:val="24"/>
      <w:lang w:bidi="ar-SA"/>
    </w:rPr>
  </w:style>
  <w:style w:type="character" w:customStyle="1" w:styleId="335">
    <w:name w:val="_Style 326"/>
    <w:qFormat/>
    <w:uiPriority w:val="0"/>
    <w:rPr>
      <w:b/>
      <w:bCs/>
      <w:smallCaps/>
      <w:spacing w:val="5"/>
    </w:rPr>
  </w:style>
  <w:style w:type="character" w:customStyle="1" w:styleId="336">
    <w:name w:val="H1 Char"/>
    <w:qFormat/>
    <w:locked/>
    <w:uiPriority w:val="0"/>
    <w:rPr>
      <w:rFonts w:eastAsia="宋体"/>
      <w:b/>
      <w:bCs/>
      <w:kern w:val="44"/>
      <w:sz w:val="44"/>
      <w:szCs w:val="44"/>
      <w:lang w:val="en-US" w:eastAsia="zh-CN" w:bidi="ar-SA"/>
    </w:rPr>
  </w:style>
  <w:style w:type="character" w:customStyle="1" w:styleId="337">
    <w:name w:val="Char Char18"/>
    <w:qFormat/>
    <w:uiPriority w:val="0"/>
    <w:rPr>
      <w:rFonts w:ascii="Times New Roman" w:hAnsi="Times New Roman" w:eastAsia="宋体" w:cs="Times New Roman"/>
      <w:b/>
      <w:bCs/>
      <w:sz w:val="28"/>
      <w:szCs w:val="28"/>
    </w:rPr>
  </w:style>
  <w:style w:type="character" w:customStyle="1" w:styleId="338">
    <w:name w:val="Char Char101"/>
    <w:qFormat/>
    <w:locked/>
    <w:uiPriority w:val="0"/>
    <w:rPr>
      <w:rFonts w:eastAsia="宋体"/>
      <w:kern w:val="2"/>
      <w:sz w:val="18"/>
      <w:szCs w:val="18"/>
      <w:lang w:val="en-US" w:eastAsia="zh-CN" w:bidi="ar-SA"/>
    </w:rPr>
  </w:style>
  <w:style w:type="character" w:customStyle="1" w:styleId="339">
    <w:name w:val="Body Text Indent Char"/>
    <w:qFormat/>
    <w:uiPriority w:val="0"/>
    <w:rPr>
      <w:rFonts w:ascii="宋体" w:hAnsi="宋体" w:eastAsia="宋体"/>
      <w:kern w:val="2"/>
      <w:sz w:val="21"/>
      <w:lang w:val="en-US" w:eastAsia="zh-CN" w:bidi="ar-SA"/>
    </w:rPr>
  </w:style>
  <w:style w:type="character" w:customStyle="1" w:styleId="340">
    <w:name w:val="Footnote Text Char"/>
    <w:qFormat/>
    <w:uiPriority w:val="0"/>
    <w:rPr>
      <w:rFonts w:eastAsia="宋体"/>
      <w:sz w:val="18"/>
      <w:lang w:val="en-US" w:eastAsia="zh-CN" w:bidi="ar-SA"/>
    </w:rPr>
  </w:style>
  <w:style w:type="character" w:customStyle="1" w:styleId="341">
    <w:name w:val="Char Char23"/>
    <w:qFormat/>
    <w:uiPriority w:val="0"/>
    <w:rPr>
      <w:rFonts w:eastAsia="宋体"/>
      <w:b/>
      <w:bCs/>
      <w:kern w:val="44"/>
      <w:sz w:val="32"/>
      <w:szCs w:val="44"/>
      <w:lang w:val="en-US" w:eastAsia="zh-CN" w:bidi="ar-SA"/>
    </w:rPr>
  </w:style>
  <w:style w:type="character" w:customStyle="1" w:styleId="342">
    <w:name w:val="Char Char171"/>
    <w:qFormat/>
    <w:uiPriority w:val="0"/>
    <w:rPr>
      <w:rFonts w:eastAsia="仿宋_GB2312"/>
      <w:kern w:val="2"/>
      <w:sz w:val="23"/>
      <w:szCs w:val="24"/>
    </w:rPr>
  </w:style>
  <w:style w:type="character" w:customStyle="1" w:styleId="343">
    <w:name w:val="Char Char181"/>
    <w:qFormat/>
    <w:uiPriority w:val="0"/>
    <w:rPr>
      <w:b/>
      <w:bCs/>
      <w:kern w:val="44"/>
      <w:sz w:val="44"/>
      <w:szCs w:val="44"/>
    </w:rPr>
  </w:style>
  <w:style w:type="character" w:customStyle="1" w:styleId="344">
    <w:name w:val="Comment Text Char1"/>
    <w:qFormat/>
    <w:uiPriority w:val="0"/>
    <w:rPr>
      <w:sz w:val="24"/>
      <w:lang w:bidi="ar-SA"/>
    </w:rPr>
  </w:style>
  <w:style w:type="character" w:customStyle="1" w:styleId="345">
    <w:name w:val="超链接_0"/>
    <w:qFormat/>
    <w:uiPriority w:val="99"/>
    <w:rPr>
      <w:rFonts w:ascii="Calibri" w:hAnsi="Calibri" w:cs="Times New Roman"/>
      <w:color w:val="0000FF"/>
      <w:u w:val="single"/>
    </w:rPr>
  </w:style>
  <w:style w:type="character" w:customStyle="1" w:styleId="346">
    <w:name w:val="Title Char"/>
    <w:qFormat/>
    <w:uiPriority w:val="0"/>
    <w:rPr>
      <w:rFonts w:ascii="Cambria" w:hAnsi="Cambria"/>
      <w:b/>
      <w:sz w:val="32"/>
      <w:lang w:bidi="ar-SA"/>
    </w:rPr>
  </w:style>
  <w:style w:type="character" w:customStyle="1" w:styleId="347">
    <w:name w:val="Char Char2"/>
    <w:qFormat/>
    <w:locked/>
    <w:uiPriority w:val="0"/>
    <w:rPr>
      <w:rFonts w:ascii="仿宋_GB2312" w:eastAsia="仿宋_GB2312"/>
      <w:kern w:val="2"/>
      <w:sz w:val="23"/>
      <w:szCs w:val="24"/>
      <w:lang w:val="en-US" w:eastAsia="zh-CN" w:bidi="ar-SA"/>
    </w:rPr>
  </w:style>
  <w:style w:type="character" w:customStyle="1" w:styleId="348">
    <w:name w:val="称呼 Char1"/>
    <w:semiHidden/>
    <w:qFormat/>
    <w:uiPriority w:val="99"/>
    <w:rPr>
      <w:rFonts w:ascii="华文楷体" w:hAnsi="华文楷体" w:eastAsia="华文楷体"/>
      <w:snapToGrid/>
      <w:sz w:val="21"/>
      <w:szCs w:val="24"/>
    </w:rPr>
  </w:style>
  <w:style w:type="character" w:customStyle="1" w:styleId="349">
    <w:name w:val="Char Char91"/>
    <w:qFormat/>
    <w:uiPriority w:val="0"/>
    <w:rPr>
      <w:rFonts w:eastAsia="宋体"/>
      <w:b/>
      <w:bCs/>
      <w:kern w:val="44"/>
      <w:sz w:val="32"/>
      <w:szCs w:val="44"/>
      <w:lang w:val="en-US" w:eastAsia="zh-CN" w:bidi="ar-SA"/>
    </w:rPr>
  </w:style>
  <w:style w:type="character" w:customStyle="1" w:styleId="350">
    <w:name w:val="批注框文本 字符"/>
    <w:qFormat/>
    <w:uiPriority w:val="0"/>
    <w:rPr>
      <w:rFonts w:ascii="Times New Roman" w:hAnsi="Times New Roman" w:eastAsia="宋体" w:cs="Times New Roman"/>
      <w:sz w:val="18"/>
      <w:szCs w:val="18"/>
    </w:rPr>
  </w:style>
  <w:style w:type="character" w:customStyle="1" w:styleId="351">
    <w:name w:val="批注文字 Char1"/>
    <w:qFormat/>
    <w:uiPriority w:val="99"/>
    <w:rPr>
      <w:rFonts w:ascii="Times New Roman" w:hAnsi="Times New Roman" w:eastAsia="宋体" w:cs="Times New Roman"/>
      <w:szCs w:val="24"/>
    </w:rPr>
  </w:style>
  <w:style w:type="character" w:customStyle="1" w:styleId="352">
    <w:name w:val="Heading 1 Char"/>
    <w:qFormat/>
    <w:uiPriority w:val="0"/>
    <w:rPr>
      <w:rFonts w:eastAsia="宋体"/>
      <w:b/>
      <w:bCs/>
      <w:kern w:val="44"/>
      <w:sz w:val="32"/>
      <w:szCs w:val="44"/>
      <w:lang w:val="en-US" w:eastAsia="zh-CN" w:bidi="ar-SA"/>
    </w:rPr>
  </w:style>
  <w:style w:type="character" w:customStyle="1" w:styleId="353">
    <w:name w:val="Char Char24"/>
    <w:qFormat/>
    <w:uiPriority w:val="0"/>
    <w:rPr>
      <w:rFonts w:eastAsia="宋体"/>
      <w:b/>
      <w:bCs/>
      <w:kern w:val="44"/>
      <w:sz w:val="32"/>
      <w:szCs w:val="44"/>
      <w:lang w:val="en-US" w:eastAsia="zh-CN" w:bidi="ar-SA"/>
    </w:rPr>
  </w:style>
  <w:style w:type="character" w:customStyle="1" w:styleId="354">
    <w:name w:val="level1"/>
    <w:qFormat/>
    <w:uiPriority w:val="0"/>
  </w:style>
  <w:style w:type="character" w:customStyle="1" w:styleId="355">
    <w:name w:val="正文文本缩进 字符"/>
    <w:qFormat/>
    <w:uiPriority w:val="0"/>
    <w:rPr>
      <w:rFonts w:ascii="Times New Roman" w:hAnsi="Times New Roman" w:eastAsia="宋体" w:cs="Times New Roman"/>
      <w:szCs w:val="24"/>
    </w:rPr>
  </w:style>
  <w:style w:type="character" w:customStyle="1" w:styleId="356">
    <w:name w:val="脚注文本 Char1"/>
    <w:qFormat/>
    <w:uiPriority w:val="0"/>
    <w:rPr>
      <w:rFonts w:ascii="华文楷体" w:hAnsi="华文楷体" w:eastAsia="华文楷体"/>
      <w:snapToGrid/>
      <w:sz w:val="18"/>
      <w:szCs w:val="18"/>
    </w:rPr>
  </w:style>
  <w:style w:type="character" w:customStyle="1" w:styleId="357">
    <w:name w:val="标题 6 字符1"/>
    <w:qFormat/>
    <w:uiPriority w:val="0"/>
    <w:rPr>
      <w:rFonts w:ascii="Times New Roman" w:hAnsi="Times New Roman" w:eastAsia="宋体" w:cs="Times New Roman"/>
      <w:kern w:val="0"/>
      <w:sz w:val="24"/>
      <w:szCs w:val="20"/>
    </w:rPr>
  </w:style>
  <w:style w:type="character" w:customStyle="1" w:styleId="358">
    <w:name w:val="页眉 字符"/>
    <w:qFormat/>
    <w:uiPriority w:val="99"/>
    <w:rPr>
      <w:sz w:val="18"/>
      <w:szCs w:val="18"/>
    </w:rPr>
  </w:style>
  <w:style w:type="character" w:customStyle="1" w:styleId="359">
    <w:name w:val="Char Char31"/>
    <w:qFormat/>
    <w:uiPriority w:val="0"/>
    <w:rPr>
      <w:kern w:val="2"/>
      <w:sz w:val="18"/>
      <w:szCs w:val="18"/>
    </w:rPr>
  </w:style>
  <w:style w:type="character" w:customStyle="1" w:styleId="360">
    <w:name w:val="日期 字符"/>
    <w:qFormat/>
    <w:uiPriority w:val="0"/>
    <w:rPr>
      <w:rFonts w:ascii="Times New Roman" w:hAnsi="Times New Roman" w:eastAsia="宋体" w:cs="Times New Roman"/>
      <w:szCs w:val="24"/>
    </w:rPr>
  </w:style>
  <w:style w:type="character" w:customStyle="1" w:styleId="361">
    <w:name w:val="Char Char21"/>
    <w:qFormat/>
    <w:uiPriority w:val="0"/>
    <w:rPr>
      <w:rFonts w:ascii="Arial" w:hAnsi="Arial" w:eastAsia="黑体" w:cs="Times New Roman"/>
      <w:b/>
      <w:bCs/>
      <w:sz w:val="32"/>
      <w:szCs w:val="32"/>
    </w:rPr>
  </w:style>
  <w:style w:type="character" w:customStyle="1" w:styleId="362">
    <w:name w:val="标题 5 字符"/>
    <w:qFormat/>
    <w:uiPriority w:val="0"/>
    <w:rPr>
      <w:rFonts w:ascii="Times New Roman" w:hAnsi="Times New Roman" w:eastAsia="宋体" w:cs="Times New Roman"/>
      <w:b/>
      <w:bCs/>
      <w:sz w:val="28"/>
      <w:szCs w:val="28"/>
    </w:rPr>
  </w:style>
  <w:style w:type="character" w:customStyle="1" w:styleId="363">
    <w:name w:val="Footer Char"/>
    <w:qFormat/>
    <w:uiPriority w:val="0"/>
    <w:rPr>
      <w:rFonts w:eastAsia="宋体"/>
      <w:kern w:val="2"/>
      <w:sz w:val="18"/>
      <w:szCs w:val="18"/>
      <w:lang w:val="en-US" w:eastAsia="zh-CN" w:bidi="ar-SA"/>
    </w:rPr>
  </w:style>
  <w:style w:type="character" w:customStyle="1" w:styleId="364">
    <w:name w:val="_Style 355"/>
    <w:qFormat/>
    <w:uiPriority w:val="0"/>
    <w:rPr>
      <w:b/>
      <w:bCs/>
      <w:smallCaps/>
      <w:color w:val="C0504D"/>
      <w:spacing w:val="5"/>
      <w:u w:val="single"/>
    </w:rPr>
  </w:style>
  <w:style w:type="character" w:customStyle="1" w:styleId="365">
    <w:name w:val="Char Char72"/>
    <w:qFormat/>
    <w:uiPriority w:val="0"/>
    <w:rPr>
      <w:rFonts w:eastAsia="宋体"/>
      <w:kern w:val="2"/>
      <w:sz w:val="21"/>
      <w:szCs w:val="24"/>
      <w:lang w:val="en-US" w:eastAsia="zh-CN" w:bidi="ar-SA"/>
    </w:rPr>
  </w:style>
  <w:style w:type="character" w:customStyle="1" w:styleId="366">
    <w:name w:val="标题 字符"/>
    <w:qFormat/>
    <w:uiPriority w:val="0"/>
    <w:rPr>
      <w:rFonts w:ascii="Cambria" w:hAnsi="Cambria" w:eastAsia="宋体" w:cs="Times New Roman"/>
      <w:b/>
      <w:bCs/>
      <w:sz w:val="32"/>
      <w:szCs w:val="32"/>
    </w:rPr>
  </w:style>
  <w:style w:type="character" w:customStyle="1" w:styleId="367">
    <w:name w:val="明显引用 字符"/>
    <w:qFormat/>
    <w:uiPriority w:val="30"/>
    <w:rPr>
      <w:rFonts w:ascii="Times New Roman" w:hAnsi="Times New Roman" w:eastAsia="宋体" w:cs="Times New Roman"/>
      <w:i/>
      <w:iCs/>
      <w:color w:val="4F81BD"/>
      <w:szCs w:val="24"/>
    </w:rPr>
  </w:style>
  <w:style w:type="paragraph" w:customStyle="1" w:styleId="368">
    <w:name w:val="样式1"/>
    <w:basedOn w:val="1"/>
    <w:next w:val="10"/>
    <w:qFormat/>
    <w:uiPriority w:val="0"/>
    <w:pPr>
      <w:spacing w:line="360" w:lineRule="auto"/>
      <w:ind w:firstLine="420" w:firstLineChars="200"/>
    </w:pPr>
    <w:rPr>
      <w:rFonts w:ascii="宋体" w:hAnsi="宋体" w:eastAsia="宋体"/>
      <w:snapToGrid/>
      <w:kern w:val="2"/>
      <w:szCs w:val="21"/>
    </w:rPr>
  </w:style>
  <w:style w:type="paragraph" w:customStyle="1" w:styleId="369">
    <w:name w:val="样式4"/>
    <w:basedOn w:val="1"/>
    <w:next w:val="62"/>
    <w:qFormat/>
    <w:uiPriority w:val="0"/>
    <w:pPr>
      <w:tabs>
        <w:tab w:val="left" w:pos="8300"/>
      </w:tabs>
      <w:ind w:right="13"/>
      <w:jc w:val="right"/>
    </w:pPr>
    <w:rPr>
      <w:rFonts w:ascii="Times New Roman" w:hAnsi="Times New Roman" w:eastAsia="仿宋_GB2312"/>
      <w:snapToGrid/>
      <w:kern w:val="2"/>
      <w:sz w:val="28"/>
    </w:rPr>
  </w:style>
  <w:style w:type="paragraph" w:customStyle="1" w:styleId="370">
    <w:name w:val="样式 (中文) 黑体 四号 居中 行距: 1.5 倍行距"/>
    <w:basedOn w:val="9"/>
    <w:qFormat/>
    <w:uiPriority w:val="0"/>
    <w:pPr>
      <w:spacing w:line="240" w:lineRule="auto"/>
      <w:jc w:val="center"/>
    </w:pPr>
    <w:rPr>
      <w:rFonts w:ascii="Times New Roman" w:hAnsi="Times New Roman" w:eastAsia="黑体" w:cs="宋体"/>
      <w:snapToGrid/>
      <w:kern w:val="2"/>
      <w:sz w:val="28"/>
      <w:szCs w:val="20"/>
    </w:rPr>
  </w:style>
  <w:style w:type="paragraph" w:customStyle="1" w:styleId="371">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7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73">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6">
    <w:name w:val="德吉标题二"/>
    <w:basedOn w:val="8"/>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7">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8">
    <w:name w:val="Char Char Char Char Char Char1 Char Char Char Char Char Char Char Char Char Char Char Char Char Char Char Char1"/>
    <w:basedOn w:val="1"/>
    <w:qFormat/>
    <w:uiPriority w:val="0"/>
    <w:rPr>
      <w:rFonts w:ascii="Times New Roman" w:hAnsi="Times New Roman" w:eastAsia="宋体"/>
      <w:snapToGrid/>
      <w:kern w:val="2"/>
      <w:szCs w:val="20"/>
    </w:rPr>
  </w:style>
  <w:style w:type="paragraph" w:customStyle="1" w:styleId="37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80">
    <w:name w:val="_Style 37"/>
    <w:basedOn w:val="1"/>
    <w:next w:val="1"/>
    <w:qFormat/>
    <w:uiPriority w:val="0"/>
    <w:rPr>
      <w:rFonts w:ascii="Times New Roman" w:hAnsi="Times New Roman" w:eastAsia="宋体"/>
      <w:snapToGrid/>
      <w:kern w:val="2"/>
    </w:rPr>
  </w:style>
  <w:style w:type="paragraph" w:customStyle="1" w:styleId="381">
    <w:name w:val="reader-word-layer reader-word-s1-1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82">
    <w:name w:val="样式 标题 3 + (中文) 黑体 小四 非加粗 段前: 7.8 磅 段后: 0 磅 行距: 固定值 20 磅"/>
    <w:basedOn w:val="9"/>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83">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84">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5">
    <w:name w:val="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386">
    <w:name w:val="Char Char112"/>
    <w:basedOn w:val="1"/>
    <w:qFormat/>
    <w:uiPriority w:val="0"/>
    <w:rPr>
      <w:rFonts w:ascii="Times New Roman" w:hAnsi="Times New Roman" w:eastAsia="宋体"/>
      <w:snapToGrid/>
      <w:kern w:val="2"/>
    </w:rPr>
  </w:style>
  <w:style w:type="paragraph" w:customStyle="1" w:styleId="387">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8">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_0"/>
    <w:basedOn w:val="390"/>
    <w:qFormat/>
    <w:uiPriority w:val="0"/>
    <w:pPr>
      <w:spacing w:before="120" w:after="120" w:line="360" w:lineRule="auto"/>
      <w:jc w:val="center"/>
      <w:outlineLvl w:val="0"/>
    </w:pPr>
    <w:rPr>
      <w:rFonts w:ascii="黑体" w:hAnsi="Arial" w:eastAsia="黑体"/>
      <w:b/>
      <w:bCs/>
      <w:kern w:val="2"/>
      <w:sz w:val="32"/>
      <w:szCs w:val="32"/>
    </w:rPr>
  </w:style>
  <w:style w:type="paragraph" w:customStyle="1" w:styleId="390">
    <w:name w:val="正文_1"/>
    <w:qFormat/>
    <w:uiPriority w:val="0"/>
    <w:rPr>
      <w:rFonts w:ascii="Times New Roman" w:hAnsi="Times New Roman" w:eastAsia="宋体" w:cs="Times New Roman"/>
      <w:sz w:val="21"/>
      <w:szCs w:val="22"/>
      <w:lang w:val="en-US" w:eastAsia="zh-CN" w:bidi="ar-SA"/>
    </w:rPr>
  </w:style>
  <w:style w:type="paragraph" w:customStyle="1" w:styleId="391">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92">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94">
    <w:name w:val="标题 3_0"/>
    <w:basedOn w:val="395"/>
    <w:next w:val="395"/>
    <w:qFormat/>
    <w:uiPriority w:val="0"/>
    <w:pPr>
      <w:keepNext/>
      <w:keepLines/>
      <w:spacing w:before="260" w:after="260" w:line="413" w:lineRule="auto"/>
      <w:outlineLvl w:val="2"/>
    </w:pPr>
    <w:rPr>
      <w:rFonts w:ascii="Times New Roman" w:hAnsi="Times New Roman"/>
      <w:b/>
      <w:bCs/>
      <w:sz w:val="32"/>
      <w:szCs w:val="32"/>
    </w:rPr>
  </w:style>
  <w:style w:type="paragraph" w:customStyle="1" w:styleId="39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6">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7">
    <w:name w:val="Char Char Char Char Char 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398">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9">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400">
    <w:name w:val="Heading 71"/>
    <w:basedOn w:val="1"/>
    <w:qFormat/>
    <w:uiPriority w:val="0"/>
    <w:pPr>
      <w:jc w:val="left"/>
      <w:outlineLvl w:val="7"/>
    </w:pPr>
    <w:rPr>
      <w:rFonts w:ascii="宋体" w:hAnsi="宋体" w:eastAsia="宋体" w:cs="宋体"/>
      <w:snapToGrid/>
      <w:sz w:val="28"/>
      <w:szCs w:val="28"/>
      <w:lang w:eastAsia="en-US"/>
    </w:rPr>
  </w:style>
  <w:style w:type="paragraph" w:customStyle="1" w:styleId="401">
    <w:name w:val="样式7"/>
    <w:basedOn w:val="62"/>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402">
    <w:name w:val="p0"/>
    <w:basedOn w:val="1"/>
    <w:qFormat/>
    <w:uiPriority w:val="0"/>
    <w:pPr>
      <w:widowControl/>
    </w:pPr>
    <w:rPr>
      <w:rFonts w:ascii="Calibri" w:hAnsi="Calibri" w:eastAsia="宋体" w:cs="宋体"/>
      <w:snapToGrid/>
      <w:szCs w:val="21"/>
    </w:rPr>
  </w:style>
  <w:style w:type="paragraph" w:customStyle="1" w:styleId="403">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4">
    <w:name w:val="Char Char1 Char Char Char1"/>
    <w:basedOn w:val="30"/>
    <w:qFormat/>
    <w:uiPriority w:val="0"/>
    <w:rPr>
      <w:shd w:val="clear" w:color="auto" w:fill="auto"/>
    </w:rPr>
  </w:style>
  <w:style w:type="paragraph" w:customStyle="1" w:styleId="40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6">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7">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8">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9">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10">
    <w:name w:val="p15"/>
    <w:basedOn w:val="1"/>
    <w:qFormat/>
    <w:uiPriority w:val="0"/>
    <w:pPr>
      <w:widowControl/>
      <w:ind w:firstLine="420"/>
    </w:pPr>
    <w:rPr>
      <w:rFonts w:ascii="Times New Roman" w:hAnsi="Times New Roman" w:eastAsia="宋体"/>
      <w:snapToGrid/>
      <w:szCs w:val="20"/>
    </w:rPr>
  </w:style>
  <w:style w:type="paragraph" w:customStyle="1" w:styleId="411">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12">
    <w:name w:val="修订1"/>
    <w:qFormat/>
    <w:uiPriority w:val="0"/>
    <w:rPr>
      <w:rFonts w:ascii="Times New Roman" w:hAnsi="Times New Roman" w:eastAsia="宋体" w:cs="Times New Roman"/>
      <w:kern w:val="2"/>
      <w:sz w:val="21"/>
      <w:szCs w:val="24"/>
      <w:lang w:val="en-US" w:eastAsia="zh-CN" w:bidi="ar-SA"/>
    </w:rPr>
  </w:style>
  <w:style w:type="paragraph" w:customStyle="1" w:styleId="413">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4">
    <w:name w:val="Char Char Char 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15">
    <w:name w:val="标题 4_0"/>
    <w:basedOn w:val="395"/>
    <w:next w:val="395"/>
    <w:qFormat/>
    <w:uiPriority w:val="0"/>
    <w:pPr>
      <w:keepNext/>
      <w:keepLines/>
      <w:spacing w:before="280" w:after="290" w:line="372" w:lineRule="auto"/>
      <w:outlineLvl w:val="3"/>
    </w:pPr>
    <w:rPr>
      <w:rFonts w:ascii="Cambria" w:hAnsi="Cambria"/>
      <w:b/>
      <w:bCs/>
      <w:sz w:val="28"/>
      <w:szCs w:val="28"/>
    </w:rPr>
  </w:style>
  <w:style w:type="paragraph" w:customStyle="1" w:styleId="416">
    <w:name w:val="reader-word-layer"/>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7">
    <w:name w:val="列出段落2"/>
    <w:basedOn w:val="1"/>
    <w:qFormat/>
    <w:uiPriority w:val="0"/>
    <w:pPr>
      <w:ind w:firstLine="420" w:firstLineChars="200"/>
    </w:pPr>
    <w:rPr>
      <w:rFonts w:ascii="Calibri" w:hAnsi="Calibri" w:eastAsia="宋体"/>
      <w:snapToGrid/>
      <w:kern w:val="2"/>
      <w:szCs w:val="20"/>
    </w:rPr>
  </w:style>
  <w:style w:type="paragraph" w:customStyle="1" w:styleId="41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9">
    <w:name w:val="paragraphindent"/>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20">
    <w:name w:val="样式 (中文) 黑体 小三 黑色"/>
    <w:basedOn w:val="8"/>
    <w:qFormat/>
    <w:uiPriority w:val="0"/>
    <w:pPr>
      <w:spacing w:before="260" w:after="260" w:line="240" w:lineRule="auto"/>
      <w:jc w:val="center"/>
    </w:pPr>
    <w:rPr>
      <w:color w:val="000000"/>
      <w:sz w:val="30"/>
    </w:rPr>
  </w:style>
  <w:style w:type="paragraph" w:customStyle="1" w:styleId="421">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22">
    <w:name w:val="Char2"/>
    <w:basedOn w:val="1"/>
    <w:qFormat/>
    <w:uiPriority w:val="0"/>
    <w:rPr>
      <w:rFonts w:ascii="Tahoma" w:hAnsi="Tahoma" w:eastAsia="宋体"/>
      <w:snapToGrid/>
      <w:kern w:val="2"/>
      <w:sz w:val="24"/>
      <w:szCs w:val="20"/>
    </w:rPr>
  </w:style>
  <w:style w:type="paragraph" w:customStyle="1" w:styleId="423">
    <w:name w:val="TOC 标题_0"/>
    <w:basedOn w:val="424"/>
    <w:next w:val="395"/>
    <w:qFormat/>
    <w:uiPriority w:val="0"/>
    <w:pPr>
      <w:outlineLvl w:val="9"/>
    </w:pPr>
    <w:rPr>
      <w:rFonts w:ascii="Calibri" w:hAnsi="Calibri"/>
    </w:rPr>
  </w:style>
  <w:style w:type="paragraph" w:customStyle="1" w:styleId="424">
    <w:name w:val="标题 1_0"/>
    <w:basedOn w:val="395"/>
    <w:next w:val="39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5">
    <w:name w:val="_Style 416"/>
    <w:qFormat/>
    <w:uiPriority w:val="0"/>
    <w:rPr>
      <w:rFonts w:ascii="Times New Roman" w:hAnsi="Times New Roman" w:eastAsia="宋体" w:cs="Times New Roman"/>
      <w:kern w:val="2"/>
      <w:sz w:val="21"/>
      <w:szCs w:val="24"/>
      <w:lang w:val="en-US" w:eastAsia="zh-CN" w:bidi="ar-SA"/>
    </w:rPr>
  </w:style>
  <w:style w:type="paragraph" w:customStyle="1" w:styleId="426">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7">
    <w:name w:val="副标题1"/>
    <w:basedOn w:val="1"/>
    <w:next w:val="1"/>
    <w:qFormat/>
    <w:uiPriority w:val="0"/>
    <w:pPr>
      <w:spacing w:before="120" w:after="120"/>
      <w:jc w:val="left"/>
    </w:pPr>
    <w:rPr>
      <w:rFonts w:ascii="Arial" w:hAnsi="Arial" w:eastAsia="宋体"/>
      <w:b/>
      <w:bCs/>
      <w:snapToGrid/>
      <w:color w:val="000000"/>
      <w:kern w:val="44"/>
      <w:szCs w:val="22"/>
    </w:rPr>
  </w:style>
  <w:style w:type="paragraph" w:customStyle="1" w:styleId="428">
    <w:name w:val="Char Char Char1 Char1"/>
    <w:basedOn w:val="1"/>
    <w:qFormat/>
    <w:uiPriority w:val="0"/>
    <w:rPr>
      <w:rFonts w:ascii="Times New Roman" w:hAnsi="Times New Roman" w:eastAsia="宋体"/>
      <w:snapToGrid/>
      <w:kern w:val="2"/>
      <w:szCs w:val="20"/>
    </w:rPr>
  </w:style>
  <w:style w:type="paragraph" w:customStyle="1" w:styleId="429">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30">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31">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32">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33">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34">
    <w:name w:val="Char Char1 Char Char Char"/>
    <w:basedOn w:val="30"/>
    <w:qFormat/>
    <w:uiPriority w:val="0"/>
    <w:rPr>
      <w:rFonts w:ascii="Calibri" w:hAnsi="Calibri" w:eastAsia="Times New Roman"/>
    </w:rPr>
  </w:style>
  <w:style w:type="paragraph" w:customStyle="1" w:styleId="435">
    <w:name w:val="样式 标题 1 + 居中"/>
    <w:basedOn w:val="7"/>
    <w:qFormat/>
    <w:uiPriority w:val="0"/>
    <w:pPr>
      <w:keepLines/>
      <w:spacing w:before="340" w:after="330" w:line="576" w:lineRule="auto"/>
    </w:pPr>
    <w:rPr>
      <w:sz w:val="32"/>
      <w:szCs w:val="20"/>
    </w:rPr>
  </w:style>
  <w:style w:type="paragraph" w:customStyle="1" w:styleId="436">
    <w:name w:val="TOC 标题1"/>
    <w:basedOn w:val="7"/>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7">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8">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9">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40">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41">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4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43">
    <w:name w:val="默认段落字体 Para Char Char Char Char"/>
    <w:basedOn w:val="1"/>
    <w:qFormat/>
    <w:uiPriority w:val="0"/>
    <w:rPr>
      <w:rFonts w:ascii="Times New Roman" w:hAnsi="Times New Roman" w:eastAsia="宋体"/>
      <w:snapToGrid/>
      <w:kern w:val="2"/>
    </w:rPr>
  </w:style>
  <w:style w:type="paragraph" w:customStyle="1" w:styleId="444">
    <w:name w:val="列出段落1"/>
    <w:basedOn w:val="1"/>
    <w:qFormat/>
    <w:uiPriority w:val="0"/>
    <w:pPr>
      <w:ind w:firstLine="420" w:firstLineChars="200"/>
    </w:pPr>
    <w:rPr>
      <w:rFonts w:ascii="Calibri" w:hAnsi="Calibri" w:eastAsia="宋体"/>
      <w:snapToGrid/>
      <w:kern w:val="2"/>
      <w:szCs w:val="22"/>
    </w:rPr>
  </w:style>
  <w:style w:type="paragraph" w:customStyle="1" w:styleId="445">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6">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7">
    <w:name w:val="Char Char2 Char Char Char Char1"/>
    <w:basedOn w:val="1"/>
    <w:qFormat/>
    <w:uiPriority w:val="0"/>
    <w:rPr>
      <w:rFonts w:ascii="Tahoma" w:hAnsi="Tahoma" w:eastAsia="宋体"/>
      <w:snapToGrid/>
      <w:kern w:val="2"/>
      <w:sz w:val="24"/>
      <w:szCs w:val="20"/>
    </w:rPr>
  </w:style>
  <w:style w:type="paragraph" w:customStyle="1" w:styleId="448">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9">
    <w:name w:val="样式 (中文) 黑体 小二 加粗 居中 行距: 1.5 倍行距"/>
    <w:basedOn w:val="7"/>
    <w:qFormat/>
    <w:uiPriority w:val="0"/>
    <w:pPr>
      <w:keepLines/>
      <w:spacing w:before="340" w:after="330"/>
    </w:pPr>
    <w:rPr>
      <w:rFonts w:eastAsia="黑体" w:cs="宋体"/>
      <w:b w:val="0"/>
      <w:spacing w:val="60"/>
      <w:sz w:val="36"/>
      <w:szCs w:val="20"/>
    </w:rPr>
  </w:style>
  <w:style w:type="paragraph" w:customStyle="1" w:styleId="450">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51">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52">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53">
    <w:name w:val="纯文本11"/>
    <w:basedOn w:val="1"/>
    <w:qFormat/>
    <w:uiPriority w:val="0"/>
    <w:rPr>
      <w:rFonts w:ascii="宋体" w:hAnsi="Courier New" w:eastAsia="宋体"/>
      <w:snapToGrid/>
      <w:kern w:val="2"/>
      <w:sz w:val="28"/>
    </w:rPr>
  </w:style>
  <w:style w:type="paragraph" w:customStyle="1" w:styleId="454">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5">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6">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7">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8">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9">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6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2">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63">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64">
    <w:name w:val="Char Char Char1 Char"/>
    <w:basedOn w:val="1"/>
    <w:qFormat/>
    <w:uiPriority w:val="0"/>
    <w:rPr>
      <w:rFonts w:ascii="Times New Roman" w:hAnsi="Times New Roman" w:eastAsia="宋体"/>
      <w:snapToGrid/>
      <w:kern w:val="2"/>
      <w:szCs w:val="20"/>
    </w:rPr>
  </w:style>
  <w:style w:type="paragraph" w:customStyle="1" w:styleId="465">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6">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67">
    <w:name w:val="xl138"/>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8">
    <w:name w:val="正文文本_0"/>
    <w:basedOn w:val="39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9">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70">
    <w:name w:val="列表1）"/>
    <w:basedOn w:val="25"/>
    <w:qFormat/>
    <w:uiPriority w:val="0"/>
    <w:pPr>
      <w:adjustRightInd/>
      <w:spacing w:before="10"/>
      <w:ind w:firstLine="0"/>
      <w:jc w:val="both"/>
    </w:pPr>
    <w:rPr>
      <w:rFonts w:ascii="Verdana" w:hAnsi="Verdana" w:eastAsia="宋体"/>
      <w:sz w:val="21"/>
      <w:szCs w:val="21"/>
    </w:rPr>
  </w:style>
  <w:style w:type="paragraph" w:customStyle="1" w:styleId="471">
    <w:name w:val="reader-word-layer reader-word-s4-1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2">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73">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74">
    <w:name w:val="Char Char Char Char1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75">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6">
    <w:name w:val="Table Paragraph"/>
    <w:basedOn w:val="1"/>
    <w:qFormat/>
    <w:uiPriority w:val="0"/>
    <w:pPr>
      <w:jc w:val="left"/>
    </w:pPr>
    <w:rPr>
      <w:rFonts w:ascii="Calibri" w:hAnsi="Calibri" w:eastAsia="宋体" w:cs="Calibri"/>
      <w:snapToGrid/>
      <w:sz w:val="22"/>
      <w:szCs w:val="22"/>
      <w:lang w:eastAsia="en-US"/>
    </w:rPr>
  </w:style>
  <w:style w:type="paragraph" w:customStyle="1" w:styleId="477">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80">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81">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2">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83">
    <w:name w:val="Char Char"/>
    <w:basedOn w:val="1"/>
    <w:next w:val="1"/>
    <w:qFormat/>
    <w:uiPriority w:val="0"/>
    <w:pPr>
      <w:widowControl/>
      <w:spacing w:after="160" w:line="240" w:lineRule="exact"/>
      <w:jc w:val="left"/>
    </w:pPr>
    <w:rPr>
      <w:rFonts w:ascii="Times New Roman" w:hAnsi="Times New Roman" w:eastAsia="宋体"/>
      <w:snapToGrid/>
      <w:kern w:val="2"/>
      <w:szCs w:val="20"/>
    </w:rPr>
  </w:style>
  <w:style w:type="paragraph" w:customStyle="1" w:styleId="484">
    <w:name w:val="样式5"/>
    <w:basedOn w:val="368"/>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5">
    <w:name w:val="Char Char Char1 Char Char Char Char Char Char Char"/>
    <w:basedOn w:val="1"/>
    <w:qFormat/>
    <w:uiPriority w:val="0"/>
    <w:rPr>
      <w:rFonts w:ascii="Tahoma" w:hAnsi="Tahoma" w:eastAsia="宋体"/>
      <w:snapToGrid/>
      <w:kern w:val="2"/>
      <w:sz w:val="24"/>
      <w:szCs w:val="20"/>
    </w:rPr>
  </w:style>
  <w:style w:type="paragraph" w:customStyle="1" w:styleId="48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7">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8">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9">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90">
    <w:name w:val="Char Char Char1 Char2"/>
    <w:basedOn w:val="1"/>
    <w:qFormat/>
    <w:uiPriority w:val="0"/>
    <w:rPr>
      <w:rFonts w:ascii="Times New Roman" w:hAnsi="Times New Roman" w:eastAsia="宋体"/>
      <w:snapToGrid/>
      <w:kern w:val="2"/>
      <w:szCs w:val="20"/>
    </w:rPr>
  </w:style>
  <w:style w:type="paragraph" w:customStyle="1" w:styleId="491">
    <w:name w:val="reader-word-layer reader-word-s1-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9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94">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95">
    <w:name w:val="2-2ji"/>
    <w:basedOn w:val="8"/>
    <w:qFormat/>
    <w:uiPriority w:val="0"/>
    <w:pPr>
      <w:spacing w:before="0" w:after="0" w:line="360" w:lineRule="auto"/>
      <w:jc w:val="center"/>
    </w:pPr>
    <w:rPr>
      <w:rFonts w:ascii="宋体" w:hAnsi="宋体" w:eastAsia="宋体"/>
      <w:sz w:val="36"/>
      <w:szCs w:val="24"/>
    </w:rPr>
  </w:style>
  <w:style w:type="paragraph" w:customStyle="1" w:styleId="496">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7">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8">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9">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500">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501">
    <w:name w:val="默认段落字体 Para Char"/>
    <w:basedOn w:val="1"/>
    <w:qFormat/>
    <w:uiPriority w:val="0"/>
    <w:rPr>
      <w:rFonts w:ascii="Times New Roman" w:hAnsi="Times New Roman" w:eastAsia="宋体"/>
      <w:snapToGrid/>
      <w:kern w:val="2"/>
    </w:rPr>
  </w:style>
  <w:style w:type="paragraph" w:customStyle="1" w:styleId="502">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503">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04">
    <w:name w:val="Char11"/>
    <w:basedOn w:val="1"/>
    <w:qFormat/>
    <w:uiPriority w:val="0"/>
    <w:rPr>
      <w:rFonts w:ascii="Times New Roman" w:hAnsi="Times New Roman" w:eastAsia="宋体"/>
      <w:snapToGrid/>
      <w:kern w:val="2"/>
    </w:rPr>
  </w:style>
  <w:style w:type="paragraph" w:customStyle="1" w:styleId="505">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6">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7">
    <w:name w:val="正文缩进_0"/>
    <w:basedOn w:val="390"/>
    <w:qFormat/>
    <w:uiPriority w:val="0"/>
    <w:pPr>
      <w:widowControl w:val="0"/>
      <w:ind w:firstLine="420"/>
      <w:jc w:val="both"/>
    </w:pPr>
    <w:rPr>
      <w:kern w:val="2"/>
      <w:u w:val="single"/>
    </w:rPr>
  </w:style>
  <w:style w:type="paragraph" w:customStyle="1" w:styleId="508">
    <w:name w:val="样式6"/>
    <w:basedOn w:val="62"/>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9">
    <w:name w:val="样式 标题 2 + (中文) 宋体 (西文)五号 非(西文)粗体 段前: 6 磅 段后: 3 磅 行距: 1.5 倍行距"/>
    <w:basedOn w:val="8"/>
    <w:qFormat/>
    <w:uiPriority w:val="0"/>
    <w:pPr>
      <w:adjustRightInd w:val="0"/>
      <w:spacing w:before="120" w:line="360" w:lineRule="auto"/>
      <w:jc w:val="center"/>
      <w:textAlignment w:val="baseline"/>
    </w:pPr>
    <w:rPr>
      <w:rFonts w:eastAsia="宋体"/>
      <w:bCs w:val="0"/>
      <w:kern w:val="0"/>
      <w:sz w:val="24"/>
      <w:szCs w:val="24"/>
    </w:rPr>
  </w:style>
  <w:style w:type="paragraph" w:customStyle="1" w:styleId="51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11">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12">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13">
    <w:name w:val="Char Char2 Char Char Char Char"/>
    <w:basedOn w:val="1"/>
    <w:qFormat/>
    <w:uiPriority w:val="0"/>
    <w:rPr>
      <w:rFonts w:ascii="Tahoma" w:hAnsi="Tahoma" w:eastAsia="宋体"/>
      <w:snapToGrid/>
      <w:kern w:val="2"/>
      <w:sz w:val="24"/>
      <w:szCs w:val="20"/>
    </w:rPr>
  </w:style>
  <w:style w:type="paragraph" w:customStyle="1" w:styleId="514">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15">
    <w:name w:val="样式3"/>
    <w:basedOn w:val="9"/>
    <w:next w:val="1"/>
    <w:qFormat/>
    <w:uiPriority w:val="0"/>
    <w:pPr>
      <w:spacing w:line="240" w:lineRule="auto"/>
      <w:jc w:val="center"/>
    </w:pPr>
    <w:rPr>
      <w:rFonts w:ascii="Times New Roman" w:hAnsi="Times New Roman" w:eastAsia="黑体"/>
      <w:snapToGrid/>
      <w:kern w:val="2"/>
    </w:rPr>
  </w:style>
  <w:style w:type="paragraph" w:customStyle="1" w:styleId="516">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7">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8">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9">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20">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21">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2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23">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4">
    <w:name w:val="_Style 515"/>
    <w:basedOn w:val="7"/>
    <w:next w:val="1"/>
    <w:qFormat/>
    <w:uiPriority w:val="39"/>
    <w:pPr>
      <w:keepLines/>
      <w:spacing w:before="340" w:after="330" w:line="576" w:lineRule="auto"/>
      <w:jc w:val="both"/>
      <w:outlineLvl w:val="9"/>
    </w:pPr>
    <w:rPr>
      <w:rFonts w:ascii="Calibri" w:hAnsi="Calibri" w:eastAsia="黑体"/>
      <w:bCs/>
    </w:rPr>
  </w:style>
  <w:style w:type="paragraph" w:customStyle="1" w:styleId="525">
    <w:name w:val="prodsubtitle"/>
    <w:basedOn w:val="1"/>
    <w:qFormat/>
    <w:uiPriority w:val="0"/>
    <w:pPr>
      <w:widowControl/>
      <w:jc w:val="left"/>
    </w:pPr>
    <w:rPr>
      <w:rFonts w:ascii="宋体" w:hAnsi="宋体" w:eastAsia="宋体" w:cs="宋体"/>
      <w:snapToGrid/>
      <w:sz w:val="24"/>
    </w:rPr>
  </w:style>
  <w:style w:type="paragraph" w:customStyle="1" w:styleId="526">
    <w:name w:val="样式2"/>
    <w:basedOn w:val="8"/>
    <w:next w:val="1"/>
    <w:qFormat/>
    <w:uiPriority w:val="0"/>
    <w:pPr>
      <w:spacing w:before="260" w:after="260" w:line="240" w:lineRule="auto"/>
      <w:jc w:val="center"/>
    </w:pPr>
    <w:rPr>
      <w:sz w:val="36"/>
    </w:rPr>
  </w:style>
  <w:style w:type="paragraph" w:customStyle="1" w:styleId="527">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8">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9">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30">
    <w:name w:val="1"/>
    <w:basedOn w:val="1"/>
    <w:next w:val="1"/>
    <w:qFormat/>
    <w:uiPriority w:val="0"/>
    <w:rPr>
      <w:rFonts w:ascii="Times New Roman" w:hAnsi="Times New Roman" w:eastAsia="宋体"/>
      <w:snapToGrid/>
      <w:kern w:val="2"/>
    </w:rPr>
  </w:style>
  <w:style w:type="paragraph" w:customStyle="1" w:styleId="531">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32">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3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34">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35">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6">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7">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8">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9">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kern w:val="0"/>
      <w:sz w:val="28"/>
      <w:szCs w:val="20"/>
    </w:rPr>
  </w:style>
  <w:style w:type="character" w:customStyle="1" w:styleId="540">
    <w:name w:val="正文首行缩进 Char1"/>
    <w:qFormat/>
    <w:uiPriority w:val="0"/>
    <w:rPr>
      <w:rFonts w:eastAsia="仿宋_GB2312"/>
      <w:kern w:val="2"/>
      <w:sz w:val="21"/>
      <w:szCs w:val="24"/>
    </w:rPr>
  </w:style>
  <w:style w:type="character" w:customStyle="1" w:styleId="541">
    <w:name w:val="正文文本_"/>
    <w:link w:val="542"/>
    <w:qFormat/>
    <w:uiPriority w:val="0"/>
    <w:rPr>
      <w:rFonts w:ascii="Arial Unicode MS" w:hAnsi="Arial Unicode MS" w:eastAsia="Arial Unicode MS" w:cs="Arial Unicode MS"/>
      <w:sz w:val="27"/>
      <w:szCs w:val="27"/>
      <w:shd w:val="clear" w:color="auto" w:fill="FFFFFF"/>
    </w:rPr>
  </w:style>
  <w:style w:type="paragraph" w:customStyle="1" w:styleId="542">
    <w:name w:val="正文文本4"/>
    <w:basedOn w:val="1"/>
    <w:link w:val="541"/>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43">
    <w:name w:val="font161"/>
    <w:qFormat/>
    <w:uiPriority w:val="0"/>
    <w:rPr>
      <w:b/>
      <w:bCs/>
      <w:sz w:val="32"/>
      <w:szCs w:val="32"/>
    </w:rPr>
  </w:style>
  <w:style w:type="character" w:customStyle="1" w:styleId="544">
    <w:name w:val="flName Char"/>
    <w:link w:val="545"/>
    <w:qFormat/>
    <w:uiPriority w:val="0"/>
    <w:rPr>
      <w:rFonts w:ascii="Arial" w:eastAsia="黑体"/>
      <w:sz w:val="32"/>
    </w:rPr>
  </w:style>
  <w:style w:type="paragraph" w:customStyle="1" w:styleId="545">
    <w:name w:val="flName"/>
    <w:basedOn w:val="1"/>
    <w:link w:val="544"/>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6">
    <w:name w:val="标题 4 Char1"/>
    <w:unhideWhenUsed/>
    <w:qFormat/>
    <w:uiPriority w:val="99"/>
    <w:rPr>
      <w:rFonts w:hint="eastAsia" w:ascii="Cambria" w:hAnsi="Cambria" w:eastAsia="宋体"/>
      <w:b/>
      <w:kern w:val="2"/>
      <w:sz w:val="28"/>
    </w:rPr>
  </w:style>
  <w:style w:type="paragraph" w:customStyle="1" w:styleId="547">
    <w:name w:val="Personal Name"/>
    <w:basedOn w:val="85"/>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8">
    <w:name w:val="样式 标题 1 + 非加粗 黑色"/>
    <w:basedOn w:val="7"/>
    <w:qFormat/>
    <w:uiPriority w:val="0"/>
    <w:pPr>
      <w:keepLines/>
      <w:spacing w:before="340" w:after="330" w:line="578" w:lineRule="auto"/>
    </w:pPr>
    <w:rPr>
      <w:rFonts w:ascii="Calibri" w:hAnsi="Calibri"/>
      <w:color w:val="000000"/>
      <w:sz w:val="48"/>
    </w:rPr>
  </w:style>
  <w:style w:type="paragraph" w:customStyle="1" w:styleId="549">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50">
    <w:name w:val="样式 标题 1 + 黑体 三号 非加粗 居中 段前: 6 磅 段后: 6 磅 行距: 固定值 20 磅"/>
    <w:basedOn w:val="7"/>
    <w:qFormat/>
    <w:uiPriority w:val="0"/>
    <w:pPr>
      <w:keepLines/>
      <w:spacing w:before="120" w:after="120" w:line="400" w:lineRule="exact"/>
    </w:pPr>
    <w:rPr>
      <w:rFonts w:ascii="黑体" w:hAnsi="黑体" w:eastAsia="黑体" w:cs="宋体"/>
      <w:b w:val="0"/>
      <w:sz w:val="32"/>
      <w:szCs w:val="20"/>
    </w:rPr>
  </w:style>
  <w:style w:type="paragraph" w:customStyle="1" w:styleId="551">
    <w:name w:val="表格"/>
    <w:basedOn w:val="1"/>
    <w:qFormat/>
    <w:uiPriority w:val="0"/>
    <w:pPr>
      <w:jc w:val="center"/>
      <w:textAlignment w:val="center"/>
    </w:pPr>
    <w:rPr>
      <w:rFonts w:ascii="华文细黑" w:hAnsi="华文细黑" w:eastAsia="宋体"/>
      <w:snapToGrid/>
    </w:rPr>
  </w:style>
  <w:style w:type="paragraph" w:customStyle="1" w:styleId="552">
    <w:name w:val="样式 正文（首行缩进两字） + 宋体 小四"/>
    <w:basedOn w:val="25"/>
    <w:qFormat/>
    <w:uiPriority w:val="0"/>
    <w:pPr>
      <w:adjustRightInd/>
      <w:spacing w:line="100" w:lineRule="atLeast"/>
      <w:ind w:firstLine="614" w:firstLineChars="192"/>
    </w:pPr>
    <w:rPr>
      <w:rFonts w:ascii="仿宋_GB2312" w:hAnsi="宋体" w:eastAsia="仿宋_GB2312"/>
      <w:sz w:val="32"/>
    </w:rPr>
  </w:style>
  <w:style w:type="paragraph" w:customStyle="1" w:styleId="553">
    <w:name w:val="Normal_2"/>
    <w:qFormat/>
    <w:uiPriority w:val="0"/>
    <w:pPr>
      <w:widowControl w:val="0"/>
      <w:jc w:val="both"/>
    </w:pPr>
    <w:rPr>
      <w:rFonts w:ascii="Times New Roman" w:hAnsi="Times New Roman" w:eastAsia="宋体" w:cs="Times New Roman"/>
      <w:lang w:val="en-US" w:eastAsia="zh-CN" w:bidi="ar-SA"/>
    </w:rPr>
  </w:style>
  <w:style w:type="paragraph" w:customStyle="1" w:styleId="554">
    <w:name w:val="Normal_5"/>
    <w:qFormat/>
    <w:uiPriority w:val="0"/>
    <w:rPr>
      <w:rFonts w:ascii="Times New Roman" w:hAnsi="Times New Roman" w:eastAsia="宋体" w:cs="Times New Roman"/>
      <w:sz w:val="24"/>
      <w:szCs w:val="24"/>
      <w:lang w:val="en-US" w:eastAsia="zh-CN" w:bidi="ar-SA"/>
    </w:rPr>
  </w:style>
  <w:style w:type="paragraph" w:customStyle="1" w:styleId="555">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6">
    <w:name w:val="目录"/>
    <w:basedOn w:val="1"/>
    <w:qFormat/>
    <w:uiPriority w:val="0"/>
    <w:pPr>
      <w:widowControl/>
      <w:jc w:val="center"/>
    </w:pPr>
    <w:rPr>
      <w:rFonts w:ascii="宋体" w:hAnsi="Times New Roman" w:eastAsia="宋体"/>
      <w:b/>
      <w:snapToGrid/>
      <w:sz w:val="36"/>
      <w:szCs w:val="20"/>
    </w:rPr>
  </w:style>
  <w:style w:type="paragraph" w:customStyle="1" w:styleId="557">
    <w:name w:val="正文文字3"/>
    <w:basedOn w:val="38"/>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8">
    <w:name w:val="标题 2 + 黑色 行距: 1.5 倍行距"/>
    <w:basedOn w:val="8"/>
    <w:qFormat/>
    <w:uiPriority w:val="0"/>
    <w:pPr>
      <w:spacing w:before="260" w:after="260" w:line="360" w:lineRule="auto"/>
    </w:pPr>
    <w:rPr>
      <w:rFonts w:eastAsia="宋体" w:cs="宋体"/>
      <w:color w:val="000000"/>
      <w:sz w:val="32"/>
      <w:szCs w:val="20"/>
    </w:rPr>
  </w:style>
  <w:style w:type="paragraph" w:customStyle="1" w:styleId="559">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60">
    <w:name w:val="_Style 22"/>
    <w:basedOn w:val="1"/>
    <w:qFormat/>
    <w:uiPriority w:val="0"/>
    <w:rPr>
      <w:rFonts w:ascii="Times New Roman" w:hAnsi="Times New Roman" w:eastAsia="宋体"/>
      <w:snapToGrid/>
      <w:kern w:val="2"/>
    </w:rPr>
  </w:style>
  <w:style w:type="paragraph" w:customStyle="1" w:styleId="561">
    <w:name w:val="样式 标题 2 + 黑色 行距: 1.5 倍行距"/>
    <w:basedOn w:val="8"/>
    <w:qFormat/>
    <w:uiPriority w:val="0"/>
    <w:pPr>
      <w:spacing w:before="260" w:after="260" w:line="360" w:lineRule="auto"/>
      <w:jc w:val="center"/>
    </w:pPr>
    <w:rPr>
      <w:rFonts w:ascii="宋体" w:hAnsi="宋体" w:eastAsia="宋体" w:cs="宋体"/>
      <w:color w:val="000000"/>
      <w:sz w:val="32"/>
    </w:rPr>
  </w:style>
  <w:style w:type="paragraph" w:customStyle="1" w:styleId="562">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63">
    <w:name w:val="Char Char2 Char Char"/>
    <w:basedOn w:val="30"/>
    <w:unhideWhenUsed/>
    <w:qFormat/>
    <w:uiPriority w:val="99"/>
    <w:rPr>
      <w:rFonts w:hint="eastAsia" w:ascii="Tahoma" w:hAnsi="Tahoma"/>
      <w:sz w:val="24"/>
      <w:shd w:val="clear" w:color="auto" w:fill="auto"/>
    </w:rPr>
  </w:style>
  <w:style w:type="paragraph" w:customStyle="1" w:styleId="564">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65">
    <w:name w:val="纯文本31"/>
    <w:basedOn w:val="1"/>
    <w:qFormat/>
    <w:uiPriority w:val="0"/>
    <w:rPr>
      <w:rFonts w:ascii="宋体" w:hAnsi="Courier New" w:eastAsia="宋体"/>
      <w:snapToGrid/>
      <w:kern w:val="2"/>
      <w:sz w:val="28"/>
    </w:rPr>
  </w:style>
  <w:style w:type="paragraph" w:customStyle="1" w:styleId="566">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7">
    <w:name w:val="name2"/>
    <w:qFormat/>
    <w:uiPriority w:val="0"/>
  </w:style>
  <w:style w:type="paragraph" w:customStyle="1" w:styleId="568">
    <w:name w:val="列出段落3"/>
    <w:basedOn w:val="1"/>
    <w:qFormat/>
    <w:uiPriority w:val="99"/>
    <w:pPr>
      <w:ind w:firstLine="420" w:firstLineChars="200"/>
    </w:pPr>
    <w:rPr>
      <w:rFonts w:ascii="Calibri" w:hAnsi="Calibri" w:eastAsia="宋体" w:cs="黑体"/>
      <w:snapToGrid/>
      <w:kern w:val="2"/>
      <w:szCs w:val="22"/>
    </w:rPr>
  </w:style>
  <w:style w:type="paragraph" w:customStyle="1" w:styleId="569">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70">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71">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72">
    <w:name w:val="表格正文"/>
    <w:basedOn w:val="1"/>
    <w:qFormat/>
    <w:uiPriority w:val="0"/>
    <w:pPr>
      <w:spacing w:line="360" w:lineRule="auto"/>
      <w:jc w:val="left"/>
    </w:pPr>
    <w:rPr>
      <w:rFonts w:ascii="Arial" w:hAnsi="Arial" w:eastAsia="宋体" w:cs="宋体"/>
      <w:snapToGrid/>
      <w:kern w:val="2"/>
      <w:szCs w:val="20"/>
    </w:rPr>
  </w:style>
  <w:style w:type="character" w:customStyle="1" w:styleId="573">
    <w:name w:val="正文文本首行缩进 字符"/>
    <w:semiHidden/>
    <w:qFormat/>
    <w:uiPriority w:val="99"/>
    <w:rPr>
      <w:rFonts w:ascii="Times New Roman" w:hAnsi="Times New Roman" w:eastAsia="宋体" w:cs="Times New Roman"/>
      <w:kern w:val="2"/>
      <w:sz w:val="21"/>
      <w:szCs w:val="24"/>
    </w:rPr>
  </w:style>
  <w:style w:type="character" w:customStyle="1" w:styleId="574">
    <w:name w:val="正文文本缩进 3 字符"/>
    <w:semiHidden/>
    <w:qFormat/>
    <w:uiPriority w:val="99"/>
    <w:rPr>
      <w:kern w:val="2"/>
      <w:sz w:val="16"/>
      <w:szCs w:val="16"/>
    </w:rPr>
  </w:style>
  <w:style w:type="character" w:customStyle="1" w:styleId="575">
    <w:name w:val="HTML 地址 字符"/>
    <w:semiHidden/>
    <w:qFormat/>
    <w:uiPriority w:val="99"/>
    <w:rPr>
      <w:i/>
      <w:iCs/>
      <w:kern w:val="2"/>
      <w:sz w:val="21"/>
      <w:szCs w:val="24"/>
    </w:rPr>
  </w:style>
  <w:style w:type="character" w:customStyle="1" w:styleId="576">
    <w:name w:val="正文文本首行缩进 2 字符"/>
    <w:semiHidden/>
    <w:qFormat/>
    <w:uiPriority w:val="99"/>
    <w:rPr>
      <w:rFonts w:ascii="Times New Roman" w:hAnsi="Times New Roman" w:eastAsia="宋体" w:cs="Times New Roman"/>
      <w:kern w:val="2"/>
      <w:sz w:val="21"/>
      <w:szCs w:val="24"/>
    </w:rPr>
  </w:style>
  <w:style w:type="character" w:customStyle="1" w:styleId="577">
    <w:name w:val="宏文本 字符"/>
    <w:semiHidden/>
    <w:qFormat/>
    <w:uiPriority w:val="99"/>
    <w:rPr>
      <w:rFonts w:ascii="Courier New" w:hAnsi="Courier New" w:cs="Courier New"/>
      <w:kern w:val="2"/>
      <w:sz w:val="24"/>
      <w:szCs w:val="24"/>
    </w:rPr>
  </w:style>
  <w:style w:type="character" w:customStyle="1" w:styleId="578">
    <w:name w:val="签名 字符"/>
    <w:semiHidden/>
    <w:qFormat/>
    <w:uiPriority w:val="99"/>
    <w:rPr>
      <w:kern w:val="2"/>
      <w:sz w:val="21"/>
      <w:szCs w:val="24"/>
    </w:rPr>
  </w:style>
  <w:style w:type="character" w:customStyle="1" w:styleId="579">
    <w:name w:val="正文文本 3 字符"/>
    <w:semiHidden/>
    <w:qFormat/>
    <w:uiPriority w:val="99"/>
    <w:rPr>
      <w:kern w:val="2"/>
      <w:sz w:val="16"/>
      <w:szCs w:val="16"/>
    </w:rPr>
  </w:style>
  <w:style w:type="character" w:customStyle="1" w:styleId="580">
    <w:name w:val="结束语 字符"/>
    <w:semiHidden/>
    <w:qFormat/>
    <w:uiPriority w:val="99"/>
    <w:rPr>
      <w:kern w:val="2"/>
      <w:sz w:val="21"/>
      <w:szCs w:val="24"/>
    </w:rPr>
  </w:style>
  <w:style w:type="character" w:customStyle="1" w:styleId="581">
    <w:name w:val="正文文本 2 字符"/>
    <w:semiHidden/>
    <w:qFormat/>
    <w:uiPriority w:val="99"/>
    <w:rPr>
      <w:kern w:val="2"/>
      <w:sz w:val="21"/>
      <w:szCs w:val="24"/>
    </w:rPr>
  </w:style>
  <w:style w:type="character" w:customStyle="1" w:styleId="582">
    <w:name w:val="HTML 预设格式 字符"/>
    <w:semiHidden/>
    <w:qFormat/>
    <w:uiPriority w:val="99"/>
    <w:rPr>
      <w:rFonts w:ascii="Courier New" w:hAnsi="Courier New" w:cs="Courier New"/>
      <w:kern w:val="2"/>
    </w:rPr>
  </w:style>
  <w:style w:type="character" w:customStyle="1" w:styleId="583">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84">
    <w:name w:val="尾注文本 字符"/>
    <w:semiHidden/>
    <w:qFormat/>
    <w:uiPriority w:val="99"/>
    <w:rPr>
      <w:kern w:val="2"/>
      <w:sz w:val="21"/>
      <w:szCs w:val="24"/>
    </w:rPr>
  </w:style>
  <w:style w:type="character" w:customStyle="1" w:styleId="585">
    <w:name w:val="注释标题 字符"/>
    <w:semiHidden/>
    <w:qFormat/>
    <w:uiPriority w:val="99"/>
    <w:rPr>
      <w:kern w:val="2"/>
      <w:sz w:val="21"/>
      <w:szCs w:val="24"/>
    </w:rPr>
  </w:style>
  <w:style w:type="character" w:customStyle="1" w:styleId="586">
    <w:name w:val="纯文本 字符2"/>
    <w:semiHidden/>
    <w:qFormat/>
    <w:uiPriority w:val="99"/>
    <w:rPr>
      <w:rFonts w:ascii="等线" w:hAnsi="Courier New" w:eastAsia="等线" w:cs="Courier New"/>
      <w:kern w:val="2"/>
      <w:sz w:val="21"/>
      <w:szCs w:val="24"/>
    </w:rPr>
  </w:style>
  <w:style w:type="character" w:customStyle="1" w:styleId="587">
    <w:name w:val="电子邮件签名 字符"/>
    <w:semiHidden/>
    <w:qFormat/>
    <w:uiPriority w:val="99"/>
    <w:rPr>
      <w:kern w:val="2"/>
      <w:sz w:val="21"/>
      <w:szCs w:val="24"/>
    </w:rPr>
  </w:style>
  <w:style w:type="character" w:customStyle="1" w:styleId="588">
    <w:name w:val="称呼 字符"/>
    <w:semiHidden/>
    <w:qFormat/>
    <w:uiPriority w:val="99"/>
    <w:rPr>
      <w:kern w:val="2"/>
      <w:sz w:val="21"/>
      <w:szCs w:val="24"/>
    </w:rPr>
  </w:style>
  <w:style w:type="character" w:customStyle="1" w:styleId="589">
    <w:name w:val="脚注文本 字符1"/>
    <w:semiHidden/>
    <w:qFormat/>
    <w:uiPriority w:val="99"/>
    <w:rPr>
      <w:kern w:val="2"/>
      <w:sz w:val="18"/>
      <w:szCs w:val="18"/>
    </w:rPr>
  </w:style>
  <w:style w:type="character" w:customStyle="1" w:styleId="590">
    <w:name w:val="标题 字符2"/>
    <w:qFormat/>
    <w:uiPriority w:val="10"/>
    <w:rPr>
      <w:rFonts w:ascii="等线 Light" w:hAnsi="等线 Light" w:eastAsia="等线 Light" w:cs="Times New Roman"/>
      <w:b/>
      <w:bCs/>
      <w:kern w:val="2"/>
      <w:sz w:val="32"/>
      <w:szCs w:val="32"/>
    </w:rPr>
  </w:style>
  <w:style w:type="character" w:customStyle="1" w:styleId="591">
    <w:name w:val="Char Char142"/>
    <w:qFormat/>
    <w:uiPriority w:val="0"/>
    <w:rPr>
      <w:rFonts w:eastAsia="宋体"/>
      <w:kern w:val="2"/>
      <w:sz w:val="21"/>
      <w:szCs w:val="24"/>
      <w:lang w:val="en-US" w:eastAsia="zh-CN" w:bidi="ar-SA"/>
    </w:rPr>
  </w:style>
  <w:style w:type="character" w:customStyle="1" w:styleId="592">
    <w:name w:val="Char Char73"/>
    <w:qFormat/>
    <w:uiPriority w:val="0"/>
    <w:rPr>
      <w:rFonts w:eastAsia="宋体"/>
      <w:kern w:val="2"/>
      <w:sz w:val="21"/>
      <w:szCs w:val="24"/>
      <w:lang w:val="en-US" w:eastAsia="zh-CN" w:bidi="ar-SA"/>
    </w:rPr>
  </w:style>
  <w:style w:type="character" w:customStyle="1" w:styleId="593">
    <w:name w:val="Char Char152"/>
    <w:qFormat/>
    <w:locked/>
    <w:uiPriority w:val="0"/>
    <w:rPr>
      <w:rFonts w:ascii="Arial" w:hAnsi="Arial" w:eastAsia="黑体"/>
      <w:kern w:val="2"/>
      <w:sz w:val="21"/>
      <w:lang w:val="en-US" w:eastAsia="zh-CN" w:bidi="ar-SA"/>
    </w:rPr>
  </w:style>
  <w:style w:type="character" w:customStyle="1" w:styleId="594">
    <w:name w:val="Char Char192"/>
    <w:qFormat/>
    <w:locked/>
    <w:uiPriority w:val="0"/>
    <w:rPr>
      <w:rFonts w:eastAsia="宋体"/>
      <w:kern w:val="2"/>
      <w:sz w:val="28"/>
      <w:lang w:val="en-US" w:eastAsia="zh-CN" w:bidi="ar-SA"/>
    </w:rPr>
  </w:style>
  <w:style w:type="character" w:customStyle="1" w:styleId="595">
    <w:name w:val="Char Char82"/>
    <w:qFormat/>
    <w:locked/>
    <w:uiPriority w:val="0"/>
    <w:rPr>
      <w:rFonts w:ascii="楷体_GB2312" w:eastAsia="楷体_GB2312"/>
      <w:b/>
      <w:spacing w:val="-24"/>
      <w:sz w:val="28"/>
      <w:lang w:val="en-US" w:eastAsia="zh-CN" w:bidi="ar-SA"/>
    </w:rPr>
  </w:style>
  <w:style w:type="character" w:customStyle="1" w:styleId="596">
    <w:name w:val="Char Char32"/>
    <w:qFormat/>
    <w:uiPriority w:val="0"/>
    <w:rPr>
      <w:kern w:val="2"/>
      <w:sz w:val="18"/>
      <w:szCs w:val="18"/>
    </w:rPr>
  </w:style>
  <w:style w:type="character" w:customStyle="1" w:styleId="597">
    <w:name w:val="Char Char Char Char Char Char2"/>
    <w:qFormat/>
    <w:uiPriority w:val="0"/>
    <w:rPr>
      <w:rFonts w:eastAsia="宋体"/>
      <w:kern w:val="2"/>
      <w:sz w:val="21"/>
      <w:szCs w:val="24"/>
      <w:lang w:val="en-US" w:eastAsia="zh-CN" w:bidi="ar-SA"/>
    </w:rPr>
  </w:style>
  <w:style w:type="character" w:customStyle="1" w:styleId="598">
    <w:name w:val="Char Char102"/>
    <w:qFormat/>
    <w:locked/>
    <w:uiPriority w:val="0"/>
    <w:rPr>
      <w:rFonts w:eastAsia="宋体"/>
      <w:kern w:val="2"/>
      <w:sz w:val="18"/>
      <w:szCs w:val="18"/>
      <w:lang w:val="en-US" w:eastAsia="zh-CN" w:bidi="ar-SA"/>
    </w:rPr>
  </w:style>
  <w:style w:type="character" w:customStyle="1" w:styleId="599">
    <w:name w:val="Char Char42"/>
    <w:qFormat/>
    <w:uiPriority w:val="0"/>
    <w:rPr>
      <w:rFonts w:eastAsia="宋体"/>
      <w:kern w:val="2"/>
      <w:sz w:val="18"/>
      <w:szCs w:val="24"/>
      <w:lang w:val="en-US" w:eastAsia="zh-CN" w:bidi="ar-SA"/>
    </w:rPr>
  </w:style>
  <w:style w:type="character" w:customStyle="1" w:styleId="600">
    <w:name w:val="Char Char173"/>
    <w:qFormat/>
    <w:uiPriority w:val="0"/>
    <w:rPr>
      <w:rFonts w:eastAsia="宋体"/>
      <w:b/>
      <w:kern w:val="2"/>
      <w:sz w:val="24"/>
      <w:lang w:val="en-US" w:eastAsia="zh-CN" w:bidi="ar-SA"/>
    </w:rPr>
  </w:style>
  <w:style w:type="character" w:customStyle="1" w:styleId="601">
    <w:name w:val="Char Char63"/>
    <w:qFormat/>
    <w:locked/>
    <w:uiPriority w:val="0"/>
    <w:rPr>
      <w:rFonts w:eastAsia="宋体"/>
      <w:kern w:val="2"/>
      <w:sz w:val="18"/>
      <w:szCs w:val="24"/>
      <w:lang w:val="en-US" w:eastAsia="zh-CN" w:bidi="ar-SA"/>
    </w:rPr>
  </w:style>
  <w:style w:type="character" w:customStyle="1" w:styleId="602">
    <w:name w:val="Char Char202"/>
    <w:qFormat/>
    <w:locked/>
    <w:uiPriority w:val="0"/>
    <w:rPr>
      <w:rFonts w:ascii="Arial" w:hAnsi="Arial" w:eastAsia="黑体"/>
      <w:b/>
      <w:bCs/>
      <w:kern w:val="2"/>
      <w:sz w:val="28"/>
      <w:szCs w:val="28"/>
      <w:lang w:val="en-US" w:eastAsia="zh-CN" w:bidi="ar-SA"/>
    </w:rPr>
  </w:style>
  <w:style w:type="character" w:customStyle="1" w:styleId="603">
    <w:name w:val="Char Char182"/>
    <w:qFormat/>
    <w:locked/>
    <w:uiPriority w:val="0"/>
    <w:rPr>
      <w:rFonts w:ascii="Arial" w:hAnsi="Arial" w:eastAsia="黑体"/>
      <w:b/>
      <w:kern w:val="2"/>
      <w:sz w:val="24"/>
      <w:lang w:val="en-US" w:eastAsia="zh-CN" w:bidi="ar-SA"/>
    </w:rPr>
  </w:style>
  <w:style w:type="character" w:customStyle="1" w:styleId="604">
    <w:name w:val="Char Char25"/>
    <w:qFormat/>
    <w:uiPriority w:val="0"/>
    <w:rPr>
      <w:rFonts w:eastAsia="宋体"/>
      <w:kern w:val="2"/>
      <w:sz w:val="18"/>
      <w:szCs w:val="18"/>
      <w:lang w:val="en-US" w:eastAsia="zh-CN" w:bidi="ar-SA"/>
    </w:rPr>
  </w:style>
  <w:style w:type="character" w:customStyle="1" w:styleId="605">
    <w:name w:val="Char Char26"/>
    <w:qFormat/>
    <w:uiPriority w:val="0"/>
    <w:rPr>
      <w:rFonts w:eastAsia="仿宋_GB2312"/>
      <w:kern w:val="2"/>
      <w:sz w:val="23"/>
      <w:szCs w:val="24"/>
    </w:rPr>
  </w:style>
  <w:style w:type="character" w:customStyle="1" w:styleId="606">
    <w:name w:val="Char Char212"/>
    <w:qFormat/>
    <w:uiPriority w:val="0"/>
    <w:rPr>
      <w:rFonts w:eastAsia="宋体"/>
      <w:b/>
      <w:bCs/>
      <w:kern w:val="2"/>
      <w:sz w:val="32"/>
      <w:szCs w:val="32"/>
      <w:lang w:val="en-US" w:eastAsia="zh-CN" w:bidi="ar-SA"/>
    </w:rPr>
  </w:style>
  <w:style w:type="character" w:customStyle="1" w:styleId="607">
    <w:name w:val="Char Char162"/>
    <w:qFormat/>
    <w:locked/>
    <w:uiPriority w:val="0"/>
    <w:rPr>
      <w:rFonts w:ascii="Arial" w:hAnsi="Arial" w:eastAsia="黑体"/>
      <w:kern w:val="2"/>
      <w:sz w:val="24"/>
      <w:lang w:val="en-US" w:eastAsia="zh-CN" w:bidi="ar-SA"/>
    </w:rPr>
  </w:style>
  <w:style w:type="paragraph" w:customStyle="1" w:styleId="608">
    <w:name w:val="Char Char2 Char Char Char Char2"/>
    <w:basedOn w:val="1"/>
    <w:qFormat/>
    <w:uiPriority w:val="0"/>
    <w:rPr>
      <w:rFonts w:ascii="Tahoma" w:hAnsi="Tahoma" w:eastAsia="宋体"/>
      <w:snapToGrid/>
      <w:kern w:val="2"/>
      <w:sz w:val="24"/>
      <w:szCs w:val="20"/>
    </w:rPr>
  </w:style>
  <w:style w:type="paragraph" w:customStyle="1" w:styleId="609">
    <w:name w:val="Char Char1 Char Char Char2"/>
    <w:basedOn w:val="30"/>
    <w:qFormat/>
    <w:uiPriority w:val="0"/>
    <w:rPr>
      <w:shd w:val="clear" w:color="auto" w:fill="auto"/>
    </w:rPr>
  </w:style>
  <w:style w:type="paragraph" w:customStyle="1" w:styleId="610">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1">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12">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3">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14">
    <w:name w:val="Char Char Char1 Char3"/>
    <w:basedOn w:val="1"/>
    <w:qFormat/>
    <w:uiPriority w:val="0"/>
    <w:rPr>
      <w:rFonts w:ascii="Times New Roman" w:hAnsi="Times New Roman" w:eastAsia="宋体"/>
      <w:snapToGrid/>
      <w:kern w:val="2"/>
      <w:szCs w:val="20"/>
    </w:rPr>
  </w:style>
  <w:style w:type="paragraph" w:customStyle="1" w:styleId="615">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6">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7">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8">
    <w:name w:val="List Paragraph2"/>
    <w:basedOn w:val="1"/>
    <w:qFormat/>
    <w:uiPriority w:val="0"/>
    <w:pPr>
      <w:ind w:firstLine="420" w:firstLineChars="200"/>
    </w:pPr>
    <w:rPr>
      <w:rFonts w:ascii="Calibri" w:hAnsi="Calibri" w:eastAsia="宋体"/>
      <w:snapToGrid/>
      <w:kern w:val="2"/>
      <w:szCs w:val="20"/>
    </w:rPr>
  </w:style>
  <w:style w:type="character" w:customStyle="1" w:styleId="619">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20">
    <w:name w:val="2"/>
    <w:basedOn w:val="1"/>
    <w:next w:val="1"/>
    <w:qFormat/>
    <w:uiPriority w:val="39"/>
    <w:pPr>
      <w:ind w:left="3360" w:leftChars="1600"/>
    </w:pPr>
    <w:rPr>
      <w:rFonts w:ascii="Calibri" w:hAnsi="Calibri" w:eastAsia="宋体"/>
      <w:snapToGrid/>
      <w:kern w:val="2"/>
      <w:szCs w:val="22"/>
    </w:rPr>
  </w:style>
  <w:style w:type="character" w:customStyle="1" w:styleId="621">
    <w:name w:val="批注文字 字符2"/>
    <w:qFormat/>
    <w:uiPriority w:val="0"/>
    <w:rPr>
      <w:rFonts w:eastAsia="宋体"/>
      <w:kern w:val="2"/>
      <w:sz w:val="21"/>
      <w:szCs w:val="24"/>
      <w:lang w:eastAsia="zh-CN"/>
    </w:rPr>
  </w:style>
  <w:style w:type="paragraph" w:customStyle="1" w:styleId="622">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4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4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45">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6">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7">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8">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9">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50">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51">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52">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53">
    <w:name w:val="标题 3 字符2"/>
    <w:qFormat/>
    <w:uiPriority w:val="0"/>
    <w:rPr>
      <w:rFonts w:eastAsia="黑体"/>
      <w:b/>
      <w:bCs/>
      <w:kern w:val="2"/>
      <w:sz w:val="21"/>
      <w:szCs w:val="32"/>
    </w:rPr>
  </w:style>
  <w:style w:type="paragraph" w:customStyle="1" w:styleId="654">
    <w:name w:val="_Style 646"/>
    <w:basedOn w:val="1"/>
    <w:next w:val="167"/>
    <w:qFormat/>
    <w:uiPriority w:val="0"/>
    <w:pPr>
      <w:ind w:firstLine="420" w:firstLineChars="200"/>
    </w:pPr>
    <w:rPr>
      <w:rFonts w:ascii="Calibri" w:hAnsi="Calibri" w:eastAsia="宋体"/>
      <w:snapToGrid/>
      <w:kern w:val="2"/>
      <w:szCs w:val="22"/>
    </w:rPr>
  </w:style>
  <w:style w:type="character" w:customStyle="1" w:styleId="655">
    <w:name w:val="批注文字 Char3"/>
    <w:qFormat/>
    <w:uiPriority w:val="0"/>
    <w:rPr>
      <w:kern w:val="2"/>
      <w:sz w:val="21"/>
      <w:szCs w:val="24"/>
    </w:rPr>
  </w:style>
  <w:style w:type="character" w:customStyle="1" w:styleId="656">
    <w:name w:val="NormalCharacter"/>
    <w:qFormat/>
    <w:uiPriority w:val="0"/>
  </w:style>
  <w:style w:type="paragraph" w:customStyle="1" w:styleId="657">
    <w:name w:val="普通正文"/>
    <w:basedOn w:val="1"/>
    <w:qFormat/>
    <w:uiPriority w:val="0"/>
    <w:pPr>
      <w:adjustRightInd w:val="0"/>
      <w:spacing w:before="120" w:after="120" w:line="360" w:lineRule="auto"/>
      <w:ind w:left="-2" w:right="120" w:firstLine="480"/>
      <w:jc w:val="center"/>
      <w:textAlignment w:val="baseline"/>
    </w:pPr>
    <w:rPr>
      <w:rFonts w:ascii="Arial" w:hAnsi="Arial"/>
      <w:sz w:val="24"/>
    </w:rPr>
  </w:style>
  <w:style w:type="paragraph" w:customStyle="1" w:styleId="658">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table" w:customStyle="1" w:styleId="659">
    <w:name w:val="网格型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0">
    <w:name w:val="纯文本 Char_0_0"/>
    <w:link w:val="661"/>
    <w:qFormat/>
    <w:locked/>
    <w:uiPriority w:val="99"/>
    <w:rPr>
      <w:rFonts w:ascii="宋体" w:hAnsi="Courier New" w:cs="宋体"/>
      <w:kern w:val="2"/>
      <w:sz w:val="21"/>
      <w:szCs w:val="21"/>
    </w:rPr>
  </w:style>
  <w:style w:type="paragraph" w:customStyle="1" w:styleId="661">
    <w:name w:val="纯文本_0_0"/>
    <w:basedOn w:val="662"/>
    <w:link w:val="660"/>
    <w:qFormat/>
    <w:uiPriority w:val="99"/>
    <w:rPr>
      <w:rFonts w:ascii="宋体" w:hAnsi="Courier New" w:cs="宋体"/>
    </w:rPr>
  </w:style>
  <w:style w:type="paragraph" w:customStyle="1" w:styleId="662">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663">
    <w:name w:val="标题 1 Char Char"/>
    <w:qFormat/>
    <w:uiPriority w:val="99"/>
    <w:rPr>
      <w:rFonts w:ascii="宋体" w:hAnsi="宋体" w:eastAsia="宋体" w:cs="宋体"/>
      <w:b/>
      <w:bCs/>
      <w:spacing w:val="-2"/>
      <w:sz w:val="24"/>
      <w:szCs w:val="24"/>
      <w:lang w:val="en-US" w:eastAsia="zh-CN"/>
    </w:rPr>
  </w:style>
  <w:style w:type="character" w:customStyle="1" w:styleId="664">
    <w:name w:val="font51"/>
    <w:qFormat/>
    <w:uiPriority w:val="99"/>
    <w:rPr>
      <w:rFonts w:ascii="宋体" w:hAnsi="宋体" w:eastAsia="宋体" w:cs="宋体"/>
      <w:color w:val="000000"/>
      <w:sz w:val="24"/>
      <w:szCs w:val="24"/>
      <w:u w:val="none"/>
    </w:rPr>
  </w:style>
  <w:style w:type="character" w:customStyle="1" w:styleId="665">
    <w:name w:val="Style Heading 3 + Char"/>
    <w:link w:val="666"/>
    <w:qFormat/>
    <w:locked/>
    <w:uiPriority w:val="99"/>
    <w:rPr>
      <w:b/>
      <w:bCs/>
      <w:kern w:val="2"/>
      <w:sz w:val="28"/>
      <w:szCs w:val="28"/>
    </w:rPr>
  </w:style>
  <w:style w:type="paragraph" w:customStyle="1" w:styleId="666">
    <w:name w:val="Style Heading 3 +"/>
    <w:basedOn w:val="9"/>
    <w:link w:val="665"/>
    <w:qFormat/>
    <w:uiPriority w:val="99"/>
    <w:pPr>
      <w:spacing w:before="120" w:after="120" w:line="120" w:lineRule="atLeast"/>
    </w:pPr>
    <w:rPr>
      <w:rFonts w:ascii="Times New Roman" w:hAnsi="Times New Roman" w:eastAsia="宋体"/>
      <w:snapToGrid/>
      <w:kern w:val="2"/>
      <w:sz w:val="28"/>
      <w:szCs w:val="28"/>
    </w:rPr>
  </w:style>
  <w:style w:type="paragraph" w:customStyle="1" w:styleId="667">
    <w:name w:val="简单回函地址"/>
    <w:basedOn w:val="1"/>
    <w:qFormat/>
    <w:uiPriority w:val="99"/>
    <w:rPr>
      <w:rFonts w:ascii="Times New Roman" w:hAnsi="Times New Roman" w:eastAsia="宋体"/>
      <w:snapToGrid/>
      <w:kern w:val="2"/>
      <w:szCs w:val="21"/>
    </w:rPr>
  </w:style>
  <w:style w:type="paragraph" w:customStyle="1" w:styleId="668">
    <w:name w:val="图文"/>
    <w:basedOn w:val="1"/>
    <w:qFormat/>
    <w:uiPriority w:val="99"/>
    <w:pPr>
      <w:adjustRightInd w:val="0"/>
      <w:snapToGrid w:val="0"/>
      <w:spacing w:after="50" w:line="360" w:lineRule="auto"/>
    </w:pPr>
    <w:rPr>
      <w:rFonts w:ascii="Times New Roman" w:hAnsi="Times New Roman" w:eastAsia="宋体"/>
      <w:snapToGrid/>
      <w:kern w:val="2"/>
      <w:sz w:val="24"/>
    </w:rPr>
  </w:style>
  <w:style w:type="paragraph" w:customStyle="1" w:styleId="669">
    <w:name w:val="Plain Text1"/>
    <w:basedOn w:val="1"/>
    <w:qFormat/>
    <w:uiPriority w:val="99"/>
    <w:pPr>
      <w:widowControl/>
      <w:adjustRightInd w:val="0"/>
      <w:jc w:val="left"/>
      <w:textAlignment w:val="baseline"/>
    </w:pPr>
    <w:rPr>
      <w:rFonts w:ascii="宋体" w:hAnsi="Courier New" w:eastAsia="楷体_GB2312" w:cs="宋体"/>
      <w:snapToGrid/>
      <w:sz w:val="26"/>
      <w:szCs w:val="26"/>
    </w:rPr>
  </w:style>
  <w:style w:type="paragraph" w:customStyle="1" w:styleId="670">
    <w:name w:val="6"/>
    <w:basedOn w:val="1"/>
    <w:qFormat/>
    <w:uiPriority w:val="99"/>
    <w:pPr>
      <w:widowControl/>
      <w:spacing w:after="160" w:line="240" w:lineRule="exact"/>
      <w:jc w:val="left"/>
    </w:pPr>
    <w:rPr>
      <w:rFonts w:ascii="Verdana" w:hAnsi="Verdana" w:eastAsia="仿宋_GB2312" w:cs="Verdana"/>
      <w:snapToGrid/>
      <w:sz w:val="24"/>
      <w:lang w:eastAsia="en-US"/>
    </w:rPr>
  </w:style>
  <w:style w:type="paragraph" w:customStyle="1" w:styleId="671">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672">
    <w:name w:val="Normal_12_0"/>
    <w:qFormat/>
    <w:uiPriority w:val="99"/>
    <w:rPr>
      <w:rFonts w:ascii="黑体" w:hAnsi="黑体" w:eastAsia="黑体" w:cs="黑体"/>
      <w:b/>
      <w:bCs/>
      <w:sz w:val="32"/>
      <w:szCs w:val="32"/>
      <w:lang w:val="en-US" w:eastAsia="zh-CN" w:bidi="ar-SA"/>
    </w:rPr>
  </w:style>
  <w:style w:type="paragraph" w:customStyle="1" w:styleId="673">
    <w:name w:val="正文缩进2格"/>
    <w:basedOn w:val="1"/>
    <w:qFormat/>
    <w:uiPriority w:val="99"/>
    <w:pPr>
      <w:spacing w:line="600" w:lineRule="exact"/>
      <w:ind w:firstLine="639" w:firstLineChars="206"/>
    </w:pPr>
    <w:rPr>
      <w:rFonts w:ascii="仿宋_GB2312" w:hAnsi="宋体" w:eastAsia="仿宋_GB2312" w:cs="仿宋_GB2312"/>
      <w:snapToGrid/>
      <w:kern w:val="2"/>
      <w:sz w:val="31"/>
      <w:szCs w:val="31"/>
    </w:rPr>
  </w:style>
  <w:style w:type="paragraph" w:customStyle="1" w:styleId="674">
    <w:name w:val="列出段落11"/>
    <w:basedOn w:val="1"/>
    <w:qFormat/>
    <w:uiPriority w:val="99"/>
    <w:pPr>
      <w:ind w:firstLine="200" w:firstLineChars="200"/>
    </w:pPr>
    <w:rPr>
      <w:rFonts w:ascii="Calibri" w:hAnsi="Calibri" w:eastAsia="宋体" w:cs="Calibri"/>
      <w:snapToGrid/>
      <w:kern w:val="2"/>
      <w:szCs w:val="21"/>
    </w:rPr>
  </w:style>
  <w:style w:type="paragraph" w:customStyle="1" w:styleId="675">
    <w:name w:val="样式 标题 1 + 宋体 段前: 0 磅 段后: 0 磅 行距: 单倍行距"/>
    <w:basedOn w:val="7"/>
    <w:next w:val="1"/>
    <w:qFormat/>
    <w:uiPriority w:val="99"/>
    <w:pPr>
      <w:keepLines/>
      <w:adjustRightInd w:val="0"/>
      <w:spacing w:before="340" w:beforeLines="100" w:after="330" w:afterLines="100" w:line="578" w:lineRule="atLeast"/>
      <w:jc w:val="both"/>
      <w:textAlignment w:val="baseline"/>
    </w:pPr>
    <w:rPr>
      <w:rFonts w:ascii="仿宋_GB2312" w:hAnsi="宋体" w:cs="仿宋_GB2312"/>
      <w:bCs/>
    </w:rPr>
  </w:style>
  <w:style w:type="paragraph" w:customStyle="1" w:styleId="676">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character" w:customStyle="1" w:styleId="677">
    <w:name w:val="font91"/>
    <w:qFormat/>
    <w:uiPriority w:val="99"/>
    <w:rPr>
      <w:rFonts w:ascii="宋体" w:hAnsi="宋体" w:eastAsia="宋体" w:cs="宋体"/>
      <w:color w:val="000000"/>
      <w:sz w:val="20"/>
      <w:szCs w:val="20"/>
      <w:u w:val="none"/>
    </w:rPr>
  </w:style>
  <w:style w:type="character" w:customStyle="1" w:styleId="678">
    <w:name w:val="font81"/>
    <w:qFormat/>
    <w:uiPriority w:val="99"/>
    <w:rPr>
      <w:rFonts w:ascii="Arial" w:hAnsi="Arial" w:cs="Arial"/>
      <w:color w:val="000000"/>
      <w:sz w:val="20"/>
      <w:szCs w:val="20"/>
      <w:u w:val="none"/>
    </w:rPr>
  </w:style>
  <w:style w:type="character" w:customStyle="1" w:styleId="679">
    <w:name w:val="font111"/>
    <w:qFormat/>
    <w:uiPriority w:val="99"/>
    <w:rPr>
      <w:rFonts w:ascii="宋体" w:hAnsi="宋体" w:eastAsia="宋体" w:cs="宋体"/>
      <w:color w:val="000000"/>
      <w:sz w:val="20"/>
      <w:szCs w:val="20"/>
      <w:u w:val="none"/>
    </w:rPr>
  </w:style>
  <w:style w:type="character" w:customStyle="1" w:styleId="680">
    <w:name w:val="font101"/>
    <w:qFormat/>
    <w:uiPriority w:val="99"/>
    <w:rPr>
      <w:rFonts w:ascii="仿宋" w:hAnsi="仿宋" w:eastAsia="仿宋" w:cs="仿宋"/>
      <w:color w:val="000000"/>
      <w:sz w:val="20"/>
      <w:szCs w:val="20"/>
      <w:u w:val="none"/>
    </w:rPr>
  </w:style>
  <w:style w:type="character" w:customStyle="1" w:styleId="681">
    <w:name w:val="font71"/>
    <w:qFormat/>
    <w:uiPriority w:val="99"/>
    <w:rPr>
      <w:rFonts w:ascii="Wingdings 2" w:hAnsi="Wingdings 2" w:cs="Wingdings 2"/>
      <w:color w:val="000000"/>
      <w:sz w:val="20"/>
      <w:szCs w:val="20"/>
      <w:u w:val="none"/>
    </w:rPr>
  </w:style>
  <w:style w:type="paragraph" w:customStyle="1" w:styleId="682">
    <w:name w:val="msonormalcxspmiddle"/>
    <w:basedOn w:val="1"/>
    <w:qFormat/>
    <w:uiPriority w:val="99"/>
    <w:pPr>
      <w:widowControl/>
      <w:spacing w:before="100" w:beforeAutospacing="1" w:after="100" w:afterAutospacing="1"/>
      <w:jc w:val="left"/>
    </w:pPr>
    <w:rPr>
      <w:rFonts w:ascii="宋体" w:hAnsi="宋体" w:eastAsia="宋体" w:cs="宋体"/>
      <w:snapToGrid/>
      <w:sz w:val="24"/>
    </w:rPr>
  </w:style>
  <w:style w:type="paragraph" w:customStyle="1" w:styleId="683">
    <w:name w:val="Other|1"/>
    <w:basedOn w:val="1"/>
    <w:qFormat/>
    <w:uiPriority w:val="0"/>
    <w:pPr>
      <w:spacing w:line="413" w:lineRule="auto"/>
      <w:ind w:firstLine="400"/>
    </w:pPr>
    <w:rPr>
      <w:rFonts w:ascii="宋体" w:hAnsi="宋体" w:eastAsia="宋体" w:cs="宋体"/>
      <w:snapToGrid/>
      <w:kern w:val="2"/>
      <w:sz w:val="26"/>
      <w:szCs w:val="26"/>
      <w:lang w:val="zh-TW" w:eastAsia="zh-TW" w:bidi="zh-TW"/>
    </w:rPr>
  </w:style>
  <w:style w:type="table" w:customStyle="1" w:styleId="684">
    <w:name w:val="网格型11"/>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85">
    <w:name w:val="网格型2"/>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976DC5-ED92-43FD-B22A-AA5D237C414D}">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53</Pages>
  <Words>11926</Words>
  <Characters>12622</Characters>
  <Lines>463</Lines>
  <Paragraphs>130</Paragraphs>
  <TotalTime>6</TotalTime>
  <ScaleCrop>false</ScaleCrop>
  <LinksUpToDate>false</LinksUpToDate>
  <CharactersWithSpaces>12865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2024-11-26T02:44:00Z</dcterms:created>
  <dc:creator>JSJG</dc:creator>
  <cp:lastModifiedBy>包包</cp:lastModifiedBy>
  <cp:lastPrinted>2019-06-20T06:04:00Z</cp:lastPrinted>
  <dcterms:modified xsi:type="dcterms:W3CDTF">2025-03-25T06:17:31Z</dcterms:modified>
  <dc:title>张家港市政府采购竞争性谈判采购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02DB5EAE822F4620840AF643AC175079_13</vt:lpwstr>
  </property>
  <property fmtid="{D5CDD505-2E9C-101B-9397-08002B2CF9AE}" pid="4" name="KSOTemplateDocerSaveRecord">
    <vt:lpwstr>eyJoZGlkIjoiOWIyY2NhMTQzODM0NzBjZDJjODk5NjZlMDRhNWZmMDAiLCJ1c2VySWQiOiIyNjczNjA0NjAifQ==</vt:lpwstr>
  </property>
</Properties>
</file>