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rPr>
          <w:rFonts w:asciiTheme="minorEastAsia" w:hAnsiTheme="minorEastAsia" w:eastAsiaTheme="minorEastAsia" w:cstheme="minorEastAsia"/>
          <w:sz w:val="11"/>
          <w:szCs w:val="11"/>
          <w:highlight w:val="none"/>
        </w:rPr>
      </w:pPr>
    </w:p>
    <w:p>
      <w:pPr>
        <w:shd w:val="clear" w:color="auto" w:fill="FFFFFF"/>
        <w:spacing w:line="560" w:lineRule="exact"/>
        <w:ind w:right="-197" w:rightChars="-94"/>
        <w:jc w:val="center"/>
        <w:rPr>
          <w:rFonts w:asciiTheme="minorEastAsia" w:hAnsiTheme="minorEastAsia" w:eastAsiaTheme="minorEastAsia" w:cstheme="minorEastAsia"/>
          <w:b/>
          <w:bCs/>
          <w:snapToGrid/>
          <w:kern w:val="2"/>
          <w:sz w:val="36"/>
          <w:szCs w:val="36"/>
          <w:highlight w:val="none"/>
        </w:rPr>
      </w:pPr>
      <w:bookmarkStart w:id="0" w:name="OLE_LINK32"/>
      <w:r>
        <w:rPr>
          <w:rFonts w:hint="eastAsia" w:asciiTheme="minorEastAsia" w:hAnsiTheme="minorEastAsia" w:eastAsiaTheme="minorEastAsia" w:cstheme="minorEastAsia"/>
          <w:b/>
          <w:bCs/>
          <w:snapToGrid/>
          <w:kern w:val="2"/>
          <w:sz w:val="36"/>
          <w:szCs w:val="36"/>
          <w:highlight w:val="none"/>
        </w:rPr>
        <w:t>南通市图书馆及综合服务中心档案库房恒温恒湿机组改造项目</w:t>
      </w:r>
    </w:p>
    <w:p>
      <w:pPr>
        <w:shd w:val="clear" w:color="auto" w:fill="FFFFFF"/>
        <w:spacing w:line="560" w:lineRule="exact"/>
        <w:ind w:right="-197" w:rightChars="-94"/>
        <w:jc w:val="center"/>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bCs/>
          <w:snapToGrid/>
          <w:kern w:val="2"/>
          <w:sz w:val="36"/>
          <w:szCs w:val="36"/>
          <w:highlight w:val="none"/>
        </w:rPr>
        <w:t>（重新采购）</w:t>
      </w:r>
    </w:p>
    <w:bookmarkEnd w:id="0"/>
    <w:p>
      <w:pPr>
        <w:tabs>
          <w:tab w:val="left" w:pos="6300"/>
        </w:tabs>
        <w:snapToGrid w:val="0"/>
        <w:spacing w:line="300" w:lineRule="auto"/>
        <w:jc w:val="center"/>
        <w:rPr>
          <w:rFonts w:asciiTheme="minorEastAsia" w:hAnsiTheme="minorEastAsia" w:eastAsiaTheme="minorEastAsia" w:cstheme="minorEastAsia"/>
          <w:b/>
          <w:w w:val="80"/>
          <w:sz w:val="56"/>
          <w:szCs w:val="56"/>
          <w:highlight w:val="none"/>
        </w:rPr>
      </w:pPr>
    </w:p>
    <w:p>
      <w:pPr>
        <w:pStyle w:val="6"/>
        <w:rPr>
          <w:rFonts w:asciiTheme="minorEastAsia" w:hAnsiTheme="minorEastAsia" w:eastAsiaTheme="minorEastAsia" w:cstheme="minorEastAsia"/>
          <w:highlight w:val="none"/>
        </w:rPr>
      </w:pPr>
    </w:p>
    <w:p>
      <w:pPr>
        <w:pStyle w:val="87"/>
        <w:rPr>
          <w:rFonts w:asciiTheme="minorEastAsia" w:hAnsiTheme="minorEastAsia" w:eastAsiaTheme="minorEastAsia" w:cstheme="minorEastAsia"/>
          <w:highlight w:val="none"/>
        </w:rPr>
      </w:pPr>
    </w:p>
    <w:p>
      <w:pPr>
        <w:tabs>
          <w:tab w:val="left" w:pos="1050"/>
          <w:tab w:val="right" w:leader="dot" w:pos="9402"/>
        </w:tabs>
        <w:spacing w:line="1000" w:lineRule="exact"/>
        <w:jc w:val="center"/>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w w:val="80"/>
          <w:sz w:val="72"/>
          <w:szCs w:val="72"/>
          <w:highlight w:val="none"/>
        </w:rPr>
        <w:t>竞争性磋商文件</w:t>
      </w:r>
    </w:p>
    <w:p>
      <w:pPr>
        <w:pStyle w:val="80"/>
        <w:spacing w:line="240" w:lineRule="atLeast"/>
        <w:contextualSpacing/>
        <w:jc w:val="center"/>
        <w:rPr>
          <w:rFonts w:hint="default" w:asciiTheme="minorEastAsia" w:hAnsiTheme="minorEastAsia" w:eastAsiaTheme="minorEastAsia" w:cstheme="minorEastAsia"/>
          <w:b/>
          <w:bCs/>
          <w:sz w:val="44"/>
          <w:szCs w:val="44"/>
          <w:highlight w:val="none"/>
        </w:rPr>
      </w:pPr>
    </w:p>
    <w:p>
      <w:pPr>
        <w:pStyle w:val="80"/>
        <w:spacing w:line="312" w:lineRule="auto"/>
        <w:jc w:val="center"/>
        <w:rPr>
          <w:rFonts w:hint="default" w:asciiTheme="minorEastAsia" w:hAnsiTheme="minorEastAsia" w:eastAsiaTheme="minorEastAsia" w:cstheme="minorEastAsia"/>
          <w:b/>
          <w:snapToGrid w:val="0"/>
          <w:sz w:val="32"/>
          <w:szCs w:val="32"/>
          <w:highlight w:val="none"/>
        </w:rPr>
      </w:pPr>
      <w:r>
        <w:rPr>
          <w:rFonts w:asciiTheme="minorEastAsia" w:hAnsiTheme="minorEastAsia" w:eastAsiaTheme="minorEastAsia" w:cstheme="minorEastAsia"/>
          <w:b/>
          <w:snapToGrid w:val="0"/>
          <w:sz w:val="32"/>
          <w:szCs w:val="32"/>
          <w:highlight w:val="none"/>
        </w:rPr>
        <w:t xml:space="preserve">项目编号：JSZC-320600-JDGS-C2025-0133 </w:t>
      </w:r>
    </w:p>
    <w:p>
      <w:pPr>
        <w:pStyle w:val="80"/>
        <w:spacing w:line="312" w:lineRule="auto"/>
        <w:jc w:val="both"/>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pStyle w:val="80"/>
        <w:spacing w:line="312" w:lineRule="auto"/>
        <w:jc w:val="center"/>
        <w:rPr>
          <w:rStyle w:val="96"/>
          <w:rFonts w:hint="default" w:asciiTheme="minorEastAsia" w:hAnsiTheme="minorEastAsia" w:eastAsiaTheme="minorEastAsia" w:cstheme="minorEastAsia"/>
          <w:sz w:val="30"/>
          <w:highlight w:val="none"/>
        </w:rPr>
      </w:pP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pStyle w:val="80"/>
        <w:spacing w:line="312" w:lineRule="auto"/>
        <w:jc w:val="center"/>
        <w:rPr>
          <w:rStyle w:val="96"/>
          <w:rFonts w:hint="default" w:asciiTheme="minorEastAsia" w:hAnsiTheme="minorEastAsia" w:eastAsiaTheme="minorEastAsia" w:cstheme="minorEastAsia"/>
          <w:snapToGrid w:val="0"/>
          <w:sz w:val="28"/>
          <w:highlight w:val="none"/>
        </w:rPr>
      </w:pPr>
    </w:p>
    <w:p>
      <w:pPr>
        <w:spacing w:line="480" w:lineRule="auto"/>
        <w:ind w:firstLine="1400" w:firstLineChars="500"/>
        <w:rPr>
          <w:rStyle w:val="96"/>
          <w:rFonts w:asciiTheme="minorEastAsia" w:hAnsiTheme="minorEastAsia" w:eastAsiaTheme="minorEastAsia" w:cstheme="minorEastAsia"/>
          <w:sz w:val="28"/>
          <w:highlight w:val="none"/>
        </w:rPr>
      </w:pPr>
      <w:r>
        <w:rPr>
          <w:rStyle w:val="96"/>
          <w:rFonts w:hint="eastAsia" w:asciiTheme="minorEastAsia" w:hAnsiTheme="minorEastAsia" w:eastAsiaTheme="minorEastAsia" w:cstheme="minorEastAsia"/>
          <w:sz w:val="28"/>
          <w:highlight w:val="none"/>
        </w:rPr>
        <w:t>采购单位：</w:t>
      </w:r>
      <w:bookmarkStart w:id="1" w:name="OLE_LINK7"/>
      <w:r>
        <w:rPr>
          <w:rStyle w:val="96"/>
          <w:rFonts w:hint="eastAsia" w:asciiTheme="minorEastAsia" w:hAnsiTheme="minorEastAsia" w:eastAsiaTheme="minorEastAsia" w:cstheme="minorEastAsia"/>
          <w:sz w:val="28"/>
          <w:highlight w:val="none"/>
        </w:rPr>
        <w:t>南通市机关事务管理局</w:t>
      </w:r>
      <w:bookmarkEnd w:id="1"/>
    </w:p>
    <w:p>
      <w:pPr>
        <w:tabs>
          <w:tab w:val="left" w:pos="1050"/>
          <w:tab w:val="right" w:leader="dot" w:pos="9402"/>
        </w:tabs>
        <w:spacing w:line="480" w:lineRule="auto"/>
        <w:ind w:firstLine="1400" w:firstLineChars="500"/>
        <w:rPr>
          <w:rStyle w:val="96"/>
          <w:rFonts w:asciiTheme="minorEastAsia" w:hAnsiTheme="minorEastAsia" w:eastAsiaTheme="minorEastAsia" w:cstheme="minorEastAsia"/>
          <w:sz w:val="28"/>
          <w:highlight w:val="none"/>
        </w:rPr>
      </w:pPr>
      <w:r>
        <w:rPr>
          <w:rStyle w:val="96"/>
          <w:rFonts w:hint="eastAsia" w:asciiTheme="minorEastAsia" w:hAnsiTheme="minorEastAsia" w:eastAsiaTheme="minorEastAsia" w:cstheme="minorEastAsia"/>
          <w:sz w:val="28"/>
          <w:highlight w:val="none"/>
        </w:rPr>
        <w:t>代理机构：江苏建达全过程工程咨询有限公司</w:t>
      </w:r>
    </w:p>
    <w:p>
      <w:pPr>
        <w:tabs>
          <w:tab w:val="left" w:pos="1050"/>
          <w:tab w:val="right" w:leader="dot" w:pos="9402"/>
        </w:tabs>
        <w:spacing w:line="480" w:lineRule="auto"/>
        <w:ind w:firstLine="1400" w:firstLineChars="500"/>
        <w:rPr>
          <w:rFonts w:asciiTheme="minorEastAsia" w:hAnsiTheme="minorEastAsia" w:eastAsiaTheme="minorEastAsia" w:cstheme="minorEastAsia"/>
          <w:b/>
          <w:bCs/>
          <w:sz w:val="44"/>
          <w:highlight w:val="none"/>
        </w:rPr>
      </w:pPr>
      <w:r>
        <w:rPr>
          <w:rStyle w:val="96"/>
          <w:rFonts w:hint="eastAsia" w:asciiTheme="minorEastAsia" w:hAnsiTheme="minorEastAsia" w:eastAsiaTheme="minorEastAsia" w:cstheme="minorEastAsia"/>
          <w:sz w:val="28"/>
          <w:highlight w:val="none"/>
        </w:rPr>
        <w:t>日    期：二〇二六年</w:t>
      </w:r>
      <w:r>
        <w:rPr>
          <w:rStyle w:val="96"/>
          <w:rFonts w:hint="eastAsia" w:asciiTheme="minorEastAsia" w:hAnsiTheme="minorEastAsia" w:eastAsiaTheme="minorEastAsia" w:cstheme="minorEastAsia"/>
          <w:sz w:val="28"/>
          <w:highlight w:val="none"/>
          <w:lang w:val="en-US" w:eastAsia="zh-CN"/>
        </w:rPr>
        <w:t>四</w:t>
      </w:r>
      <w:r>
        <w:rPr>
          <w:rStyle w:val="96"/>
          <w:rFonts w:hint="eastAsia" w:asciiTheme="minorEastAsia" w:hAnsiTheme="minorEastAsia" w:eastAsiaTheme="minorEastAsia" w:cstheme="minorEastAsia"/>
          <w:sz w:val="28"/>
          <w:highlight w:val="none"/>
        </w:rPr>
        <w:t>月</w:t>
      </w:r>
      <w:r>
        <w:rPr>
          <w:rStyle w:val="96"/>
          <w:rFonts w:hint="eastAsia" w:asciiTheme="minorEastAsia" w:hAnsiTheme="minorEastAsia" w:eastAsiaTheme="minorEastAsia" w:cstheme="minorEastAsia"/>
          <w:sz w:val="28"/>
          <w:highlight w:val="none"/>
          <w:lang w:val="en-US" w:eastAsia="zh-CN"/>
        </w:rPr>
        <w:t>二</w:t>
      </w:r>
      <w:r>
        <w:rPr>
          <w:rStyle w:val="96"/>
          <w:rFonts w:hint="eastAsia" w:asciiTheme="minorEastAsia" w:hAnsiTheme="minorEastAsia" w:eastAsiaTheme="minorEastAsia" w:cstheme="minorEastAsia"/>
          <w:sz w:val="28"/>
          <w:highlight w:val="none"/>
        </w:rPr>
        <w:t>日</w:t>
      </w:r>
      <w:r>
        <w:rPr>
          <w:rFonts w:hint="eastAsia" w:asciiTheme="minorEastAsia" w:hAnsiTheme="minorEastAsia" w:eastAsiaTheme="minorEastAsia" w:cstheme="minorEastAsia"/>
          <w:b/>
          <w:bCs/>
          <w:sz w:val="44"/>
          <w:highlight w:val="none"/>
        </w:rPr>
        <w:br w:type="page"/>
      </w:r>
    </w:p>
    <w:p>
      <w:pPr>
        <w:spacing w:line="360" w:lineRule="auto"/>
        <w:jc w:val="center"/>
        <w:rPr>
          <w:rFonts w:asciiTheme="minorEastAsia" w:hAnsiTheme="minorEastAsia" w:eastAsiaTheme="minorEastAsia" w:cstheme="minorEastAsia"/>
          <w:b/>
          <w:bCs/>
          <w:sz w:val="32"/>
          <w:szCs w:val="32"/>
          <w:highlight w:val="none"/>
        </w:rPr>
      </w:pPr>
    </w:p>
    <w:p>
      <w:pPr>
        <w:spacing w:line="360" w:lineRule="auto"/>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40"/>
          <w:szCs w:val="40"/>
          <w:highlight w:val="none"/>
        </w:rPr>
        <w:t>目   录</w:t>
      </w:r>
    </w:p>
    <w:p>
      <w:pPr>
        <w:spacing w:line="360" w:lineRule="auto"/>
        <w:rPr>
          <w:rFonts w:asciiTheme="minorEastAsia" w:hAnsiTheme="minorEastAsia" w:eastAsiaTheme="minorEastAsia" w:cstheme="minorEastAsia"/>
          <w:sz w:val="28"/>
          <w:highlight w:val="none"/>
        </w:rPr>
      </w:pP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第一部分  采购邀请</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 xml:space="preserve">第二部分  </w:t>
      </w:r>
      <w:r>
        <w:rPr>
          <w:rFonts w:hint="eastAsia" w:asciiTheme="minorEastAsia" w:hAnsiTheme="minorEastAsia" w:eastAsiaTheme="minorEastAsia" w:cstheme="minorEastAsia"/>
          <w:kern w:val="2"/>
          <w:sz w:val="32"/>
          <w:szCs w:val="32"/>
          <w:highlight w:val="none"/>
          <w:lang w:bidi="ar"/>
        </w:rPr>
        <w:t>磋商须知</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第三部分</w:t>
      </w:r>
      <w:r>
        <w:rPr>
          <w:rFonts w:hint="eastAsia" w:asciiTheme="minorEastAsia" w:hAnsiTheme="minorEastAsia" w:eastAsiaTheme="minorEastAsia" w:cstheme="minorEastAsia"/>
          <w:kern w:val="2"/>
          <w:sz w:val="32"/>
          <w:szCs w:val="32"/>
          <w:highlight w:val="none"/>
          <w:lang w:bidi="ar"/>
        </w:rPr>
        <w:t xml:space="preserve">  项目需求</w:t>
      </w:r>
    </w:p>
    <w:p>
      <w:pPr>
        <w:spacing w:line="1000" w:lineRule="exact"/>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kern w:val="2"/>
          <w:sz w:val="32"/>
          <w:szCs w:val="32"/>
          <w:highlight w:val="none"/>
          <w:lang w:bidi="ar"/>
        </w:rPr>
        <w:t>第四部分</w:t>
      </w:r>
      <w:r>
        <w:rPr>
          <w:rFonts w:hint="eastAsia" w:asciiTheme="minorEastAsia" w:hAnsiTheme="minorEastAsia" w:eastAsiaTheme="minorEastAsia" w:cstheme="minorEastAsia"/>
          <w:kern w:val="2"/>
          <w:sz w:val="32"/>
          <w:szCs w:val="32"/>
          <w:highlight w:val="none"/>
          <w:lang w:bidi="ar"/>
        </w:rPr>
        <w:t xml:space="preserve">  评审方法和评审标准</w:t>
      </w:r>
    </w:p>
    <w:p>
      <w:pPr>
        <w:spacing w:line="1000" w:lineRule="exact"/>
        <w:rPr>
          <w:rFonts w:asciiTheme="minorEastAsia" w:hAnsiTheme="minorEastAsia" w:eastAsiaTheme="minorEastAsia" w:cstheme="minorEastAsia"/>
          <w:kern w:val="2"/>
          <w:sz w:val="32"/>
          <w:szCs w:val="32"/>
          <w:highlight w:val="none"/>
          <w:lang w:bidi="ar"/>
        </w:rPr>
      </w:pPr>
      <w:r>
        <w:rPr>
          <w:rFonts w:hint="eastAsia" w:asciiTheme="minorEastAsia" w:hAnsiTheme="minorEastAsia" w:eastAsiaTheme="minorEastAsia" w:cstheme="minorEastAsia"/>
          <w:kern w:val="2"/>
          <w:sz w:val="32"/>
          <w:szCs w:val="32"/>
          <w:highlight w:val="none"/>
          <w:lang w:bidi="ar"/>
        </w:rPr>
        <w:t>第五</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bidi="ar"/>
        </w:rPr>
        <w:t xml:space="preserve">  合同条款</w:t>
      </w:r>
    </w:p>
    <w:p>
      <w:pPr>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bidi="ar"/>
        </w:rPr>
        <w:t>第六</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bidi="ar"/>
        </w:rPr>
        <w:t xml:space="preserve">  </w:t>
      </w:r>
      <w:r>
        <w:rPr>
          <w:rFonts w:hint="eastAsia" w:asciiTheme="minorEastAsia" w:hAnsiTheme="minorEastAsia" w:eastAsiaTheme="minorEastAsia" w:cstheme="minorEastAsia"/>
          <w:kern w:val="2"/>
          <w:sz w:val="32"/>
          <w:szCs w:val="32"/>
          <w:highlight w:val="none"/>
          <w:lang w:val="zh-CN" w:bidi="ar"/>
        </w:rPr>
        <w:t>响应文件组成</w:t>
      </w:r>
    </w:p>
    <w:p>
      <w:pPr>
        <w:snapToGrid w:val="0"/>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val="zh-CN" w:bidi="ar"/>
        </w:rPr>
        <w:t>第</w:t>
      </w:r>
      <w:r>
        <w:rPr>
          <w:rFonts w:hint="eastAsia" w:asciiTheme="minorEastAsia" w:hAnsiTheme="minorEastAsia" w:eastAsiaTheme="minorEastAsia" w:cstheme="minorEastAsia"/>
          <w:kern w:val="2"/>
          <w:sz w:val="32"/>
          <w:szCs w:val="32"/>
          <w:highlight w:val="none"/>
          <w:lang w:bidi="ar"/>
        </w:rPr>
        <w:t>七</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val="zh-CN" w:bidi="ar"/>
        </w:rPr>
        <w:t xml:space="preserve">  工程量清单</w:t>
      </w:r>
    </w:p>
    <w:p>
      <w:pPr>
        <w:snapToGrid w:val="0"/>
        <w:spacing w:line="1000" w:lineRule="exact"/>
        <w:rPr>
          <w:rFonts w:asciiTheme="minorEastAsia" w:hAnsiTheme="minorEastAsia" w:eastAsiaTheme="minorEastAsia" w:cstheme="minorEastAsia"/>
          <w:kern w:val="2"/>
          <w:sz w:val="32"/>
          <w:szCs w:val="32"/>
          <w:highlight w:val="none"/>
          <w:lang w:val="zh-CN" w:bidi="ar"/>
        </w:rPr>
      </w:pPr>
      <w:r>
        <w:rPr>
          <w:rFonts w:hint="eastAsia" w:asciiTheme="minorEastAsia" w:hAnsiTheme="minorEastAsia" w:eastAsiaTheme="minorEastAsia" w:cstheme="minorEastAsia"/>
          <w:kern w:val="2"/>
          <w:sz w:val="32"/>
          <w:szCs w:val="32"/>
          <w:highlight w:val="none"/>
          <w:lang w:val="zh-CN" w:bidi="ar"/>
        </w:rPr>
        <w:t>第</w:t>
      </w:r>
      <w:r>
        <w:rPr>
          <w:rFonts w:hint="eastAsia" w:asciiTheme="minorEastAsia" w:hAnsiTheme="minorEastAsia" w:eastAsiaTheme="minorEastAsia" w:cstheme="minorEastAsia"/>
          <w:kern w:val="2"/>
          <w:sz w:val="32"/>
          <w:szCs w:val="32"/>
          <w:highlight w:val="none"/>
          <w:lang w:bidi="ar"/>
        </w:rPr>
        <w:t>八</w:t>
      </w:r>
      <w:r>
        <w:rPr>
          <w:rFonts w:hint="eastAsia" w:asciiTheme="minorEastAsia" w:hAnsiTheme="minorEastAsia" w:eastAsiaTheme="minorEastAsia" w:cstheme="minorEastAsia"/>
          <w:bCs/>
          <w:kern w:val="2"/>
          <w:sz w:val="32"/>
          <w:szCs w:val="32"/>
          <w:highlight w:val="none"/>
          <w:lang w:bidi="ar"/>
        </w:rPr>
        <w:t>部分</w:t>
      </w:r>
      <w:r>
        <w:rPr>
          <w:rFonts w:hint="eastAsia" w:asciiTheme="minorEastAsia" w:hAnsiTheme="minorEastAsia" w:eastAsiaTheme="minorEastAsia" w:cstheme="minorEastAsia"/>
          <w:kern w:val="2"/>
          <w:sz w:val="32"/>
          <w:szCs w:val="32"/>
          <w:highlight w:val="none"/>
          <w:lang w:val="zh-CN" w:bidi="ar"/>
        </w:rPr>
        <w:t xml:space="preserve">  图纸</w:t>
      </w:r>
    </w:p>
    <w:p>
      <w:pPr>
        <w:pStyle w:val="70"/>
        <w:rPr>
          <w:rFonts w:asciiTheme="minorEastAsia" w:hAnsiTheme="minorEastAsia" w:eastAsiaTheme="minorEastAsia" w:cstheme="minorEastAsia"/>
          <w:sz w:val="18"/>
          <w:szCs w:val="18"/>
          <w:highlight w:val="none"/>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pPr>
        <w:spacing w:before="120" w:beforeLines="50" w:after="120" w:afterLines="50" w:line="360" w:lineRule="auto"/>
        <w:jc w:val="center"/>
        <w:rPr>
          <w:rFonts w:asciiTheme="minorEastAsia" w:hAnsiTheme="minorEastAsia" w:eastAsiaTheme="minorEastAsia" w:cstheme="minorEastAsia"/>
          <w:b/>
          <w:bCs/>
          <w:snapToGrid/>
          <w:w w:val="80"/>
          <w:kern w:val="2"/>
          <w:sz w:val="44"/>
          <w:szCs w:val="44"/>
          <w:highlight w:val="none"/>
        </w:rPr>
      </w:pPr>
      <w:bookmarkStart w:id="2" w:name="_Toc363573853"/>
      <w:r>
        <w:rPr>
          <w:rFonts w:hint="eastAsia" w:asciiTheme="minorEastAsia" w:hAnsiTheme="minorEastAsia" w:eastAsiaTheme="minorEastAsia" w:cstheme="minorEastAsia"/>
          <w:b/>
          <w:bCs/>
          <w:snapToGrid/>
          <w:w w:val="80"/>
          <w:kern w:val="2"/>
          <w:sz w:val="44"/>
          <w:szCs w:val="44"/>
          <w:highlight w:val="none"/>
        </w:rPr>
        <w:t xml:space="preserve">第一部分  </w:t>
      </w:r>
      <w:bookmarkEnd w:id="2"/>
      <w:r>
        <w:rPr>
          <w:rFonts w:hint="eastAsia" w:asciiTheme="minorEastAsia" w:hAnsiTheme="minorEastAsia" w:eastAsiaTheme="minorEastAsia" w:cstheme="minorEastAsia"/>
          <w:b/>
          <w:bCs/>
          <w:snapToGrid/>
          <w:w w:val="80"/>
          <w:kern w:val="2"/>
          <w:sz w:val="44"/>
          <w:szCs w:val="44"/>
          <w:highlight w:val="none"/>
        </w:rPr>
        <w:t>采购邀请</w:t>
      </w:r>
    </w:p>
    <w:p>
      <w:pPr>
        <w:pStyle w:val="87"/>
        <w:snapToGrid w:val="0"/>
        <w:spacing w:after="0" w:line="360" w:lineRule="auto"/>
        <w:ind w:left="0" w:leftChars="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受南通市机关事务管理局的委托，江苏建达全过程工程咨询有限公司就南通市图书馆及综合服务中心档案库房恒温恒湿机组改造项目（重新采购）（项目编号：JSZC-320600-JDGS-C2025-0133）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pPr>
              <w:snapToGrid w:val="0"/>
              <w:spacing w:line="360" w:lineRule="auto"/>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
                <w:bCs/>
                <w:snapToGrid/>
                <w:kern w:val="2"/>
                <w:sz w:val="24"/>
                <w:highlight w:val="none"/>
              </w:rPr>
              <w:t>项目概况</w:t>
            </w:r>
          </w:p>
          <w:p>
            <w:pPr>
              <w:pStyle w:val="4"/>
              <w:snapToGrid w:val="0"/>
              <w:spacing w:before="0" w:after="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val="0"/>
                <w:bCs w:val="0"/>
                <w:sz w:val="24"/>
                <w:highlight w:val="none"/>
              </w:rPr>
              <w:t>南通市图书馆及综合服务中心档案库房恒温恒湿机组改造项目（重新采购）的潜在供应商应在“南通市机关事务管理局→公告公示”栏获取采购文件，并于2026年</w:t>
            </w:r>
            <w:r>
              <w:rPr>
                <w:rFonts w:hint="eastAsia" w:asciiTheme="minorEastAsia" w:hAnsiTheme="minorEastAsia" w:eastAsiaTheme="minorEastAsia" w:cstheme="minorEastAsia"/>
                <w:b w:val="0"/>
                <w:bCs w:val="0"/>
                <w:sz w:val="24"/>
                <w:highlight w:val="none"/>
                <w:lang w:val="en-US" w:eastAsia="zh-CN"/>
              </w:rPr>
              <w:t>4</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13</w:t>
            </w:r>
            <w:r>
              <w:rPr>
                <w:rFonts w:hint="eastAsia" w:asciiTheme="minorEastAsia" w:hAnsiTheme="minorEastAsia" w:eastAsiaTheme="minorEastAsia" w:cstheme="minorEastAsia"/>
                <w:b w:val="0"/>
                <w:bCs w:val="0"/>
                <w:sz w:val="24"/>
                <w:highlight w:val="none"/>
              </w:rPr>
              <w:t>日14时00分00秒（北京时间）前提交响应文件。</w:t>
            </w:r>
          </w:p>
        </w:tc>
      </w:tr>
    </w:tbl>
    <w:p>
      <w:pPr>
        <w:rPr>
          <w:rFonts w:asciiTheme="minorEastAsia" w:hAnsiTheme="minorEastAsia" w:eastAsiaTheme="minorEastAsia" w:cstheme="minorEastAsia"/>
          <w:highlight w:val="none"/>
        </w:rPr>
      </w:pPr>
    </w:p>
    <w:p>
      <w:pPr>
        <w:pStyle w:val="4"/>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1、项目编号：JSZC-320600-JDGS-C2025-0133 </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2、项目名称：南通市图书馆及综合服务中心档案库房恒温恒湿机组改造项目（重新采购）</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3、项目类型：工程</w:t>
      </w:r>
    </w:p>
    <w:p>
      <w:pPr>
        <w:pStyle w:val="87"/>
        <w:ind w:left="0" w:leftChars="0"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4、所属行业：建筑业</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5、预算金额：人民币90万元。</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6、最高限价：本次项目总价最高限价人民币</w:t>
      </w:r>
      <w:r>
        <w:rPr>
          <w:rFonts w:hint="eastAsia" w:asciiTheme="minorEastAsia" w:hAnsiTheme="minorEastAsia" w:eastAsiaTheme="minorEastAsia" w:cstheme="minorEastAsia"/>
          <w:sz w:val="24"/>
          <w:highlight w:val="none"/>
          <w:lang w:eastAsia="zh-CN"/>
        </w:rPr>
        <w:t>88.176649</w:t>
      </w:r>
      <w:r>
        <w:rPr>
          <w:rFonts w:hint="eastAsia" w:asciiTheme="minorEastAsia" w:hAnsiTheme="minorEastAsia" w:eastAsiaTheme="minorEastAsia" w:cstheme="minorEastAsia"/>
          <w:sz w:val="24"/>
          <w:highlight w:val="none"/>
        </w:rPr>
        <w:t>万元（其中暂列金</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万元），报价超过</w:t>
      </w:r>
      <w:r>
        <w:rPr>
          <w:rFonts w:hint="eastAsia" w:asciiTheme="minorEastAsia" w:hAnsiTheme="minorEastAsia" w:eastAsiaTheme="minorEastAsia" w:cstheme="minorEastAsia"/>
          <w:sz w:val="24"/>
          <w:highlight w:val="none"/>
          <w:lang w:eastAsia="zh-CN"/>
        </w:rPr>
        <w:t>88.176649</w:t>
      </w:r>
      <w:r>
        <w:rPr>
          <w:rFonts w:hint="eastAsia" w:asciiTheme="minorEastAsia" w:hAnsiTheme="minorEastAsia" w:eastAsiaTheme="minorEastAsia" w:cstheme="minorEastAsia"/>
          <w:sz w:val="24"/>
          <w:highlight w:val="none"/>
        </w:rPr>
        <w:t>万元的为无效报价；首次报价不得高于最高限价，否则做无效响应处理。</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7、采购需求：立式上出风恒温恒湿空调机组室内机6套等</w:t>
      </w:r>
      <w:r>
        <w:rPr>
          <w:rFonts w:hint="eastAsia" w:asciiTheme="minorEastAsia" w:hAnsiTheme="minorEastAsia" w:eastAsiaTheme="minorEastAsia" w:cstheme="minorEastAsia"/>
          <w:sz w:val="24"/>
          <w:highlight w:val="none"/>
          <w:lang w:val="en-US" w:eastAsia="zh-CN"/>
        </w:rPr>
        <w:t>设备</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yellow"/>
        </w:rPr>
        <w:t>拆除旧设备（不含回收）并放至</w:t>
      </w:r>
      <w:r>
        <w:rPr>
          <w:rFonts w:hint="eastAsia" w:asciiTheme="minorEastAsia" w:hAnsiTheme="minorEastAsia" w:eastAsiaTheme="minorEastAsia" w:cstheme="minorEastAsia"/>
          <w:sz w:val="24"/>
          <w:highlight w:val="yellow"/>
          <w:lang w:val="en-US" w:eastAsia="zh-CN"/>
        </w:rPr>
        <w:t>采购人</w:t>
      </w:r>
      <w:r>
        <w:rPr>
          <w:rFonts w:hint="eastAsia" w:asciiTheme="minorEastAsia" w:hAnsiTheme="minorEastAsia" w:eastAsiaTheme="minorEastAsia" w:cstheme="minorEastAsia"/>
          <w:sz w:val="24"/>
          <w:highlight w:val="yellow"/>
        </w:rPr>
        <w:t>指定位置</w:t>
      </w:r>
      <w:r>
        <w:rPr>
          <w:rFonts w:hint="eastAsia" w:asciiTheme="minorEastAsia" w:hAnsiTheme="minorEastAsia" w:eastAsiaTheme="minorEastAsia" w:cstheme="minorEastAsia"/>
          <w:sz w:val="24"/>
          <w:highlight w:val="none"/>
        </w:rPr>
        <w:t>。具体详见《第三部分 项目需求》。</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8、合同履行期限：签订合同后45天内完成（实际开工日期以采购人通知为准）。</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9、本项目是否接受联合体投标：否。</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10、本项目不接受分包。</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二、供应商的资格要求：</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1.满足《中华人民共和国政府采购法》第二十二条规定。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本项目采购标的对应的中小企业划分标准所属行业为：“建筑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 备注：本项目专门面向中小企业，不享受价格扣除优惠政策。</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3.本项目的特定资格要求：</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3.1提供营业执照副本复印件；</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3.2磋商响应供应商具有机电工程施工总承包三级及以上资质或建筑机电安装工程专业三级及以上资质（须在有效期内），具备安全生产条件，并取得安全生产许可证；</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3.3项目负责人为机电工程专业二级及以上注册建造师执业资格且具有安全生产考核合格证（B证）；以上证书的注册单位均须为本供应商，且必须满足下列条件：</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(1)项目负责人不得同时在两个或者两个以上单位受聘或者执业。</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采购的工程属于同一工程项目、同一项目批文、同一施工地点分段发包或分期施工的情况且总的工程规模在项目负责人执业范围之内。</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注：①拟派项目负责人为供应商的正式员工，提供有效的响应供应商与拟派项目负责人双方签订的有效劳动合同书及养老保险缴纳证明材料（供应商为其缴纳的响应截止时间前三个月任意一个月（不含响应截止时间当月）的养老保险缴纳证明材料（若为响应截止时间当月新开办企业，则无需提供））；</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②拟派项目负责人须根据《住房和城乡建设部办公厅关于全面实行一级建造师电子注册证书的通知》(建办市(2021)40号)、《省住房和城乡建设厅关于我省二级建造师、二级造价工程师、二级注册建筑师、二级注册结构工程师注册证书电子证照换发的公告》((2023)第 26号)的规定文件要求执行，其他省份二级建造师注册证书按当地相关规定执行，否则不予认可。</w:t>
      </w:r>
    </w:p>
    <w:p>
      <w:pPr>
        <w:pStyle w:val="4"/>
        <w:keepNext w:val="0"/>
        <w:keepLines w:val="0"/>
        <w:adjustRightInd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3.4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三、获取采购文件</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  间：</w:t>
      </w:r>
      <w:r>
        <w:rPr>
          <w:rFonts w:hint="eastAsia" w:asciiTheme="minorEastAsia" w:hAnsiTheme="minorEastAsia" w:eastAsiaTheme="minorEastAsia" w:cstheme="minorEastAsia"/>
          <w:sz w:val="24"/>
          <w:highlight w:val="none"/>
          <w:u w:val="single" w:color="000000"/>
        </w:rPr>
        <w:t>自本公告发布之日起</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13</w:t>
      </w:r>
      <w:r>
        <w:rPr>
          <w:rFonts w:hint="eastAsia" w:asciiTheme="minorEastAsia" w:hAnsiTheme="minorEastAsia" w:eastAsiaTheme="minorEastAsia" w:cstheme="minorEastAsia"/>
          <w:sz w:val="24"/>
          <w:highlight w:val="none"/>
          <w:u w:val="single" w:color="000000"/>
        </w:rPr>
        <w:t>日14时00分</w:t>
      </w: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rPr>
        <w:t>地  点：</w:t>
      </w:r>
      <w:r>
        <w:rPr>
          <w:rFonts w:hint="eastAsia" w:asciiTheme="minorEastAsia" w:hAnsiTheme="minorEastAsia" w:eastAsiaTheme="minorEastAsia" w:cstheme="minorEastAsia"/>
          <w:snapToGrid/>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rPr>
        <w:t>方  式：自行下载。</w:t>
      </w:r>
    </w:p>
    <w:p>
      <w:pPr>
        <w:pStyle w:val="4"/>
        <w:keepNext w:val="0"/>
        <w:keepLines w:val="0"/>
        <w:adjustRightInd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四、提交响应文件截止时间、磋商时间和地点</w:t>
      </w:r>
    </w:p>
    <w:p>
      <w:pPr>
        <w:snapToGrid w:val="0"/>
        <w:spacing w:line="360" w:lineRule="auto"/>
        <w:ind w:firstLine="480" w:firstLineChars="200"/>
        <w:textAlignment w:val="baseline"/>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bookmarkStart w:id="3" w:name="OLE_LINK37"/>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13</w:t>
      </w:r>
      <w:r>
        <w:rPr>
          <w:rFonts w:hint="eastAsia" w:asciiTheme="minorEastAsia" w:hAnsiTheme="minorEastAsia" w:eastAsiaTheme="minorEastAsia" w:cstheme="minorEastAsia"/>
          <w:sz w:val="24"/>
          <w:highlight w:val="none"/>
          <w:u w:val="single" w:color="000000"/>
        </w:rPr>
        <w:t>日14</w:t>
      </w:r>
      <w:r>
        <w:rPr>
          <w:rFonts w:hint="eastAsia" w:asciiTheme="minorEastAsia" w:hAnsiTheme="minorEastAsia" w:eastAsiaTheme="minorEastAsia" w:cstheme="minorEastAsia"/>
          <w:bCs/>
          <w:sz w:val="24"/>
          <w:highlight w:val="none"/>
          <w:u w:val="single"/>
        </w:rPr>
        <w:t>时00分00秒</w:t>
      </w:r>
      <w:bookmarkEnd w:id="3"/>
      <w:r>
        <w:rPr>
          <w:rFonts w:hint="eastAsia" w:asciiTheme="minorEastAsia" w:hAnsiTheme="minorEastAsia" w:eastAsiaTheme="minorEastAsia" w:cstheme="minorEastAsia"/>
          <w:bCs/>
          <w:sz w:val="24"/>
          <w:highlight w:val="none"/>
        </w:rPr>
        <w:t>（北京时间），逾时，采购单位将拒绝接受其响应文件。</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地点：</w:t>
      </w:r>
      <w:r>
        <w:rPr>
          <w:rFonts w:hint="eastAsia" w:asciiTheme="minorEastAsia" w:hAnsiTheme="minorEastAsia" w:eastAsiaTheme="minorEastAsia" w:cstheme="minorEastAsia"/>
          <w:sz w:val="24"/>
          <w:highlight w:val="none"/>
          <w:u w:val="single" w:color="000000"/>
        </w:rPr>
        <w:t>南通市崇川区世纪大道18号恒隆国际B座1402开标室，如有变动另行通知。</w:t>
      </w:r>
    </w:p>
    <w:p>
      <w:pPr>
        <w:pStyle w:val="4"/>
        <w:keepNext w:val="0"/>
        <w:keepLines w:val="0"/>
        <w:snapToGrid w:val="0"/>
        <w:spacing w:before="0" w:after="0"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五、响应文件的开启</w:t>
      </w:r>
    </w:p>
    <w:p>
      <w:pPr>
        <w:snapToGrid w:val="0"/>
        <w:spacing w:line="360" w:lineRule="auto"/>
        <w:ind w:firstLine="480" w:firstLineChars="200"/>
        <w:textAlignment w:val="baseline"/>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 xml:space="preserve">时  间： </w:t>
      </w:r>
      <w:r>
        <w:rPr>
          <w:rFonts w:hint="eastAsia" w:asciiTheme="minorEastAsia" w:hAnsiTheme="minorEastAsia" w:eastAsiaTheme="minorEastAsia" w:cstheme="minorEastAsia"/>
          <w:sz w:val="24"/>
          <w:highlight w:val="none"/>
          <w:u w:val="single" w:color="000000"/>
        </w:rPr>
        <w:t>2026年</w:t>
      </w:r>
      <w:r>
        <w:rPr>
          <w:rFonts w:hint="eastAsia" w:asciiTheme="minorEastAsia" w:hAnsiTheme="minorEastAsia" w:eastAsiaTheme="minorEastAsia" w:cstheme="minorEastAsia"/>
          <w:sz w:val="24"/>
          <w:highlight w:val="none"/>
          <w:u w:val="single" w:color="000000"/>
          <w:lang w:val="en-US" w:eastAsia="zh-CN"/>
        </w:rPr>
        <w:t>4</w:t>
      </w:r>
      <w:r>
        <w:rPr>
          <w:rFonts w:hint="eastAsia" w:asciiTheme="minorEastAsia" w:hAnsiTheme="minorEastAsia" w:eastAsiaTheme="minorEastAsia" w:cstheme="minorEastAsia"/>
          <w:sz w:val="24"/>
          <w:highlight w:val="none"/>
          <w:u w:val="single" w:color="000000"/>
        </w:rPr>
        <w:t>月</w:t>
      </w:r>
      <w:r>
        <w:rPr>
          <w:rFonts w:hint="eastAsia" w:asciiTheme="minorEastAsia" w:hAnsiTheme="minorEastAsia" w:eastAsiaTheme="minorEastAsia" w:cstheme="minorEastAsia"/>
          <w:sz w:val="24"/>
          <w:highlight w:val="none"/>
          <w:u w:val="single" w:color="000000"/>
          <w:lang w:val="en-US" w:eastAsia="zh-CN"/>
        </w:rPr>
        <w:t>13</w:t>
      </w:r>
      <w:r>
        <w:rPr>
          <w:rFonts w:hint="eastAsia" w:asciiTheme="minorEastAsia" w:hAnsiTheme="minorEastAsia" w:eastAsiaTheme="minorEastAsia" w:cstheme="minorEastAsia"/>
          <w:sz w:val="24"/>
          <w:highlight w:val="none"/>
          <w:u w:val="single" w:color="000000"/>
        </w:rPr>
        <w:t>日14</w:t>
      </w:r>
      <w:r>
        <w:rPr>
          <w:rFonts w:hint="eastAsia" w:asciiTheme="minorEastAsia" w:hAnsiTheme="minorEastAsia" w:eastAsiaTheme="minorEastAsia" w:cstheme="minorEastAsia"/>
          <w:bCs/>
          <w:sz w:val="24"/>
          <w:highlight w:val="none"/>
          <w:u w:val="single"/>
        </w:rPr>
        <w:t>时00分00秒</w:t>
      </w:r>
      <w:r>
        <w:rPr>
          <w:rFonts w:hint="eastAsia" w:asciiTheme="minorEastAsia" w:hAnsiTheme="minorEastAsia" w:eastAsiaTheme="minorEastAsia" w:cstheme="minorEastAsia"/>
          <w:bCs/>
          <w:sz w:val="24"/>
          <w:highlight w:val="none"/>
        </w:rPr>
        <w:t>（北京时间）</w:t>
      </w:r>
    </w:p>
    <w:p>
      <w:pPr>
        <w:pStyle w:val="4"/>
        <w:keepNext w:val="0"/>
        <w:keepLines w:val="0"/>
        <w:adjustRightInd w:val="0"/>
        <w:snapToGrid w:val="0"/>
        <w:spacing w:before="0" w:after="0" w:line="360" w:lineRule="auto"/>
        <w:ind w:left="48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 xml:space="preserve">地  点： </w:t>
      </w:r>
      <w:r>
        <w:rPr>
          <w:rFonts w:hint="eastAsia" w:asciiTheme="minorEastAsia" w:hAnsiTheme="minorEastAsia" w:eastAsiaTheme="minorEastAsia" w:cstheme="minorEastAsia"/>
          <w:b w:val="0"/>
          <w:bCs w:val="0"/>
          <w:sz w:val="24"/>
          <w:szCs w:val="24"/>
          <w:highlight w:val="none"/>
          <w:u w:val="single" w:color="000000"/>
        </w:rPr>
        <w:t>南通市崇川区世纪大道18号恒隆国际B座1402开标室，如有变动另行通知。</w:t>
      </w:r>
    </w:p>
    <w:p>
      <w:pPr>
        <w:pStyle w:val="4"/>
        <w:keepNext w:val="0"/>
        <w:keepLines w:val="0"/>
        <w:adjustRightInd w:val="0"/>
        <w:snapToGrid w:val="0"/>
        <w:spacing w:before="0" w:after="0" w:line="360" w:lineRule="auto"/>
        <w:ind w:left="48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六、</w:t>
      </w:r>
      <w:r>
        <w:rPr>
          <w:rFonts w:hint="eastAsia" w:asciiTheme="minorEastAsia" w:hAnsiTheme="minorEastAsia" w:eastAsiaTheme="minorEastAsia" w:cstheme="minorEastAsia"/>
          <w:sz w:val="24"/>
          <w:szCs w:val="24"/>
          <w:highlight w:val="none"/>
        </w:rPr>
        <w:t>公告期限</w:t>
      </w:r>
    </w:p>
    <w:p>
      <w:p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自本公告发布之日起3个工作日。</w:t>
      </w:r>
    </w:p>
    <w:p>
      <w:pPr>
        <w:adjustRightInd w:val="0"/>
        <w:snapToGrid w:val="0"/>
        <w:spacing w:line="360" w:lineRule="auto"/>
        <w:ind w:firstLine="482" w:firstLineChars="200"/>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bCs/>
          <w:sz w:val="24"/>
          <w:highlight w:val="none"/>
        </w:rPr>
        <w:t>七、</w:t>
      </w:r>
      <w:r>
        <w:rPr>
          <w:rFonts w:hint="eastAsia" w:asciiTheme="minorEastAsia" w:hAnsiTheme="minorEastAsia" w:eastAsiaTheme="minorEastAsia" w:cstheme="minorEastAsia"/>
          <w:b/>
          <w:sz w:val="24"/>
          <w:highlight w:val="none"/>
        </w:rPr>
        <w:t>其他补充事宜：</w:t>
      </w:r>
    </w:p>
    <w:p>
      <w:pPr>
        <w:numPr>
          <w:ilvl w:val="0"/>
          <w:numId w:val="3"/>
        </w:numPr>
        <w:adjustRightInd w:val="0"/>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磋商保证金：免收。</w:t>
      </w:r>
    </w:p>
    <w:p>
      <w:pPr>
        <w:numPr>
          <w:ilvl w:val="0"/>
          <w:numId w:val="3"/>
        </w:numPr>
        <w:adjustRightInd w:val="0"/>
        <w:snapToGrid w:val="0"/>
        <w:spacing w:line="360" w:lineRule="auto"/>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项目磋商活动模式：现场磋商模式，供应商须参加现场磋商活动。</w:t>
      </w:r>
    </w:p>
    <w:p>
      <w:pPr>
        <w:numPr>
          <w:ilvl w:val="0"/>
          <w:numId w:val="3"/>
        </w:numPr>
        <w:adjustRightInd w:val="0"/>
        <w:snapToGrid w:val="0"/>
        <w:spacing w:line="360" w:lineRule="auto"/>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项目演示、样品、答辩等：无。</w:t>
      </w:r>
    </w:p>
    <w:p>
      <w:pPr>
        <w:numPr>
          <w:ilvl w:val="0"/>
          <w:numId w:val="3"/>
        </w:numPr>
        <w:adjustRightInd w:val="0"/>
        <w:snapToGrid w:val="0"/>
        <w:spacing w:line="360" w:lineRule="auto"/>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对项目需求部分（供应商资格要求、项目需求、商务技术评分标准）的询问、质疑请向采购单位提出，由采购单位负责答复；对项目磋商文件其他部分的询问请向磋商代理机构提出。</w:t>
      </w:r>
    </w:p>
    <w:p>
      <w:pPr>
        <w:numPr>
          <w:ilvl w:val="0"/>
          <w:numId w:val="3"/>
        </w:numPr>
        <w:adjustRightInd w:val="0"/>
        <w:snapToGrid w:val="0"/>
        <w:spacing w:line="360" w:lineRule="auto"/>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360" w:lineRule="auto"/>
        <w:ind w:left="482"/>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八、凡对本次采购提出询问，请按以下方式联系。</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1、采购单位信息</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名    称：南通市机关事务管理局</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地    址：南通市世纪大道6号</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 系 人：张女士 </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联系电话：0513-85216696 </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2、采购代理机构信息</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名    称：江苏建达全过程工程咨询有限公司</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地    址：南通市崇川区世纪大道18号恒隆国际B座1411</w:t>
      </w:r>
    </w:p>
    <w:p>
      <w:pPr>
        <w:snapToGrid w:val="0"/>
        <w:spacing w:line="360" w:lineRule="auto"/>
        <w:ind w:firstLine="480" w:firstLineChars="200"/>
        <w:rPr>
          <w:rFonts w:asciiTheme="minorEastAsia" w:hAnsiTheme="minorEastAsia" w:eastAsiaTheme="minorEastAsia" w:cstheme="minorEastAsia"/>
          <w:snapToGrid/>
          <w:kern w:val="2"/>
          <w:sz w:val="24"/>
          <w:szCs w:val="21"/>
          <w:highlight w:val="none"/>
        </w:rPr>
      </w:pPr>
      <w:r>
        <w:rPr>
          <w:rFonts w:hint="eastAsia" w:asciiTheme="minorEastAsia" w:hAnsiTheme="minorEastAsia" w:eastAsiaTheme="minorEastAsia" w:cstheme="minorEastAsia"/>
          <w:snapToGrid/>
          <w:kern w:val="2"/>
          <w:sz w:val="24"/>
          <w:highlight w:val="none"/>
        </w:rPr>
        <w:t>联 系 人：</w:t>
      </w:r>
      <w:r>
        <w:rPr>
          <w:rFonts w:hint="eastAsia" w:asciiTheme="minorEastAsia" w:hAnsiTheme="minorEastAsia" w:eastAsiaTheme="minorEastAsia" w:cstheme="minorEastAsia"/>
          <w:snapToGrid/>
          <w:kern w:val="2"/>
          <w:sz w:val="24"/>
          <w:szCs w:val="21"/>
          <w:highlight w:val="none"/>
        </w:rPr>
        <w:t>贲智涵</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联系电话：</w:t>
      </w:r>
      <w:r>
        <w:rPr>
          <w:rFonts w:hint="eastAsia" w:asciiTheme="minorEastAsia" w:hAnsiTheme="minorEastAsia" w:eastAsiaTheme="minorEastAsia" w:cstheme="minorEastAsia"/>
          <w:snapToGrid/>
          <w:kern w:val="2"/>
          <w:sz w:val="24"/>
          <w:szCs w:val="21"/>
          <w:highlight w:val="none"/>
        </w:rPr>
        <w:t>18051668292</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3.项目联系方式</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 xml:space="preserve">联 系 人：张女士 </w:t>
      </w:r>
    </w:p>
    <w:p>
      <w:pPr>
        <w:adjustRightInd w:val="0"/>
        <w:snapToGrid w:val="0"/>
        <w:spacing w:line="360" w:lineRule="auto"/>
        <w:ind w:firstLine="480" w:firstLineChars="200"/>
        <w:textAlignment w:val="baseline"/>
        <w:rPr>
          <w:rFonts w:asciiTheme="minorEastAsia" w:hAnsiTheme="minorEastAsia" w:eastAsiaTheme="minorEastAsia" w:cstheme="minorEastAsia"/>
          <w:snapToGrid/>
          <w:kern w:val="2"/>
          <w:sz w:val="24"/>
          <w:szCs w:val="21"/>
          <w:highlight w:val="none"/>
        </w:rPr>
      </w:pPr>
      <w:r>
        <w:rPr>
          <w:rFonts w:hint="eastAsia" w:asciiTheme="minorEastAsia" w:hAnsiTheme="minorEastAsia" w:eastAsiaTheme="minorEastAsia" w:cstheme="minorEastAsia"/>
          <w:snapToGrid/>
          <w:kern w:val="2"/>
          <w:sz w:val="24"/>
          <w:highlight w:val="none"/>
        </w:rPr>
        <w:t>联系电话：0513-85216696</w:t>
      </w:r>
    </w:p>
    <w:p>
      <w:pPr>
        <w:adjustRightInd w:val="0"/>
        <w:snapToGrid w:val="0"/>
        <w:spacing w:line="360" w:lineRule="auto"/>
        <w:ind w:firstLine="480" w:firstLineChars="200"/>
        <w:jc w:val="center"/>
        <w:textAlignment w:val="baseline"/>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bCs/>
          <w:snapToGrid/>
          <w:w w:val="80"/>
          <w:kern w:val="2"/>
          <w:sz w:val="44"/>
          <w:szCs w:val="44"/>
          <w:highlight w:val="none"/>
        </w:rPr>
        <w:t>第二部分 磋商须知</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4" w:name="_Toc11500281"/>
      <w:bookmarkStart w:id="5" w:name="_Toc11499585"/>
      <w:bookmarkStart w:id="6" w:name="_Toc94544745"/>
      <w:bookmarkStart w:id="7" w:name="_Toc94585341"/>
      <w:bookmarkStart w:id="8" w:name="_Toc8895740"/>
      <w:bookmarkStart w:id="9" w:name="_Toc363573855"/>
      <w:bookmarkStart w:id="10" w:name="_Toc12670504"/>
      <w:bookmarkStart w:id="11" w:name="_Toc94544871"/>
      <w:bookmarkStart w:id="12" w:name="_Toc521201598"/>
      <w:bookmarkStart w:id="13" w:name="_Toc11554640"/>
      <w:bookmarkStart w:id="14" w:name="_Toc521203419"/>
      <w:r>
        <w:rPr>
          <w:rFonts w:hint="eastAsia" w:asciiTheme="minorEastAsia" w:hAnsiTheme="minorEastAsia" w:eastAsiaTheme="minorEastAsia" w:cstheme="minorEastAsia"/>
          <w:b/>
          <w:bCs/>
          <w:sz w:val="24"/>
          <w:highlight w:val="none"/>
        </w:rPr>
        <w:t>一、总则</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15" w:name="_Hlt16619475"/>
      <w:bookmarkEnd w:id="15"/>
      <w:bookmarkStart w:id="16" w:name="_Toc458694821"/>
      <w:bookmarkStart w:id="17" w:name="_Toc20823276"/>
      <w:bookmarkStart w:id="18" w:name="_Toc513029204"/>
      <w:bookmarkStart w:id="19" w:name="_Toc16938520"/>
      <w:r>
        <w:rPr>
          <w:rFonts w:hint="eastAsia" w:asciiTheme="minorEastAsia" w:hAnsiTheme="minorEastAsia" w:eastAsiaTheme="minorEastAsia" w:cstheme="minorEastAsia"/>
          <w:sz w:val="24"/>
          <w:highlight w:val="none"/>
        </w:rPr>
        <w:t>1</w:t>
      </w:r>
      <w:bookmarkEnd w:id="16"/>
      <w:r>
        <w:rPr>
          <w:rFonts w:hint="eastAsia" w:asciiTheme="minorEastAsia" w:hAnsiTheme="minorEastAsia" w:eastAsiaTheme="minorEastAsia" w:cstheme="minorEastAsia"/>
          <w:sz w:val="24"/>
          <w:highlight w:val="none"/>
        </w:rPr>
        <w:t>、采购方式</w:t>
      </w:r>
      <w:bookmarkEnd w:id="17"/>
      <w:bookmarkEnd w:id="18"/>
      <w:bookmarkEnd w:id="19"/>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本次采取竞争性磋商方式，本磋商文件仅适用于采购邀请中所述项目。</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20" w:name="_Toc513029205"/>
      <w:bookmarkStart w:id="21" w:name="_Toc16938521"/>
      <w:bookmarkStart w:id="22" w:name="_Toc20823277"/>
      <w:r>
        <w:rPr>
          <w:rFonts w:hint="eastAsia" w:asciiTheme="minorEastAsia" w:hAnsiTheme="minorEastAsia" w:eastAsiaTheme="minorEastAsia" w:cstheme="minorEastAsia"/>
          <w:sz w:val="24"/>
          <w:highlight w:val="none"/>
        </w:rPr>
        <w:t>2、合格的</w:t>
      </w:r>
      <w:bookmarkEnd w:id="20"/>
      <w:bookmarkEnd w:id="21"/>
      <w:bookmarkEnd w:id="22"/>
      <w:r>
        <w:rPr>
          <w:rFonts w:hint="eastAsia" w:asciiTheme="minorEastAsia" w:hAnsiTheme="minorEastAsia" w:eastAsiaTheme="minorEastAsia" w:cstheme="minorEastAsia"/>
          <w:sz w:val="24"/>
          <w:highlight w:val="none"/>
        </w:rPr>
        <w:t>供应商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2.1满足采购邀请中供应商的资格要求的规定。</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满足本文件实质性条款的规定。</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23" w:name="_Toc20823278"/>
      <w:bookmarkStart w:id="24" w:name="_Toc16938522"/>
      <w:bookmarkStart w:id="25" w:name="_Toc513029206"/>
      <w:r>
        <w:rPr>
          <w:rFonts w:hint="eastAsia" w:asciiTheme="minorEastAsia" w:hAnsiTheme="minorEastAsia" w:eastAsiaTheme="minorEastAsia" w:cstheme="minorEastAsia"/>
          <w:sz w:val="24"/>
          <w:highlight w:val="none"/>
        </w:rPr>
        <w:t>3、适用法律</w:t>
      </w:r>
      <w:bookmarkEnd w:id="23"/>
      <w:bookmarkEnd w:id="24"/>
      <w:bookmarkEnd w:id="2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本次采购及由此产生的合同受中华人民共和国有关的法律法规制约和保护。</w:t>
      </w:r>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bookmarkStart w:id="26" w:name="_Toc513029207"/>
      <w:bookmarkStart w:id="27" w:name="_Toc462564067"/>
      <w:bookmarkStart w:id="28" w:name="_Toc20823279"/>
      <w:bookmarkStart w:id="29" w:name="_Toc16938523"/>
      <w:r>
        <w:rPr>
          <w:rFonts w:hint="eastAsia" w:asciiTheme="minorEastAsia" w:hAnsiTheme="minorEastAsia" w:eastAsiaTheme="minorEastAsia" w:cstheme="minorEastAsia"/>
          <w:sz w:val="24"/>
          <w:highlight w:val="none"/>
        </w:rPr>
        <w:t>4、磋商费用</w:t>
      </w:r>
      <w:bookmarkEnd w:id="26"/>
      <w:bookmarkEnd w:id="27"/>
      <w:bookmarkEnd w:id="28"/>
      <w:bookmarkEnd w:id="29"/>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4.1</w:t>
      </w:r>
      <w:r>
        <w:rPr>
          <w:rFonts w:hint="eastAsia" w:asciiTheme="minorEastAsia" w:hAnsiTheme="minorEastAsia" w:eastAsiaTheme="minorEastAsia" w:cstheme="minorEastAsia"/>
          <w:sz w:val="24"/>
          <w:highlight w:val="none"/>
        </w:rPr>
        <w:t xml:space="preserve"> 供应商应自行承担所有与参加磋商有关的费用，无论磋商过程中的做法和结果如何，采购单位和采购代理机构在任何情况下均无义务和责任承担这些费用。</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5、磋商文件的约束力</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5.1</w:t>
      </w:r>
      <w:r>
        <w:rPr>
          <w:rFonts w:hint="eastAsia" w:asciiTheme="minorEastAsia" w:hAnsiTheme="minorEastAsia" w:eastAsiaTheme="minorEastAsia" w:cstheme="minorEastAsia"/>
          <w:sz w:val="24"/>
          <w:highlight w:val="none"/>
        </w:rPr>
        <w:t xml:space="preserve"> 供应商一旦参加本项目采购活动，即被认为接受了本磋商文件的规定和约束。</w:t>
      </w:r>
    </w:p>
    <w:p>
      <w:pPr>
        <w:adjustRightInd w:val="0"/>
        <w:snapToGrid w:val="0"/>
        <w:spacing w:line="360" w:lineRule="auto"/>
        <w:ind w:firstLine="480" w:firstLineChars="200"/>
        <w:outlineLvl w:val="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6、磋商文件的解释</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6.1</w:t>
      </w:r>
      <w:r>
        <w:rPr>
          <w:rFonts w:hint="eastAsia" w:asciiTheme="minorEastAsia" w:hAnsiTheme="minorEastAsia" w:eastAsiaTheme="minorEastAsia" w:cstheme="minorEastAsia"/>
          <w:sz w:val="24"/>
          <w:highlight w:val="none"/>
        </w:rPr>
        <w:t>磋商文件需求部分（供应商资格要求、项目需求、商务技术评分标准）由采购单位解释，其他部分由采购代理机构解释。</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30" w:name="_Toc120614215"/>
      <w:bookmarkStart w:id="31" w:name="_Toc513029209"/>
      <w:bookmarkStart w:id="32" w:name="_Toc20823281"/>
      <w:bookmarkStart w:id="33" w:name="_Toc16938525"/>
      <w:r>
        <w:rPr>
          <w:rFonts w:hint="eastAsia" w:asciiTheme="minorEastAsia" w:hAnsiTheme="minorEastAsia" w:eastAsiaTheme="minorEastAsia" w:cstheme="minorEastAsia"/>
          <w:b/>
          <w:bCs/>
          <w:sz w:val="24"/>
          <w:highlight w:val="none"/>
        </w:rPr>
        <w:t>二、磋商文件</w:t>
      </w:r>
      <w:bookmarkEnd w:id="30"/>
      <w:bookmarkEnd w:id="31"/>
      <w:bookmarkEnd w:id="32"/>
      <w:bookmarkEnd w:id="33"/>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34" w:name="_Toc513029210"/>
      <w:bookmarkStart w:id="35" w:name="_Toc16938526"/>
      <w:bookmarkStart w:id="36" w:name="_Toc20823282"/>
      <w:r>
        <w:rPr>
          <w:rFonts w:hint="eastAsia" w:asciiTheme="minorEastAsia" w:hAnsiTheme="minorEastAsia" w:eastAsiaTheme="minorEastAsia" w:cstheme="minorEastAsia"/>
          <w:sz w:val="24"/>
          <w:highlight w:val="none"/>
        </w:rPr>
        <w:t>1、磋商文件构成</w:t>
      </w:r>
      <w:bookmarkEnd w:id="34"/>
      <w:bookmarkEnd w:id="35"/>
      <w:bookmarkEnd w:id="36"/>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1.1</w:t>
      </w:r>
      <w:r>
        <w:rPr>
          <w:rFonts w:hint="eastAsia" w:asciiTheme="minorEastAsia" w:hAnsiTheme="minorEastAsia" w:eastAsiaTheme="minorEastAsia" w:cstheme="minorEastAsia"/>
          <w:sz w:val="24"/>
          <w:highlight w:val="none"/>
        </w:rPr>
        <w:t xml:space="preserve"> 磋商文件由以下部分组成：</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（1）采购邀请</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（2）磋商须知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（3）项目需求</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（4）评审方法和评审标准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（5）合同条款</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（6）响应文件组成</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（7）附件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（8）工程量清单</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（9）图纸</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请仔细检查磋商文件是否齐全，如有缺漏请立即与采购单位或采购代理机构联系解决。</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37" w:name="_Toc462564070"/>
      <w:bookmarkStart w:id="38" w:name="_Toc513029211"/>
      <w:bookmarkStart w:id="39" w:name="_Toc20823283"/>
      <w:bookmarkStart w:id="40" w:name="_Toc16938527"/>
      <w:r>
        <w:rPr>
          <w:rFonts w:hint="eastAsia" w:asciiTheme="minorEastAsia" w:hAnsiTheme="minorEastAsia" w:eastAsiaTheme="minorEastAsia" w:cstheme="minorEastAsia"/>
          <w:sz w:val="24"/>
          <w:highlight w:val="none"/>
        </w:rPr>
        <w:t>2、磋商文件的澄清</w:t>
      </w:r>
      <w:bookmarkEnd w:id="37"/>
      <w:bookmarkEnd w:id="38"/>
      <w:bookmarkEnd w:id="39"/>
      <w:bookmarkEnd w:id="40"/>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sz w:val="24"/>
          <w:highlight w:val="none"/>
        </w:rPr>
        <w:t xml:space="preserve"> 任何要求对磋商文件进行澄清的供应商，应在提交首次响应文件截止时间五日前发代理单位指定邮箱（bbenzhihan@163.com）。采购单位有权对发出的磋商文件进行必要的澄清或修改。</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2.2采购单位视情组织答疑会</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41" w:name="_Toc20823284"/>
      <w:bookmarkStart w:id="42" w:name="_Toc513029212"/>
      <w:bookmarkStart w:id="43" w:name="_Toc16938528"/>
      <w:bookmarkStart w:id="44" w:name="_Toc462564071"/>
      <w:r>
        <w:rPr>
          <w:rFonts w:hint="eastAsia" w:asciiTheme="minorEastAsia" w:hAnsiTheme="minorEastAsia" w:eastAsiaTheme="minorEastAsia" w:cstheme="minorEastAsia"/>
          <w:sz w:val="24"/>
          <w:highlight w:val="none"/>
        </w:rPr>
        <w:t>3、磋商文件的修改</w:t>
      </w:r>
      <w:bookmarkEnd w:id="41"/>
      <w:bookmarkEnd w:id="42"/>
      <w:bookmarkEnd w:id="43"/>
      <w:bookmarkEnd w:id="44"/>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3.1</w:t>
      </w:r>
      <w:r>
        <w:rPr>
          <w:rFonts w:hint="eastAsia" w:asciiTheme="minorEastAsia" w:hAnsiTheme="minorEastAsia" w:eastAsiaTheme="minorEastAsia" w:cstheme="minorEastAsia"/>
          <w:sz w:val="24"/>
          <w:highlight w:val="none"/>
        </w:rPr>
        <w:t xml:space="preserve"> 在响应文件提交截止时间前，采购单位可以对磋商文件进行修改。</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3.2 </w:t>
      </w:r>
      <w:r>
        <w:rPr>
          <w:rFonts w:hint="eastAsia" w:asciiTheme="minorEastAsia" w:hAnsiTheme="minorEastAsia" w:eastAsiaTheme="minorEastAsia" w:cstheme="minorEastAsia"/>
          <w:sz w:val="24"/>
          <w:highlight w:val="none"/>
        </w:rPr>
        <w:t>采购单位有权按照法定的要求推迟响应文件提交截止日期和磋商日期。</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3.3 </w:t>
      </w:r>
      <w:r>
        <w:rPr>
          <w:rFonts w:hint="eastAsia" w:asciiTheme="minorEastAsia" w:hAnsiTheme="minorEastAsia" w:eastAsiaTheme="minorEastAsia" w:cstheme="minorEastAsia"/>
          <w:sz w:val="24"/>
          <w:highlight w:val="none"/>
        </w:rPr>
        <w:t>磋商文件的修改将在“南通市机关事务管理局→公告公示”栏公布，补充文件将作为磋商文件的组成部分，并对供应商具有约束力。</w:t>
      </w:r>
    </w:p>
    <w:p>
      <w:pPr>
        <w:adjustRightInd w:val="0"/>
        <w:snapToGrid w:val="0"/>
        <w:spacing w:line="360" w:lineRule="auto"/>
        <w:ind w:firstLine="482" w:firstLineChars="200"/>
        <w:contextualSpacing/>
        <w:rPr>
          <w:rFonts w:asciiTheme="minorEastAsia" w:hAnsiTheme="minorEastAsia" w:eastAsiaTheme="minorEastAsia" w:cstheme="minorEastAsia"/>
          <w:b/>
          <w:bCs/>
          <w:snapToGrid/>
          <w:kern w:val="2"/>
          <w:sz w:val="24"/>
          <w:highlight w:val="none"/>
        </w:rPr>
      </w:pPr>
      <w:bookmarkStart w:id="45" w:name="_Toc462564072"/>
      <w:bookmarkStart w:id="46" w:name="_Toc20823285"/>
      <w:bookmarkStart w:id="47" w:name="_Toc16938529"/>
      <w:bookmarkStart w:id="48" w:name="_Toc120614216"/>
      <w:bookmarkStart w:id="49" w:name="_Toc513029213"/>
      <w:r>
        <w:rPr>
          <w:rFonts w:hint="eastAsia" w:asciiTheme="minorEastAsia" w:hAnsiTheme="minorEastAsia" w:eastAsiaTheme="minorEastAsia" w:cstheme="minorEastAsia"/>
          <w:b/>
          <w:bCs/>
          <w:sz w:val="24"/>
          <w:highlight w:val="none"/>
        </w:rPr>
        <w:t>三、</w:t>
      </w:r>
      <w:r>
        <w:rPr>
          <w:rFonts w:hint="eastAsia" w:asciiTheme="minorEastAsia" w:hAnsiTheme="minorEastAsia" w:eastAsiaTheme="minorEastAsia" w:cstheme="minorEastAsia"/>
          <w:b/>
          <w:bCs/>
          <w:snapToGrid/>
          <w:kern w:val="2"/>
          <w:sz w:val="24"/>
          <w:highlight w:val="none"/>
        </w:rPr>
        <w:t>磋商项目涉及到的现场勘察</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1、磋商文件所提供的项目相关数据仅</w:t>
      </w:r>
      <w:r>
        <w:rPr>
          <w:rFonts w:hint="eastAsia" w:asciiTheme="minorEastAsia" w:hAnsiTheme="minorEastAsia" w:eastAsiaTheme="minorEastAsia" w:cstheme="minorEastAsia"/>
          <w:snapToGrid/>
          <w:kern w:val="2"/>
          <w:sz w:val="24"/>
          <w:highlight w:val="none"/>
          <w:lang w:eastAsia="zh-CN"/>
        </w:rPr>
        <w:t>作</w:t>
      </w:r>
      <w:r>
        <w:rPr>
          <w:rFonts w:hint="eastAsia" w:asciiTheme="minorEastAsia" w:hAnsiTheme="minorEastAsia" w:eastAsiaTheme="minorEastAsia" w:cstheme="minorEastAsia"/>
          <w:snapToGrid/>
          <w:kern w:val="2"/>
          <w:sz w:val="24"/>
          <w:highlight w:val="none"/>
        </w:rPr>
        <w:t>参考，根据自身需要，供应商可在磋商文件递交之日前对有关现场和周围环境进行勘察，以获取编制响应文件和签署合同所需的信息。勘察现场所发生的费用由供应商自己承担。</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2、采购单位向供应商提供的有关现场的资料和数据，是采购单位现有的并认为能使供应商可利用的资料。采购单位对供应商由此而做出的推论、理解和结论概不负责。</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3、经采购单位允许，供应商可为勘察目的进入采购单位的项目现场，但供应商不得因此使采购单位承担有关的责任和蒙受损失。供应商应承担勘察现场的责任和风险。</w:t>
      </w:r>
    </w:p>
    <w:p>
      <w:pPr>
        <w:adjustRightInd w:val="0"/>
        <w:snapToGrid w:val="0"/>
        <w:spacing w:line="360" w:lineRule="auto"/>
        <w:ind w:firstLine="480" w:firstLineChars="200"/>
        <w:contextualSpacing/>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pPr>
        <w:adjustRightInd w:val="0"/>
        <w:snapToGrid w:val="0"/>
        <w:spacing w:line="360" w:lineRule="auto"/>
        <w:ind w:firstLine="480" w:firstLineChars="200"/>
        <w:contextualSpacing/>
        <w:rPr>
          <w:rFonts w:hint="eastAsia" w:asciiTheme="minorEastAsia" w:hAnsiTheme="minorEastAsia" w:eastAsiaTheme="minorEastAsia" w:cstheme="minorEastAsia"/>
          <w:b w:val="0"/>
          <w:bCs w:val="0"/>
          <w:snapToGrid/>
          <w:kern w:val="2"/>
          <w:sz w:val="24"/>
          <w:highlight w:val="none"/>
        </w:rPr>
      </w:pPr>
      <w:r>
        <w:rPr>
          <w:rFonts w:hint="eastAsia" w:asciiTheme="minorEastAsia" w:hAnsiTheme="minorEastAsia" w:eastAsiaTheme="minorEastAsia" w:cstheme="minorEastAsia"/>
          <w:snapToGrid/>
          <w:kern w:val="2"/>
          <w:sz w:val="24"/>
          <w:highlight w:val="none"/>
        </w:rPr>
        <w:t>现场联系人：张女士     联系电话：0513-85216696</w:t>
      </w:r>
    </w:p>
    <w:bookmarkEnd w:id="45"/>
    <w:bookmarkEnd w:id="46"/>
    <w:bookmarkEnd w:id="47"/>
    <w:bookmarkEnd w:id="48"/>
    <w:bookmarkEnd w:id="49"/>
    <w:p>
      <w:pPr>
        <w:numPr>
          <w:ilvl w:val="0"/>
          <w:numId w:val="4"/>
        </w:numPr>
        <w:snapToGrid w:val="0"/>
        <w:spacing w:line="360" w:lineRule="auto"/>
        <w:ind w:firstLine="482" w:firstLineChars="200"/>
        <w:outlineLvl w:val="1"/>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响应文件的编制</w:t>
      </w:r>
    </w:p>
    <w:p>
      <w:pPr>
        <w:adjustRightInd w:val="0"/>
        <w:snapToGrid w:val="0"/>
        <w:spacing w:line="360" w:lineRule="auto"/>
        <w:ind w:firstLine="480" w:firstLineChars="200"/>
        <w:outlineLvl w:val="3"/>
        <w:rPr>
          <w:rFonts w:asciiTheme="minorEastAsia" w:hAnsiTheme="minorEastAsia" w:eastAsiaTheme="minorEastAsia" w:cstheme="minorEastAsia"/>
          <w:bCs/>
          <w:sz w:val="24"/>
          <w:highlight w:val="none"/>
        </w:rPr>
      </w:pPr>
      <w:bookmarkStart w:id="50" w:name="_Toc20823286"/>
      <w:bookmarkStart w:id="51" w:name="_Toc462564073"/>
      <w:bookmarkStart w:id="52" w:name="_Toc513029214"/>
      <w:bookmarkStart w:id="53" w:name="_Toc16938530"/>
      <w:r>
        <w:rPr>
          <w:rFonts w:hint="eastAsia" w:asciiTheme="minorEastAsia" w:hAnsiTheme="minorEastAsia" w:eastAsiaTheme="minorEastAsia" w:cstheme="minorEastAsia"/>
          <w:sz w:val="24"/>
          <w:highlight w:val="none"/>
        </w:rPr>
        <w:t>1、响应文件的语言及度量衡单位</w:t>
      </w:r>
      <w:bookmarkEnd w:id="50"/>
      <w:bookmarkEnd w:id="51"/>
      <w:bookmarkEnd w:id="52"/>
      <w:bookmarkEnd w:id="53"/>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1.1</w:t>
      </w:r>
      <w:r>
        <w:rPr>
          <w:rFonts w:hint="eastAsia" w:asciiTheme="minorEastAsia" w:hAnsiTheme="minorEastAsia" w:eastAsiaTheme="minorEastAsia" w:cstheme="minorEastAsia"/>
          <w:sz w:val="24"/>
          <w:highlight w:val="none"/>
        </w:rPr>
        <w:t>供应商提交的响应文件以及供应商与采购代理机构及采购单位就有关磋商的所有来往通知、函件和文件均应使用</w:t>
      </w:r>
      <w:r>
        <w:rPr>
          <w:rFonts w:hint="eastAsia" w:asciiTheme="minorEastAsia" w:hAnsiTheme="minorEastAsia" w:eastAsiaTheme="minorEastAsia" w:cstheme="minorEastAsia"/>
          <w:bCs/>
          <w:sz w:val="24"/>
          <w:highlight w:val="none"/>
        </w:rPr>
        <w:t>简体中文</w:t>
      </w:r>
      <w:r>
        <w:rPr>
          <w:rFonts w:hint="eastAsia" w:asciiTheme="minorEastAsia" w:hAnsiTheme="minorEastAsia" w:eastAsiaTheme="minorEastAsia" w:cstheme="minorEastAsia"/>
          <w:sz w:val="24"/>
          <w:highlight w:val="none"/>
        </w:rPr>
        <w:t>。</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1.2</w:t>
      </w:r>
      <w:r>
        <w:rPr>
          <w:rFonts w:hint="eastAsia" w:asciiTheme="minorEastAsia" w:hAnsiTheme="minorEastAsia" w:eastAsiaTheme="minorEastAsia" w:cstheme="minorEastAsia"/>
          <w:sz w:val="24"/>
          <w:highlight w:val="none"/>
        </w:rPr>
        <w:t xml:space="preserve"> 除技术性能另有规定外，响应文件所使用的度量衡单位，均须采用国家法定计量单位。</w:t>
      </w:r>
      <w:bookmarkStart w:id="54" w:name="_Toc20823287"/>
      <w:bookmarkStart w:id="55" w:name="_Toc462564074"/>
      <w:bookmarkStart w:id="56" w:name="_Toc513029215"/>
      <w:bookmarkStart w:id="57" w:name="_Toc16938531"/>
    </w:p>
    <w:p>
      <w:pPr>
        <w:adjustRightInd w:val="0"/>
        <w:snapToGrid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2、响应文件构成</w:t>
      </w:r>
      <w:bookmarkEnd w:id="54"/>
      <w:bookmarkEnd w:id="55"/>
      <w:bookmarkEnd w:id="56"/>
      <w:bookmarkEnd w:id="57"/>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2.1</w:t>
      </w:r>
      <w:r>
        <w:rPr>
          <w:rFonts w:hint="eastAsia" w:asciiTheme="minorEastAsia" w:hAnsiTheme="minorEastAsia" w:eastAsiaTheme="minorEastAsia" w:cstheme="minorEastAsia"/>
          <w:sz w:val="24"/>
          <w:highlight w:val="none"/>
        </w:rPr>
        <w:t xml:space="preserve"> 供应商编写的响应文件应包括资格审查文件、商务技术响应文件、报价响应文件。供应商按“第六部分 响应文件组成”要求编写响应文件。</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58" w:name="_Hlt26668975"/>
      <w:bookmarkEnd w:id="58"/>
      <w:bookmarkStart w:id="59" w:name="_Hlt26954838"/>
      <w:bookmarkEnd w:id="59"/>
      <w:bookmarkStart w:id="60" w:name="_Hlt26670360"/>
      <w:bookmarkEnd w:id="60"/>
      <w:bookmarkStart w:id="61" w:name="_Toc14577360"/>
      <w:bookmarkStart w:id="62" w:name="_Toc49090511"/>
      <w:r>
        <w:rPr>
          <w:rFonts w:hint="eastAsia" w:asciiTheme="minorEastAsia" w:hAnsiTheme="minorEastAsia" w:eastAsiaTheme="minorEastAsia" w:cstheme="minorEastAsia"/>
          <w:sz w:val="24"/>
          <w:highlight w:val="none"/>
        </w:rPr>
        <w:t>3</w:t>
      </w:r>
      <w:bookmarkEnd w:id="61"/>
      <w:bookmarkEnd w:id="62"/>
      <w:r>
        <w:rPr>
          <w:rFonts w:hint="eastAsia" w:asciiTheme="minorEastAsia" w:hAnsiTheme="minorEastAsia" w:eastAsiaTheme="minorEastAsia" w:cstheme="minorEastAsia"/>
          <w:sz w:val="24"/>
          <w:highlight w:val="none"/>
        </w:rPr>
        <w:t>、磋商响应有效期</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3.1磋商响应有效期为</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规定的响应文件</w:t>
      </w:r>
      <w:r>
        <w:rPr>
          <w:rFonts w:hint="eastAsia" w:asciiTheme="minorEastAsia" w:hAnsiTheme="minorEastAsia" w:eastAsiaTheme="minorEastAsia" w:cstheme="minorEastAsia"/>
          <w:sz w:val="24"/>
          <w:highlight w:val="none"/>
        </w:rPr>
        <w:t>提交</w:t>
      </w:r>
      <w:r>
        <w:rPr>
          <w:rFonts w:hint="eastAsia" w:asciiTheme="minorEastAsia" w:hAnsiTheme="minorEastAsia" w:eastAsiaTheme="minorEastAsia" w:cstheme="minorEastAsia"/>
          <w:bCs/>
          <w:sz w:val="24"/>
          <w:highlight w:val="none"/>
        </w:rPr>
        <w:t>截止时间后</w:t>
      </w:r>
      <w:r>
        <w:rPr>
          <w:rFonts w:hint="eastAsia" w:asciiTheme="minorEastAsia" w:hAnsiTheme="minorEastAsia" w:eastAsiaTheme="minorEastAsia" w:cstheme="minorEastAsia"/>
          <w:b/>
          <w:sz w:val="24"/>
          <w:highlight w:val="none"/>
          <w:u w:val="single"/>
        </w:rPr>
        <w:t>六十（60）天</w:t>
      </w:r>
      <w:r>
        <w:rPr>
          <w:rFonts w:hint="eastAsia" w:asciiTheme="minorEastAsia" w:hAnsiTheme="minorEastAsia" w:eastAsiaTheme="minorEastAsia" w:cstheme="minorEastAsia"/>
          <w:bCs/>
          <w:sz w:val="24"/>
          <w:highlight w:val="none"/>
        </w:rPr>
        <w:t>。磋商响应有效期比规定短的将被视为非实质性响应而予以拒绝。</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4、磋商响应有效期的延长</w:t>
      </w:r>
    </w:p>
    <w:p>
      <w:pPr>
        <w:snapToGrid w:val="0"/>
        <w:spacing w:line="360" w:lineRule="auto"/>
        <w:ind w:firstLine="484" w:firstLineChars="20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highlight w:val="none"/>
        </w:rPr>
        <w:t>4.1在特殊情况下，</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于原磋商响应有效期满之前，可向磋商供应商提出延长磋商响应有效期的要求。这种要求与答复均应采用书面形式。供应商可以拒绝</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的这一要求而放弃磋商响应，同意延长磋商响应有效期的供应商既不能要求也不允许修改其响应文件。</w:t>
      </w:r>
      <w:r>
        <w:rPr>
          <w:rFonts w:hint="eastAsia" w:asciiTheme="minorEastAsia" w:hAnsiTheme="minorEastAsia" w:eastAsiaTheme="minorEastAsia" w:cstheme="minorEastAsia"/>
          <w:sz w:val="24"/>
          <w:highlight w:val="none"/>
        </w:rPr>
        <w:t>受磋商响应有效期约束的所有权利与义务均延长至新的有效期。</w:t>
      </w:r>
    </w:p>
    <w:p>
      <w:pPr>
        <w:snapToGrid w:val="0"/>
        <w:spacing w:line="360" w:lineRule="auto"/>
        <w:ind w:firstLine="482" w:firstLineChars="200"/>
        <w:outlineLvl w:val="1"/>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五、响应文件的提交</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63" w:name="_Toc20823297"/>
      <w:bookmarkStart w:id="64" w:name="_Toc513029225"/>
      <w:bookmarkStart w:id="65" w:name="_Toc16938541"/>
      <w:bookmarkStart w:id="66" w:name="_Toc462564084"/>
      <w:bookmarkStart w:id="67" w:name="_Toc16938546"/>
      <w:bookmarkStart w:id="68" w:name="_Toc513029230"/>
      <w:bookmarkStart w:id="69" w:name="_Toc20823302"/>
      <w:r>
        <w:rPr>
          <w:rFonts w:hint="eastAsia" w:asciiTheme="minorEastAsia" w:hAnsiTheme="minorEastAsia" w:eastAsiaTheme="minorEastAsia" w:cstheme="minorEastAsia"/>
          <w:sz w:val="24"/>
          <w:highlight w:val="none"/>
        </w:rPr>
        <w:t>1、响应文件</w:t>
      </w:r>
      <w:bookmarkEnd w:id="63"/>
      <w:bookmarkEnd w:id="64"/>
      <w:bookmarkEnd w:id="65"/>
      <w:bookmarkEnd w:id="66"/>
      <w:r>
        <w:rPr>
          <w:rFonts w:hint="eastAsia" w:asciiTheme="minorEastAsia" w:hAnsiTheme="minorEastAsia" w:eastAsiaTheme="minorEastAsia" w:cstheme="minorEastAsia"/>
          <w:sz w:val="24"/>
          <w:highlight w:val="none"/>
        </w:rPr>
        <w:t>的提交</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bookmarkStart w:id="70" w:name="_Toc513029226"/>
      <w:bookmarkStart w:id="71" w:name="_Toc20823298"/>
      <w:bookmarkStart w:id="72" w:name="_Toc16938542"/>
      <w:r>
        <w:rPr>
          <w:rFonts w:hint="eastAsia" w:asciiTheme="minorEastAsia" w:hAnsiTheme="minorEastAsia" w:eastAsiaTheme="minorEastAsia" w:cstheme="minorEastAsia"/>
          <w:bCs/>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1.2响应文件均为壹式叁份，其中“正本”壹份和“副本”贰份。</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1.5 供应商可将每一部分响应文件正、副本统一密封或分别密封，如正本和副本分别密封的，应在封袋上标明正、副本字样。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【特别提醒】响应文件中的资格审查文件、商务技术响应文件的“正本”或“副本”中，均不得含有报价响应文件中报价表（报价单）内的任何项目价格，否则作无效响应处理。</w:t>
      </w:r>
    </w:p>
    <w:p>
      <w:pPr>
        <w:adjustRightInd w:val="0"/>
        <w:snapToGrid w:val="0"/>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2、响应文件截止日期</w:t>
      </w:r>
      <w:bookmarkEnd w:id="70"/>
      <w:bookmarkEnd w:id="71"/>
      <w:bookmarkEnd w:id="72"/>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供应商递交响应文件的时间不得迟于采购邀请中规定的响应文件提交截止时间。</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供应商应充分考虑到交通、停车等风险因素，如因供应商自身原因造成的响应文件逾时递交由供应商自行承担全部责任。</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2.2</w:t>
      </w:r>
      <w:r>
        <w:rPr>
          <w:rFonts w:hint="eastAsia" w:asciiTheme="minorEastAsia" w:hAnsiTheme="minorEastAsia" w:eastAsiaTheme="minorEastAsia" w:cstheme="minorEastAsia"/>
          <w:bCs/>
          <w:sz w:val="24"/>
          <w:highlight w:val="none"/>
        </w:rPr>
        <w:t xml:space="preserve"> </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可以按照规定，通过修改响应文件酌情延长响应文件提交截止日期，在此情况下，供应商的所有权利和义务以及供应商受制的截止日期均应以延长后新的截止日期为准。</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73" w:name="_Toc513029227"/>
      <w:bookmarkStart w:id="74" w:name="_Toc16938543"/>
      <w:bookmarkStart w:id="75" w:name="_Toc20823299"/>
      <w:r>
        <w:rPr>
          <w:rFonts w:hint="eastAsia" w:asciiTheme="minorEastAsia" w:hAnsiTheme="minorEastAsia" w:eastAsiaTheme="minorEastAsia" w:cstheme="minorEastAsia"/>
          <w:sz w:val="24"/>
          <w:highlight w:val="none"/>
        </w:rPr>
        <w:t>3、响应文件</w:t>
      </w:r>
      <w:bookmarkEnd w:id="73"/>
      <w:bookmarkEnd w:id="74"/>
      <w:bookmarkEnd w:id="75"/>
      <w:r>
        <w:rPr>
          <w:rFonts w:hint="eastAsia" w:asciiTheme="minorEastAsia" w:hAnsiTheme="minorEastAsia" w:eastAsiaTheme="minorEastAsia" w:cstheme="minorEastAsia"/>
          <w:sz w:val="24"/>
          <w:highlight w:val="none"/>
        </w:rPr>
        <w:t>的拒收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3.1 </w:t>
      </w:r>
      <w:r>
        <w:rPr>
          <w:rFonts w:hint="eastAsia" w:asciiTheme="minorEastAsia" w:hAnsiTheme="minorEastAsia" w:eastAsiaTheme="minorEastAsia" w:cstheme="minorEastAsia"/>
          <w:sz w:val="24"/>
          <w:highlight w:val="none"/>
        </w:rPr>
        <w:t>采购代理机构</w:t>
      </w:r>
      <w:r>
        <w:rPr>
          <w:rFonts w:hint="eastAsia" w:asciiTheme="minorEastAsia" w:hAnsiTheme="minorEastAsia" w:eastAsiaTheme="minorEastAsia" w:cstheme="minorEastAsia"/>
          <w:bCs/>
          <w:sz w:val="24"/>
          <w:highlight w:val="none"/>
        </w:rPr>
        <w:t>拒绝接收在其规定的响应文件提交截止时间后递交的任何响应文件。</w:t>
      </w:r>
    </w:p>
    <w:p>
      <w:pPr>
        <w:adjustRightInd w:val="0"/>
        <w:snapToGrid w:val="0"/>
        <w:spacing w:line="360" w:lineRule="auto"/>
        <w:ind w:firstLine="480" w:firstLineChars="200"/>
        <w:outlineLvl w:val="3"/>
        <w:rPr>
          <w:rFonts w:asciiTheme="minorEastAsia" w:hAnsiTheme="minorEastAsia" w:eastAsiaTheme="minorEastAsia" w:cstheme="minorEastAsia"/>
          <w:b/>
          <w:bCs/>
          <w:sz w:val="24"/>
          <w:highlight w:val="none"/>
        </w:rPr>
      </w:pPr>
      <w:bookmarkStart w:id="76" w:name="_Toc20823300"/>
      <w:bookmarkStart w:id="77" w:name="_Toc16938544"/>
      <w:bookmarkStart w:id="78" w:name="_Toc513029228"/>
      <w:r>
        <w:rPr>
          <w:rFonts w:hint="eastAsia" w:asciiTheme="minorEastAsia" w:hAnsiTheme="minorEastAsia" w:eastAsiaTheme="minorEastAsia" w:cstheme="minorEastAsia"/>
          <w:sz w:val="24"/>
          <w:highlight w:val="none"/>
        </w:rPr>
        <w:t>4、响应文件的撤回和修改</w:t>
      </w:r>
      <w:bookmarkEnd w:id="76"/>
      <w:bookmarkEnd w:id="77"/>
      <w:bookmarkEnd w:id="78"/>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 响应文件的撤回</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供应商可在响应文件提交截止时间前，撤回其响应文件。供应商撤回响应文件，则认为其不再参与本项目磋商活动。</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 响应文件的修改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供应商可在响应文件提交截止时间前，对其响应文件进行修改。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4.3</w:t>
      </w:r>
      <w:r>
        <w:rPr>
          <w:rFonts w:hint="eastAsia" w:asciiTheme="minorEastAsia" w:hAnsiTheme="minorEastAsia" w:eastAsiaTheme="minorEastAsia" w:cstheme="minorEastAsia"/>
          <w:bCs/>
          <w:sz w:val="24"/>
          <w:highlight w:val="none"/>
        </w:rPr>
        <w:t xml:space="preserve"> 在响应文件提交截止时间之后，供应商不得对其响应文件作任何修改。</w:t>
      </w:r>
    </w:p>
    <w:p>
      <w:pPr>
        <w:adjustRightInd w:val="0"/>
        <w:snapToGrid w:val="0"/>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4.4</w:t>
      </w:r>
      <w:r>
        <w:rPr>
          <w:rFonts w:hint="eastAsia" w:asciiTheme="minorEastAsia" w:hAnsiTheme="minorEastAsia" w:eastAsiaTheme="minorEastAsia" w:cstheme="minorEastAsia"/>
          <w:bCs/>
          <w:sz w:val="24"/>
          <w:highlight w:val="none"/>
        </w:rPr>
        <w:t xml:space="preserve"> 在响应文件截止时间至响应文件中规定的磋商响应有效期满之间的这段时间内，供应商不得撤回其响应文件。</w:t>
      </w:r>
    </w:p>
    <w:p>
      <w:pPr>
        <w:adjustRightInd w:val="0"/>
        <w:snapToGrid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六、磋商与评审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1、磋商仪式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1.1采购代理机构将在采购邀请中规定的时间和地点组织磋商开始仪式。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 磋商活动由采购代理机构组织，现场进行磋商，并公布各供应商的最后报价。</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2、磋商小组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2.1磋商开始仪式结束后，采购单位将立即组织磋商小组进行评审。</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2.4磋商小组独立工作，负责评审所有响应文件并确定成交候选人。</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3、磋商评审过程的保密与公正</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3.1磋商小组、采购单位和采购代理机构工作人员、相关监督人员等与评审工作有关的人员，对评审情况以及在评审过程中获悉的国家秘密、商业秘密负有保密责任。</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3.2在磋商评审过程中，磋商供应商不得以任何行为影响磋商评审过程，否则其响应文件将被作为无效响应文件。</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3.4</w:t>
      </w:r>
      <w:r>
        <w:rPr>
          <w:rFonts w:hint="eastAsia" w:asciiTheme="minorEastAsia" w:hAnsiTheme="minorEastAsia" w:eastAsiaTheme="minorEastAsia" w:cstheme="minorEastAsia"/>
          <w:bCs/>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3.5在评审期间，采购代理机构将设专门人员与供应商联系。</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3.6采购代理机构和评审小组不向未成交的供应商解释未成交原因，也不公布评审过程中的相关细节。</w:t>
      </w:r>
    </w:p>
    <w:p>
      <w:pPr>
        <w:tabs>
          <w:tab w:val="left" w:pos="900"/>
        </w:tabs>
        <w:adjustRightInd w:val="0"/>
        <w:snapToGrid w:val="0"/>
        <w:spacing w:line="360" w:lineRule="auto"/>
        <w:ind w:firstLine="477" w:firstLineChars="199"/>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4、评审过程的澄清</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4.1评审期间，为有助于对响应文件的审查、评价和比较，磋商小组有权要求响应供应商对其响应文件进行书面澄清，但并非对每个供应商都作澄清要求。</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4.2接到磋商小组澄清要求的供应商应按磋商小组规定的时间做出书面澄清，澄清的内容作为响应文件的补充部分，但实质性的内容不得做任何更改。</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4.3 接到磋商小组澄清要求的供应商如未按规定作出澄清，其风</w:t>
      </w:r>
      <w:r>
        <w:rPr>
          <w:rFonts w:hint="eastAsia" w:asciiTheme="minorEastAsia" w:hAnsiTheme="minorEastAsia" w:eastAsiaTheme="minorEastAsia" w:cstheme="minorEastAsia"/>
          <w:bCs/>
          <w:sz w:val="24"/>
          <w:highlight w:val="none"/>
        </w:rPr>
        <w:t>险由供应商自行承担。</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5、对响应文件的初审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5.1响应文件初审分为资格性审查和符合性审查。</w:t>
      </w:r>
    </w:p>
    <w:p>
      <w:pPr>
        <w:pStyle w:val="5"/>
        <w:keepNext w:val="0"/>
        <w:keepLines w:val="0"/>
        <w:wordWrap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5.1.1资格性检查：依据法律法规和磋商文件的规定，由磋商小组对响应文件中的资格审查证明材料进行审查。</w:t>
      </w:r>
    </w:p>
    <w:p>
      <w:pPr>
        <w:pStyle w:val="5"/>
        <w:keepNext w:val="0"/>
        <w:keepLines w:val="0"/>
        <w:wordWrap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在进行资格性审查的同时，采购代理机构将从“信用中国”网站（www.creditchina.gov.cn）查询供应商的信用记录，以确定供应商是否具备参加磋商的资格。查询结果将留存并归档。</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5.1.2符合性审查：依据磋商文件的规定，由磋商小组从响应文件的有效性、完整性和对磋商文件的响应程度进行审查，以确定是否对磋商文件的实质性要求作出响应。</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5.1.3未通过资格审查或符合性审查的供应商，采购代理机构将告知未通过资格审查或符合性审查的原因，评审结束后，采购代理机构将不再告知未通过资格审查或符合性审查的原因</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360" w:lineRule="auto"/>
        <w:ind w:firstLine="477" w:firstLineChars="199"/>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5.3如果响应文件实质上没有响应磋商文件的要求，磋商小组将予以拒绝，供应商不得通过修改或撤销不符合要求的偏离或保留而使其响应文件成为实质性响应的文件。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5.4</w:t>
      </w:r>
      <w:r>
        <w:rPr>
          <w:rFonts w:hint="eastAsia" w:asciiTheme="minorEastAsia" w:hAnsiTheme="minorEastAsia" w:eastAsiaTheme="minorEastAsia" w:cstheme="minorEastAsia"/>
          <w:bCs/>
          <w:sz w:val="24"/>
          <w:highlight w:val="none"/>
        </w:rPr>
        <w:t>磋商小组将对确定为实质性响应的文件进行进一步审核，看其是否有计算上或累加上的算术错误，修正错误的原则如下：</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（1）响应文件中</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内容与响应文件中相应内容不一致的，以</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（2）大写金额和小写金额不一致的，以大写金额为准。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（3）单价金额小数点或者百分比有明显错位的，以</w:t>
      </w:r>
      <w:r>
        <w:rPr>
          <w:rFonts w:hint="eastAsia" w:asciiTheme="minorEastAsia" w:hAnsiTheme="minorEastAsia" w:eastAsiaTheme="minorEastAsia" w:cstheme="minorEastAsia"/>
          <w:sz w:val="24"/>
          <w:highlight w:val="none"/>
        </w:rPr>
        <w:t>报价总表</w:t>
      </w:r>
      <w:r>
        <w:rPr>
          <w:rFonts w:hint="eastAsia" w:asciiTheme="minorEastAsia" w:hAnsiTheme="minorEastAsia" w:eastAsiaTheme="minorEastAsia" w:cstheme="minorEastAsia"/>
          <w:bCs/>
          <w:sz w:val="24"/>
          <w:highlight w:val="none"/>
        </w:rPr>
        <w:t>的总价为准，并修改单价。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（4）总价金额与按单价汇总金额不一致的，以单价金额计算结果为准。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同时出现两种以上错误的，按照前款规定的顺序修正。</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5.5</w:t>
      </w:r>
      <w:r>
        <w:rPr>
          <w:rFonts w:hint="eastAsia" w:asciiTheme="minorEastAsia" w:hAnsiTheme="minorEastAsia" w:eastAsiaTheme="minorEastAsia" w:cstheme="minorEastAsia"/>
          <w:bCs/>
          <w:sz w:val="24"/>
          <w:highlight w:val="none"/>
        </w:rPr>
        <w:t>磋商小组将按上述修正错误的方法调整响应文件中的报价，调整后的价格应对供应商具有约束力。如果供应商不接受修正后的价格，则其磋商活动将被拒绝。</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5.6磋商小组将允许修正响应文件中不构成重大偏离的、微小的、非正规的、不一致的或不规则的地方，但这些修改不能影响任何供应商相应的名次排列。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5.7供应商在评审全过程中应保证不离开现场，并随时能与采购代理机构及磋商小组联系。</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bookmarkStart w:id="79" w:name="_Hlk203558849"/>
      <w:r>
        <w:rPr>
          <w:rFonts w:hint="eastAsia" w:asciiTheme="minorEastAsia" w:hAnsiTheme="minorEastAsia" w:eastAsiaTheme="minorEastAsia" w:cstheme="minorEastAsia"/>
          <w:bCs/>
          <w:sz w:val="24"/>
          <w:highlight w:val="none"/>
        </w:rPr>
        <w:t>6.异常低价审查</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6.1根据省财政厅《关于推动解决政府采购异常低价问题相关工作的通知》（苏财购〔2025〕62号）要求，评审过程中出现下列情形之一的，评审委员会应当启动异常低价投标（响应）审查程序：</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（1）投标(响应)报价低于采购项目预算50%的，即投标(响应)报价&lt;采购项目预算×50%;</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（2）投标(响应)报价低于采购项目最高限价45%的，即投标(响应)报价&lt;采购项目最高限价×45%;</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（3）评审委员会认定的供应商报价过低、有可能影响产品质量或者不能诚信履约的其他情形。</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79"/>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7、被认定为未实质性响应磋商文件的响应文件的情形。</w:t>
      </w:r>
    </w:p>
    <w:p>
      <w:pPr>
        <w:tabs>
          <w:tab w:val="left" w:pos="6555"/>
          <w:tab w:val="right" w:pos="8306"/>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7.1出现下列情形之一的，作无效响应处理。</w:t>
      </w:r>
    </w:p>
    <w:p>
      <w:pPr>
        <w:tabs>
          <w:tab w:val="left" w:pos="6555"/>
          <w:tab w:val="right" w:pos="8306"/>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7.1.1磋商响应文件未按磋商文件要求装订、密封、签署、盖章及主要资料不齐全的。</w:t>
      </w:r>
    </w:p>
    <w:p>
      <w:pPr>
        <w:adjustRightInd w:val="0"/>
        <w:snapToGrid w:val="0"/>
        <w:spacing w:line="360" w:lineRule="auto"/>
        <w:ind w:firstLine="484" w:firstLineChars="20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7.1.2</w:t>
      </w:r>
      <w:r>
        <w:rPr>
          <w:rFonts w:hint="eastAsia" w:asciiTheme="minorEastAsia" w:hAnsiTheme="minorEastAsia" w:eastAsiaTheme="minorEastAsia" w:cstheme="minorEastAsia"/>
          <w:kern w:val="2"/>
          <w:sz w:val="24"/>
          <w:highlight w:val="none"/>
        </w:rPr>
        <w:t>磋商响应文件</w:t>
      </w:r>
      <w:r>
        <w:rPr>
          <w:rFonts w:hint="eastAsia" w:asciiTheme="minorEastAsia" w:hAnsiTheme="minorEastAsia" w:eastAsiaTheme="minorEastAsia" w:cstheme="minorEastAsia"/>
          <w:snapToGrid/>
          <w:kern w:val="2"/>
          <w:sz w:val="24"/>
          <w:highlight w:val="none"/>
        </w:rPr>
        <w:t>的资料有虚报或者谎报的。</w:t>
      </w:r>
    </w:p>
    <w:p>
      <w:pPr>
        <w:pStyle w:val="34"/>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7.1.3磋商响应文件中资格审查文件及商务技术响应文件出现磋商报价的内容。</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7.1.4未通过符合性检查或不具备磋商文件中规定的资格要求的。</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7.1.5 </w:t>
      </w:r>
      <w:r>
        <w:rPr>
          <w:rFonts w:hint="eastAsia" w:asciiTheme="minorEastAsia" w:hAnsiTheme="minorEastAsia" w:eastAsiaTheme="minorEastAsia" w:cstheme="minorEastAsia"/>
          <w:kern w:val="2"/>
          <w:sz w:val="24"/>
          <w:highlight w:val="none"/>
        </w:rPr>
        <w:t>磋商响应文件</w:t>
      </w:r>
      <w:r>
        <w:rPr>
          <w:rFonts w:hint="eastAsia" w:asciiTheme="minorEastAsia" w:hAnsiTheme="minorEastAsia" w:eastAsiaTheme="minorEastAsia" w:cstheme="minorEastAsia"/>
          <w:snapToGrid/>
          <w:kern w:val="2"/>
          <w:sz w:val="24"/>
          <w:highlight w:val="none"/>
        </w:rPr>
        <w:t>有重大漏项或重大不合理的</w:t>
      </w:r>
      <w:r>
        <w:rPr>
          <w:rFonts w:hint="eastAsia" w:asciiTheme="minorEastAsia" w:hAnsiTheme="minorEastAsia" w:eastAsiaTheme="minorEastAsia" w:cstheme="minorEastAsia"/>
          <w:bCs/>
          <w:sz w:val="24"/>
          <w:highlight w:val="none"/>
        </w:rPr>
        <w:t>。</w:t>
      </w:r>
    </w:p>
    <w:p>
      <w:pPr>
        <w:adjustRightInd w:val="0"/>
        <w:snapToGrid w:val="0"/>
        <w:spacing w:line="360" w:lineRule="auto"/>
        <w:ind w:firstLine="484" w:firstLineChars="202"/>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7.1.6</w:t>
      </w:r>
      <w:r>
        <w:rPr>
          <w:rFonts w:hint="eastAsia" w:asciiTheme="minorEastAsia" w:hAnsiTheme="minorEastAsia" w:eastAsiaTheme="minorEastAsia" w:cstheme="minorEastAsia"/>
          <w:snapToGrid/>
          <w:kern w:val="2"/>
          <w:sz w:val="24"/>
          <w:highlight w:val="none"/>
        </w:rPr>
        <w:t>项目技术、方案不满足项目需求中的要求，有重大偏离或保留的</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7.1.7同一供应商提交两个（含两个）以上不同的响应报价的。</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7.1.8</w:t>
      </w:r>
      <w:r>
        <w:rPr>
          <w:rFonts w:hint="eastAsia" w:asciiTheme="minorEastAsia" w:hAnsiTheme="minorEastAsia" w:eastAsiaTheme="minorEastAsia" w:cstheme="minorEastAsia"/>
          <w:snapToGrid/>
          <w:kern w:val="2"/>
          <w:sz w:val="24"/>
          <w:highlight w:val="none"/>
        </w:rPr>
        <w:t>磋商响应报价超出项目预算或最高限价的</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pPr>
        <w:snapToGrid w:val="0"/>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z w:val="24"/>
          <w:highlight w:val="none"/>
        </w:rPr>
        <w:t>7.1.10除非在磋商中磋商小组对采购单位需求内容作了调整，或对采购内容做了实质性变更，供应商的磋商报价高于自己前一轮的。</w:t>
      </w:r>
    </w:p>
    <w:p>
      <w:pPr>
        <w:snapToGrid w:val="0"/>
        <w:spacing w:line="360" w:lineRule="auto"/>
        <w:ind w:firstLine="482" w:firstLineChars="201"/>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7.1.11</w:t>
      </w:r>
      <w:r>
        <w:rPr>
          <w:rFonts w:hint="eastAsia" w:asciiTheme="minorEastAsia" w:hAnsiTheme="minorEastAsia" w:eastAsiaTheme="minorEastAsia" w:cstheme="minorEastAsia"/>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7.1.12响应文件含有采购单位不能接受的附加条件的。</w:t>
      </w:r>
    </w:p>
    <w:p>
      <w:pPr>
        <w:snapToGrid w:val="0"/>
        <w:spacing w:line="360" w:lineRule="auto"/>
        <w:ind w:firstLine="482" w:firstLineChars="201"/>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sz w:val="24"/>
          <w:highlight w:val="none"/>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7.1.14</w:t>
      </w:r>
      <w:r>
        <w:rPr>
          <w:rFonts w:hint="eastAsia" w:asciiTheme="minorEastAsia" w:hAnsiTheme="minorEastAsia" w:eastAsiaTheme="minorEastAsia" w:cstheme="minorEastAsia"/>
          <w:kern w:val="2"/>
          <w:sz w:val="24"/>
          <w:highlight w:val="none"/>
        </w:rPr>
        <w:t>磋商响应文件中已标价工程量清单与磋商文件规定的暂估价、暂列金额及甲供材料价格不一致的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7.1.15</w:t>
      </w:r>
      <w:r>
        <w:rPr>
          <w:rFonts w:hint="eastAsia" w:asciiTheme="minorEastAsia" w:hAnsiTheme="minorEastAsia" w:eastAsiaTheme="minorEastAsia" w:cstheme="minorEastAsia"/>
          <w:kern w:val="2"/>
          <w:sz w:val="24"/>
          <w:highlight w:val="none"/>
        </w:rPr>
        <w:t>磋商响应文件中已标价工程量清单与磋商文件明确列出的不可竞争费用项目或费率或计算基础不一致的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7.1.16</w:t>
      </w:r>
      <w:r>
        <w:rPr>
          <w:rFonts w:hint="eastAsia" w:asciiTheme="minorEastAsia" w:hAnsiTheme="minorEastAsia" w:eastAsiaTheme="minorEastAsia" w:cstheme="minorEastAsia"/>
          <w:kern w:val="2"/>
          <w:sz w:val="24"/>
          <w:highlight w:val="none"/>
        </w:rPr>
        <w:t>磋商响应文件中已标价工程量清单与磋商文件提供的工程量清单中的项目编码、项目名称、项目特征、计量单位、工程量不一致的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7.1.17</w:t>
      </w:r>
      <w:r>
        <w:rPr>
          <w:rFonts w:hint="eastAsia" w:asciiTheme="minorEastAsia" w:hAnsiTheme="minorEastAsia" w:eastAsiaTheme="minorEastAsia" w:cstheme="minorEastAsia"/>
          <w:kern w:val="2"/>
          <w:sz w:val="24"/>
          <w:highlight w:val="none"/>
        </w:rPr>
        <w:t>磋商响应文件载明的招标项目完成期限超过磋商文件规定的期限的；</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7.1.18</w:t>
      </w:r>
      <w:r>
        <w:rPr>
          <w:rFonts w:hint="eastAsia" w:asciiTheme="minorEastAsia" w:hAnsiTheme="minorEastAsia" w:eastAsiaTheme="minorEastAsia" w:cstheme="minorEastAsia"/>
          <w:kern w:val="2"/>
          <w:sz w:val="24"/>
          <w:highlight w:val="none"/>
        </w:rPr>
        <w:t>明显不符合技术规范、技术标准的要求的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7.1.19</w:t>
      </w:r>
      <w:r>
        <w:rPr>
          <w:rFonts w:hint="eastAsia" w:asciiTheme="minorEastAsia" w:hAnsiTheme="minorEastAsia" w:eastAsiaTheme="minorEastAsia" w:cstheme="minorEastAsia"/>
          <w:kern w:val="2"/>
          <w:sz w:val="24"/>
          <w:highlight w:val="none"/>
        </w:rPr>
        <w:t>磋商响应文件载明的货物包装方式、检验标准和方法等不符合磋商文件的要求的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7.1.20</w:t>
      </w:r>
      <w:r>
        <w:rPr>
          <w:rFonts w:hint="eastAsia" w:asciiTheme="minorEastAsia" w:hAnsiTheme="minorEastAsia" w:eastAsiaTheme="minorEastAsia" w:cstheme="minorEastAsia"/>
          <w:kern w:val="2"/>
          <w:sz w:val="24"/>
          <w:highlight w:val="none"/>
        </w:rPr>
        <w:t>磋商响应文件提出了不能满足磋商文件要求或采购单位不能接受的工程验收、计量、价款结算和支付办法的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7.1.21</w:t>
      </w:r>
      <w:r>
        <w:rPr>
          <w:rFonts w:hint="eastAsia" w:asciiTheme="minorEastAsia" w:hAnsiTheme="minorEastAsia" w:eastAsiaTheme="minorEastAsia" w:cstheme="minorEastAsia"/>
          <w:kern w:val="2"/>
          <w:sz w:val="24"/>
          <w:highlight w:val="none"/>
        </w:rPr>
        <w:t>不同供应商的磋商响应文件以及磋商响应文件制作过程出现了磋商小组认为不应当雷同的情况的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7.1.22</w:t>
      </w:r>
      <w:r>
        <w:rPr>
          <w:rFonts w:hint="eastAsia" w:asciiTheme="minorEastAsia" w:hAnsiTheme="minorEastAsia" w:eastAsiaTheme="minorEastAsia" w:cstheme="minorEastAsia"/>
          <w:kern w:val="2"/>
          <w:sz w:val="24"/>
          <w:highlight w:val="none"/>
        </w:rPr>
        <w:t>以他人的名义投标、串通投标、以行贿手段谋取成交或者以其他弄虚作假方式磋商响应的</w:t>
      </w:r>
      <w:r>
        <w:rPr>
          <w:rFonts w:hint="eastAsia" w:asciiTheme="minorEastAsia" w:hAnsiTheme="minorEastAsia" w:eastAsiaTheme="minorEastAsia" w:cstheme="minorEastAsia"/>
          <w:bCs/>
          <w:sz w:val="24"/>
          <w:highlight w:val="none"/>
        </w:rPr>
        <w:t>。</w:t>
      </w:r>
    </w:p>
    <w:p>
      <w:pPr>
        <w:snapToGrid w:val="0"/>
        <w:spacing w:line="360" w:lineRule="auto"/>
        <w:ind w:firstLine="482" w:firstLineChars="201"/>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7.1.23</w:t>
      </w:r>
      <w:r>
        <w:rPr>
          <w:rFonts w:hint="eastAsia" w:asciiTheme="minorEastAsia" w:hAnsiTheme="minorEastAsia" w:eastAsiaTheme="minorEastAsia" w:cstheme="minorEastAsia"/>
          <w:kern w:val="2"/>
          <w:sz w:val="24"/>
          <w:highlight w:val="none"/>
        </w:rPr>
        <w:t>施工组织设计（施工方案）存在明显技术方案错误、或者不符合磋商文件有关暗标（如有）的要求</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kern w:val="2"/>
          <w:sz w:val="24"/>
          <w:highlight w:val="none"/>
        </w:rPr>
        <w:t xml:space="preserve"> </w:t>
      </w:r>
    </w:p>
    <w:p>
      <w:pPr>
        <w:snapToGrid w:val="0"/>
        <w:spacing w:line="360" w:lineRule="auto"/>
        <w:ind w:firstLine="480" w:firstLineChars="200"/>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bCs/>
          <w:sz w:val="24"/>
          <w:highlight w:val="none"/>
        </w:rPr>
        <w:t>7.1.24</w:t>
      </w:r>
      <w:r>
        <w:rPr>
          <w:rFonts w:hint="eastAsia" w:asciiTheme="minorEastAsia" w:hAnsiTheme="minorEastAsia" w:eastAsiaTheme="minorEastAsia" w:cstheme="minorEastAsia"/>
          <w:kern w:val="2"/>
          <w:sz w:val="24"/>
          <w:highlight w:val="none"/>
        </w:rPr>
        <w:t>供应商在响应文件递交截止时间当日，建筑业企业资质（本项目要求的资质）动态监管结果处于不合格状态的。</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7.1.25</w:t>
      </w:r>
      <w:r>
        <w:rPr>
          <w:rFonts w:hint="eastAsia" w:asciiTheme="minorEastAsia" w:hAnsiTheme="minorEastAsia" w:eastAsiaTheme="minorEastAsia" w:cstheme="minorEastAsia"/>
          <w:kern w:val="2"/>
          <w:sz w:val="24"/>
          <w:highlight w:val="none"/>
        </w:rPr>
        <w:t>磋商响应文件关键内容模糊、无法辨认</w:t>
      </w:r>
      <w:r>
        <w:rPr>
          <w:rFonts w:hint="eastAsia" w:asciiTheme="minorEastAsia" w:hAnsiTheme="minorEastAsia" w:eastAsiaTheme="minorEastAsia" w:cstheme="minorEastAsia"/>
          <w:bCs/>
          <w:sz w:val="24"/>
          <w:highlight w:val="none"/>
        </w:rPr>
        <w:t>。</w:t>
      </w:r>
    </w:p>
    <w:p>
      <w:pPr>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7.1.26</w:t>
      </w:r>
      <w:r>
        <w:rPr>
          <w:rFonts w:hint="eastAsia" w:asciiTheme="minorEastAsia" w:hAnsiTheme="minorEastAsia" w:eastAsiaTheme="minorEastAsia" w:cstheme="minorEastAsia"/>
          <w:kern w:val="2"/>
          <w:sz w:val="24"/>
          <w:highlight w:val="none"/>
        </w:rPr>
        <w:t>不符合法律、法规和磋商文件中规定的其他实质性响应要求的</w:t>
      </w:r>
      <w:r>
        <w:rPr>
          <w:rFonts w:hint="eastAsia" w:asciiTheme="minorEastAsia" w:hAnsiTheme="minorEastAsia" w:eastAsiaTheme="minorEastAsia" w:cstheme="minorEastAsia"/>
          <w:bCs/>
          <w:sz w:val="24"/>
          <w:highlight w:val="none"/>
        </w:rPr>
        <w:t>。</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7.2出现下列情形之一的，磋商失败。</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7.2.1符合条件的供应商或者对磋商文件作实质响应的供应商不足3家的（市场竞争不充分的科研项目，以及需要扶持的科技成果转化项目可以是2家）；</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7.2.2出现影响采购公正的违法违规行为的；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7.2.3因重大变故，采购任务取消的。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7.2.4磋商小组认定磋商文件存在歧义、重大缺陷导致评审工作无法进行。</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7.2.5供应商的报价均超出了采购预算或最高限价，采购单位不能支付的；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7.2.6因情况变化，不再符合规定的竞争性磋商采购方式所适用情形的；</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7.2.7磋商小组依据法律法规可以认定为废标的其他情况。</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7.3 响应</w:t>
      </w:r>
      <w:r>
        <w:rPr>
          <w:rFonts w:hint="eastAsia" w:asciiTheme="minorEastAsia" w:hAnsiTheme="minorEastAsia" w:eastAsiaTheme="minorEastAsia" w:cstheme="minorEastAsia"/>
          <w:sz w:val="24"/>
          <w:highlight w:val="none"/>
        </w:rPr>
        <w:t>文件提交</w:t>
      </w:r>
      <w:r>
        <w:rPr>
          <w:rFonts w:hint="eastAsia" w:asciiTheme="minorEastAsia" w:hAnsiTheme="minorEastAsia" w:eastAsiaTheme="minorEastAsia" w:cstheme="minorEastAsia"/>
          <w:bCs/>
          <w:sz w:val="24"/>
          <w:highlight w:val="none"/>
        </w:rPr>
        <w:t>截止时间结束后参加磋商的供应商不足三家的处理：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7.3.1如出现响应</w:t>
      </w:r>
      <w:r>
        <w:rPr>
          <w:rFonts w:hint="eastAsia" w:asciiTheme="minorEastAsia" w:hAnsiTheme="minorEastAsia" w:eastAsiaTheme="minorEastAsia" w:cstheme="minorEastAsia"/>
          <w:sz w:val="24"/>
          <w:highlight w:val="none"/>
        </w:rPr>
        <w:t>文件提交</w:t>
      </w:r>
      <w:r>
        <w:rPr>
          <w:rFonts w:hint="eastAsia" w:asciiTheme="minorEastAsia" w:hAnsiTheme="minorEastAsia" w:eastAsiaTheme="minorEastAsia" w:cstheme="minorEastAsia"/>
          <w:bCs/>
          <w:sz w:val="24"/>
          <w:highlight w:val="none"/>
        </w:rPr>
        <w:t>截止时间结束后参加磋商的供应商或者在评审期间对磋商文件做出实质响应的供应商不足三家情况，按政府采购相关规定执行。</w:t>
      </w:r>
    </w:p>
    <w:bookmarkEnd w:id="67"/>
    <w:bookmarkEnd w:id="68"/>
    <w:bookmarkEnd w:id="69"/>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七、成交</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bookmarkStart w:id="80" w:name="_Toc16938554"/>
      <w:bookmarkStart w:id="81" w:name="_Toc20823310"/>
      <w:r>
        <w:rPr>
          <w:rFonts w:hint="eastAsia" w:asciiTheme="minorEastAsia" w:hAnsiTheme="minorEastAsia" w:eastAsiaTheme="minorEastAsia" w:cstheme="minorEastAsia"/>
          <w:sz w:val="24"/>
          <w:highlight w:val="none"/>
        </w:rPr>
        <w:t>1、确定</w:t>
      </w:r>
      <w:bookmarkEnd w:id="80"/>
      <w:bookmarkEnd w:id="81"/>
      <w:r>
        <w:rPr>
          <w:rFonts w:hint="eastAsia" w:asciiTheme="minorEastAsia" w:hAnsiTheme="minorEastAsia" w:eastAsiaTheme="minorEastAsia" w:cstheme="minorEastAsia"/>
          <w:sz w:val="24"/>
          <w:highlight w:val="none"/>
        </w:rPr>
        <w:t>成交单位</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1.1成交候选供应商的选取原则和数量见磋商文件第四部分规定。 </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 采购单位授权磋商小组在成交候选供应商中直接确定成交供应商。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 xml:space="preserve">1.3 </w:t>
      </w:r>
      <w:r>
        <w:rPr>
          <w:rFonts w:hint="eastAsia" w:asciiTheme="minorEastAsia" w:hAnsiTheme="minorEastAsia" w:eastAsiaTheme="minorEastAsia" w:cstheme="minorEastAsia"/>
          <w:sz w:val="24"/>
          <w:highlight w:val="none"/>
        </w:rPr>
        <w:t>采购单位将在“南通市机关事务管理局→公告公示”栏发布成交结果公告，公告期限为1个工作日。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1.4若有充分证据证明，成交供应商出现下列情况之一的，一经查实，将被取消成交资格：</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1.4.1提供虚假材料谋取成交的。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1.4.2向采购单位、采购代理机构行贿或者评审专家提供其他不正当利益的。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1.4.3恶意竞争，最终总报价明显低于其自身合理成本且又无法提供证明的。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1.4.4属于本文件规定的无效条件，但在评审过程中又未被磋商小组发现的。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1.4.5与采购单位或者其他供应商恶意串通的。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1.4.6采取不正当手段诋毁、排挤其他供应商的。</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bookmarkStart w:id="82" w:name="_Toc200451960"/>
      <w:r>
        <w:rPr>
          <w:rFonts w:hint="eastAsia" w:asciiTheme="minorEastAsia" w:hAnsiTheme="minorEastAsia" w:eastAsiaTheme="minorEastAsia" w:cstheme="minorEastAsia"/>
          <w:sz w:val="24"/>
          <w:highlight w:val="none"/>
        </w:rPr>
        <w:t>1.5.有下列情形之一的，视为供应商串通参与磋商，响应无效：</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1.5.1不同供应商的响应文件由同一单位或者个人编制；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1.5.2不同供应商委托同一单位或者个人办理磋商事宜；</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1.5.3不同供应商的响应文件载明的项目管理成员或者联系人员为同一人；</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1.5.4不同供应商的响应文件异常一致或者响应报价呈规律性差异。</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2、质疑处理</w:t>
      </w:r>
      <w:bookmarkEnd w:id="82"/>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提出质疑的供应商应当是参与所质疑项目采购活动的供应商。潜在供应商依法获取其可质疑的磋商文件的，可以对磋商文件提出质疑。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2.2.1对可以质疑的磋商文件提出质疑的，为收到磋商文件之日或者采购邀请期限届满之日；</w:t>
      </w:r>
      <w:r>
        <w:rPr>
          <w:rFonts w:hint="eastAsia" w:asciiTheme="minorEastAsia" w:hAnsiTheme="minorEastAsia" w:eastAsiaTheme="minorEastAsia" w:cstheme="minorEastAsia"/>
          <w:sz w:val="24"/>
          <w:highlight w:val="none"/>
        </w:rPr>
        <w:br w:type="textWrapping"/>
      </w:r>
      <w:r>
        <w:rPr>
          <w:rFonts w:hint="eastAsia" w:asciiTheme="minorEastAsia" w:hAnsiTheme="minorEastAsia" w:eastAsiaTheme="minorEastAsia" w:cstheme="minorEastAsia"/>
          <w:sz w:val="24"/>
          <w:highlight w:val="none"/>
        </w:rPr>
        <w:t>　　2.2.2对采购过程提出质疑的，为各采购程序环节结束之日；</w:t>
      </w:r>
      <w:r>
        <w:rPr>
          <w:rFonts w:hint="eastAsia" w:asciiTheme="minorEastAsia" w:hAnsiTheme="minorEastAsia" w:eastAsiaTheme="minorEastAsia" w:cstheme="minorEastAsia"/>
          <w:sz w:val="24"/>
          <w:highlight w:val="none"/>
        </w:rPr>
        <w:br w:type="textWrapping"/>
      </w:r>
      <w:r>
        <w:rPr>
          <w:rFonts w:hint="eastAsia" w:asciiTheme="minorEastAsia" w:hAnsiTheme="minorEastAsia" w:eastAsiaTheme="minorEastAsia" w:cstheme="minorEastAsia"/>
          <w:sz w:val="24"/>
          <w:highlight w:val="none"/>
        </w:rPr>
        <w:t>　　2.2.3对成交结果提出质疑的，为成交结果公告期限届满之日。</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供应商应当在法定质疑期内一次性提出针对同一采购程序环节的质疑。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采购单位质疑接收人及联系方式，见磋商文件第一部分。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 以下情形的质疑不予受理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2.5.1 内容不符合《政府采购质疑和投诉办法》第十二条规定的质疑。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2.5.2 超出政府采购法定期限的质疑。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2.5.3 未参加磋商活动的供应商或在磋商活动中自身权益未受到损害的供应商所提出的质疑。</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2.5.4供应商组成联合体参加磋商，联合体中任何一方或多方未按要求签字、盖章、加盖公章的质疑。</w:t>
      </w:r>
    </w:p>
    <w:p>
      <w:pPr>
        <w:adjustRightInd w:val="0"/>
        <w:snapToGrid w:val="0"/>
        <w:spacing w:line="360" w:lineRule="auto"/>
        <w:ind w:firstLine="468" w:firstLineChars="19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pPr>
        <w:adjustRightInd w:val="0"/>
        <w:snapToGrid w:val="0"/>
        <w:spacing w:line="360" w:lineRule="auto"/>
        <w:ind w:firstLine="360" w:firstLineChars="15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3、成交通知书</w:t>
      </w:r>
    </w:p>
    <w:p>
      <w:pPr>
        <w:adjustRightInd w:val="0"/>
        <w:snapToGrid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3.l</w:t>
      </w:r>
      <w:r>
        <w:rPr>
          <w:rFonts w:hint="eastAsia" w:asciiTheme="minorEastAsia" w:hAnsiTheme="minorEastAsia" w:eastAsiaTheme="minorEastAsia" w:cstheme="minorEastAsia"/>
          <w:b/>
          <w:sz w:val="24"/>
          <w:highlight w:val="none"/>
        </w:rPr>
        <w:t xml:space="preserve"> </w:t>
      </w:r>
      <w:r>
        <w:rPr>
          <w:rFonts w:hint="eastAsia" w:asciiTheme="minorEastAsia" w:hAnsiTheme="minorEastAsia" w:eastAsiaTheme="minorEastAsia" w:cstheme="minorEastAsia"/>
          <w:sz w:val="24"/>
          <w:highlight w:val="none"/>
        </w:rPr>
        <w:t>成交结果确定后，采购单位将向成交供应商发出成交通知书。</w:t>
      </w:r>
    </w:p>
    <w:p>
      <w:pPr>
        <w:adjustRightInd w:val="0"/>
        <w:snapToGrid w:val="0"/>
        <w:spacing w:line="360" w:lineRule="auto"/>
        <w:ind w:firstLine="360" w:firstLine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pPr>
        <w:adjustRightInd w:val="0"/>
        <w:snapToGrid w:val="0"/>
        <w:spacing w:line="360" w:lineRule="auto"/>
        <w:ind w:firstLine="482" w:firstLineChars="200"/>
        <w:outlineLvl w:val="2"/>
        <w:rPr>
          <w:rFonts w:asciiTheme="minorEastAsia" w:hAnsiTheme="minorEastAsia" w:eastAsiaTheme="minorEastAsia" w:cstheme="minorEastAsia"/>
          <w:b/>
          <w:bCs/>
          <w:sz w:val="24"/>
          <w:highlight w:val="none"/>
        </w:rPr>
      </w:pPr>
      <w:bookmarkStart w:id="83" w:name="_Toc120614220"/>
      <w:bookmarkStart w:id="84" w:name="_Toc20823308"/>
      <w:bookmarkStart w:id="85" w:name="_Toc513029236"/>
      <w:bookmarkStart w:id="86" w:name="_Toc16938552"/>
      <w:r>
        <w:rPr>
          <w:rFonts w:hint="eastAsia" w:asciiTheme="minorEastAsia" w:hAnsiTheme="minorEastAsia" w:eastAsiaTheme="minorEastAsia" w:cstheme="minorEastAsia"/>
          <w:b/>
          <w:bCs/>
          <w:sz w:val="24"/>
          <w:highlight w:val="none"/>
        </w:rPr>
        <w:t>八、授予合同</w:t>
      </w:r>
      <w:bookmarkEnd w:id="83"/>
    </w:p>
    <w:bookmarkEnd w:id="84"/>
    <w:bookmarkEnd w:id="85"/>
    <w:bookmarkEnd w:id="86"/>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1、签订合同</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w:t>
      </w:r>
      <w:r>
        <w:rPr>
          <w:rFonts w:hint="eastAsia" w:asciiTheme="minorEastAsia" w:hAnsiTheme="minorEastAsia" w:eastAsiaTheme="minorEastAsia" w:cstheme="minorEastAsia"/>
          <w:sz w:val="24"/>
          <w:highlight w:val="none"/>
        </w:rPr>
        <w:t>.l成交供应商应当在成交通知书发出之日起三十日内，按照磋商文件确定的事项与采购单位签订采购合同。</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1.2磋商文件、成交供应商的响应文件及磋商过程中有关澄清、承诺文件均应作为合同附件。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pPr>
        <w:adjustRightInd w:val="0"/>
        <w:snapToGrid w:val="0"/>
        <w:spacing w:line="360" w:lineRule="auto"/>
        <w:ind w:firstLine="480" w:firstLineChars="200"/>
        <w:outlineLvl w:val="3"/>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2、货物和服务的追加、减少和添购。</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pPr>
        <w:pStyle w:val="5"/>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4"/>
    <w:bookmarkEnd w:id="5"/>
    <w:bookmarkEnd w:id="6"/>
    <w:bookmarkEnd w:id="7"/>
    <w:bookmarkEnd w:id="8"/>
    <w:bookmarkEnd w:id="9"/>
    <w:bookmarkEnd w:id="10"/>
    <w:bookmarkEnd w:id="11"/>
    <w:bookmarkEnd w:id="12"/>
    <w:bookmarkEnd w:id="13"/>
    <w:bookmarkEnd w:id="14"/>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第三部分 项目需求</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bCs/>
          <w:snapToGrid/>
          <w:spacing w:val="-8"/>
          <w:sz w:val="24"/>
          <w:highlight w:val="none"/>
        </w:rPr>
        <w:t xml:space="preserve">一、采购标的需实现的功能或者目标 </w:t>
      </w:r>
    </w:p>
    <w:p>
      <w:pPr>
        <w:spacing w:line="460" w:lineRule="exact"/>
        <w:ind w:firstLine="482"/>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南通市图书馆南楼7-9层为市档案馆专业库房，配套的6台恒温恒湿机组为欧科洁净室用空气调节机组（型号为EKDX110-50A），生产日期为2013年5月，安全使用年限为10年。因设备已超安全使用年限、使用效果差等原因，已停止使用该设备，需更新替换为性能更高、可靠性更强、能耗等级更低具有智能控制系统的恒温恒湿精密空调设备。此项目安装内容包括恒温恒湿机组更换，配套管路更换，控制系统更换、供电线路更换等。</w:t>
      </w:r>
    </w:p>
    <w:p>
      <w:pPr>
        <w:spacing w:line="460" w:lineRule="exact"/>
        <w:ind w:firstLine="48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二、采购标的需执行的国家相关标准、行业标准、地方标准或者其他标准、规范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按国家现行相关法律法规和行业标准执行。</w:t>
      </w:r>
    </w:p>
    <w:p>
      <w:pPr>
        <w:spacing w:line="460" w:lineRule="exact"/>
        <w:ind w:firstLine="878" w:firstLineChars="366"/>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一）工程采用的计价规范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1.《建设工程工程量清单计价规范》GB50500-2013。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2.《房屋建筑与装饰工程工程量计算规范》GB50854-2013。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3.《江苏省建筑与装饰工程计价定额》2014年版。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4.《江苏省建设工程费用定额》(2014版)。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5.《江苏房屋修缮工程计价表（土建）》（2009版）。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6.《江苏安装工程计价表》（2014版）。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7.《省住房城乡建设厅关于发布建设工程人工工资指导价的通知》（苏建函价【2025】66号文）。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8.《省住房城乡建设厅建筑业实施营改增后江苏省建设工程计价依据调整的通知》（苏建价【2016】154号文）。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9.省住房城乡建设厅关于调整建设工程计价增值税税率的通知（苏建函价【2019】178号文）。</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10.省住房城乡建设厅关于调整建设工程按质论价等费用计取方法的公告（【2018】第24号）。</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11.江苏省南通市与本工程造价相关的计价文件。</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（二）本工程采用的技术规范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本工程应按以下规范与标准执行（包括并不限于）。当标准互相矛盾时，以最新和最严格的为准。</w:t>
      </w:r>
      <w:r>
        <w:rPr>
          <w:rFonts w:hint="eastAsia" w:asciiTheme="minorEastAsia" w:hAnsiTheme="minorEastAsia" w:eastAsiaTheme="minorEastAsia" w:cstheme="minorEastAsia"/>
          <w:snapToGrid/>
          <w:sz w:val="24"/>
          <w:highlight w:val="none"/>
        </w:rPr>
        <w:tab/>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1.《建筑装饰装修工程质量验收规范》（GB50210-2018）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2.《建筑工程施工质量验收统一标准》（GB50300-2001）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3.《建筑内部装修设计防火规范》（GB50222-2017）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4.《建筑设计防火规范》（GB50016-2014（2018版）</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5.《城市道路和建筑物无障碍设计规范》GB50763-2012</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6.《建筑照明设计标准》GB50034-2013</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7.《建筑地面设计规范》GB50037-2014</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8.《民用建筑隔声设计规范》GB50118-2010</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9.《公共建筑节能设计标准》GB50189-2015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10.《民用建筑工程室内环境污染控制规范》GB50325-2010(2013版)                  </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11.其它应执行的相关工程施工、检测、验收的相关规范。</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 xml:space="preserve"> （三）本工程对施工工艺的特殊要求</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1.施工期间要注意周边环境，尽量避免对周围居民生活的影响。</w:t>
      </w:r>
    </w:p>
    <w:p>
      <w:pPr>
        <w:spacing w:line="460" w:lineRule="exact"/>
        <w:ind w:firstLine="560"/>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2.冬、雨季施工要采取相应的保护措施。</w:t>
      </w:r>
    </w:p>
    <w:p>
      <w:pPr>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（四）设备要求</w:t>
      </w:r>
    </w:p>
    <w:p>
      <w:pPr>
        <w:spacing w:line="360" w:lineRule="auto"/>
        <w:rPr>
          <w:rFonts w:asciiTheme="minorEastAsia" w:hAnsiTheme="minorEastAsia" w:eastAsiaTheme="minorEastAsia" w:cstheme="minorEastAsia"/>
          <w:b/>
          <w:bCs/>
          <w:snapToGrid/>
          <w:sz w:val="24"/>
          <w:highlight w:val="none"/>
          <w:lang w:bidi="zh-CN"/>
        </w:rPr>
      </w:pPr>
      <w:r>
        <w:rPr>
          <w:rFonts w:hint="eastAsia" w:asciiTheme="minorEastAsia" w:hAnsiTheme="minorEastAsia" w:eastAsiaTheme="minorEastAsia" w:cstheme="minorEastAsia"/>
          <w:snapToGrid/>
          <w:kern w:val="2"/>
          <w:sz w:val="24"/>
          <w:highlight w:val="none"/>
        </w:rPr>
        <w:t>1.技术要求（标注“★”的为关键性条款，不可负偏离）</w:t>
      </w:r>
    </w:p>
    <w:tbl>
      <w:tblPr>
        <w:tblStyle w:val="89"/>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750"/>
        <w:gridCol w:w="817"/>
        <w:gridCol w:w="764"/>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5"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序号</w:t>
            </w:r>
          </w:p>
        </w:tc>
        <w:tc>
          <w:tcPr>
            <w:tcW w:w="3750"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参考型号及规格参数</w:t>
            </w:r>
          </w:p>
        </w:tc>
        <w:tc>
          <w:tcPr>
            <w:tcW w:w="817"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单位</w:t>
            </w:r>
          </w:p>
        </w:tc>
        <w:tc>
          <w:tcPr>
            <w:tcW w:w="764" w:type="dxa"/>
            <w:vAlign w:val="center"/>
          </w:tcPr>
          <w:p>
            <w:pPr>
              <w:spacing w:line="360" w:lineRule="auto"/>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数量</w:t>
            </w:r>
          </w:p>
        </w:tc>
        <w:tc>
          <w:tcPr>
            <w:tcW w:w="3209" w:type="dxa"/>
            <w:vAlign w:val="center"/>
          </w:tcPr>
          <w:p>
            <w:pPr>
              <w:spacing w:line="360" w:lineRule="auto"/>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kern w:val="2"/>
                <w:sz w:val="24"/>
                <w:highlight w:val="none"/>
              </w:rPr>
              <w:t>★</w:t>
            </w:r>
            <w:r>
              <w:rPr>
                <w:rFonts w:hint="eastAsia" w:asciiTheme="minorEastAsia" w:hAnsiTheme="minorEastAsia" w:eastAsiaTheme="minorEastAsia" w:cstheme="minorEastAsia"/>
                <w:snapToGrid/>
                <w:sz w:val="24"/>
                <w:highlight w:val="none"/>
                <w:lang w:bidi="zh-CN"/>
              </w:rPr>
              <w:t>1</w:t>
            </w:r>
          </w:p>
        </w:tc>
        <w:tc>
          <w:tcPr>
            <w:tcW w:w="3750" w:type="dxa"/>
            <w:vAlign w:val="center"/>
          </w:tcPr>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立式上出风恒温恒湿空调机组室内机</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制冷量:&gt;80KW，制热量:&gt;65KW(电加热)送风量:15000(新风量1500)m3/h,余压:450Pa 加湿量:15Kg/h</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室内参数要求:温度14-24°℃ 相对湿度:45-60%电加热段:65kW</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控制尺寸2000X1000X2000(H)700Kg</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室内机电功率:5.5kw(内风机)+25kw(压缩机)+65kw(电加热)-380v</w:t>
            </w:r>
          </w:p>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组合式恒温恒湿空调机组室外机:室外机电功率:+1.1*2kw-220v控制荷载:150Kg*2</w:t>
            </w:r>
          </w:p>
          <w:p>
            <w:pPr>
              <w:spacing w:line="360" w:lineRule="auto"/>
              <w:jc w:val="center"/>
              <w:rPr>
                <w:rFonts w:asciiTheme="minorEastAsia" w:hAnsiTheme="minorEastAsia" w:eastAsiaTheme="minorEastAsia" w:cstheme="minorEastAsia"/>
                <w:snapToGrid/>
                <w:sz w:val="24"/>
                <w:highlight w:val="none"/>
                <w:lang w:val="zh-CN" w:bidi="zh-CN"/>
              </w:rPr>
            </w:pPr>
          </w:p>
        </w:tc>
        <w:tc>
          <w:tcPr>
            <w:tcW w:w="817" w:type="dxa"/>
            <w:vAlign w:val="center"/>
          </w:tcPr>
          <w:p>
            <w:pPr>
              <w:spacing w:line="360" w:lineRule="auto"/>
              <w:jc w:val="center"/>
              <w:rPr>
                <w:rFonts w:asciiTheme="minorEastAsia" w:hAnsiTheme="minorEastAsia" w:eastAsiaTheme="minorEastAsia" w:cstheme="minorEastAsia"/>
                <w:snapToGrid/>
                <w:sz w:val="24"/>
                <w:highlight w:val="none"/>
                <w:lang w:bidi="zh-CN"/>
              </w:rPr>
            </w:pPr>
            <w:r>
              <w:rPr>
                <w:rFonts w:hint="eastAsia" w:asciiTheme="minorEastAsia" w:hAnsiTheme="minorEastAsia" w:eastAsiaTheme="minorEastAsia" w:cstheme="minorEastAsia"/>
                <w:snapToGrid/>
                <w:sz w:val="24"/>
                <w:highlight w:val="none"/>
                <w:lang w:bidi="zh-CN"/>
              </w:rPr>
              <w:t>套</w:t>
            </w:r>
          </w:p>
        </w:tc>
        <w:tc>
          <w:tcPr>
            <w:tcW w:w="764" w:type="dxa"/>
            <w:vAlign w:val="center"/>
          </w:tcPr>
          <w:p>
            <w:pPr>
              <w:spacing w:line="360" w:lineRule="auto"/>
              <w:rPr>
                <w:rFonts w:asciiTheme="minorEastAsia" w:hAnsiTheme="minorEastAsia" w:eastAsiaTheme="minorEastAsia" w:cstheme="minorEastAsia"/>
                <w:snapToGrid/>
                <w:kern w:val="2"/>
                <w:sz w:val="24"/>
                <w:highlight w:val="none"/>
                <w:lang w:bidi="zh-CN"/>
              </w:rPr>
            </w:pPr>
            <w:r>
              <w:rPr>
                <w:rFonts w:hint="eastAsia" w:asciiTheme="minorEastAsia" w:hAnsiTheme="minorEastAsia" w:eastAsiaTheme="minorEastAsia" w:cstheme="minorEastAsia"/>
                <w:snapToGrid/>
                <w:kern w:val="2"/>
                <w:sz w:val="24"/>
                <w:highlight w:val="none"/>
                <w:lang w:bidi="zh-CN"/>
              </w:rPr>
              <w:t>6</w:t>
            </w:r>
          </w:p>
        </w:tc>
        <w:tc>
          <w:tcPr>
            <w:tcW w:w="3209" w:type="dxa"/>
            <w:vAlign w:val="center"/>
          </w:tcPr>
          <w:p>
            <w:pPr>
              <w:spacing w:line="360" w:lineRule="auto"/>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内外机最大高差不小于20M,内外机最大管长距离不小于50M。含全套自控系统设备及控制箱自动化控 制系统能够实时采集和记录所有设备的运行状态和工艺参数，数据记录保存周期&gt;3年。本项目为设备改造更新，原机房空间有限。设备进场前，设备家需要考察机房空间是否满足相应的设备尺寸安装要求,必要时内机可散件现场组装。</w:t>
            </w:r>
          </w:p>
          <w:p>
            <w:pPr>
              <w:spacing w:line="360" w:lineRule="auto"/>
              <w:jc w:val="left"/>
              <w:rPr>
                <w:rFonts w:asciiTheme="minorEastAsia" w:hAnsiTheme="minorEastAsia" w:eastAsiaTheme="minorEastAsia" w:cstheme="minorEastAsia"/>
                <w:snapToGrid/>
                <w:sz w:val="24"/>
                <w:highlight w:val="none"/>
                <w:lang w:val="zh-CN" w:bidi="zh-CN"/>
              </w:rPr>
            </w:pPr>
            <w:r>
              <w:rPr>
                <w:rFonts w:hint="eastAsia" w:asciiTheme="minorEastAsia" w:hAnsiTheme="minorEastAsia" w:eastAsiaTheme="minorEastAsia" w:cstheme="minorEastAsia"/>
                <w:snapToGrid/>
                <w:kern w:val="2"/>
                <w:sz w:val="24"/>
                <w:highlight w:val="none"/>
              </w:rPr>
              <w:t>设备厂家需配置远程控制功能和上位机控制软件。控制装置配置不低于：硬盘1TB SSD，内存16GB，处理器 I7,显示器27英寸、配套无线鼠标和键盘等，控制装置安装在办公室内，且满足设计及业主要求。</w:t>
            </w:r>
          </w:p>
        </w:tc>
      </w:tr>
    </w:tbl>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2.基本要求</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（1）机组内配置的风机、冷却盘管、电机、过滤器、减振器以及其他零部件应符合国家有关标准的规定。</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（2）所有风机、轴承、电机应说明品牌。电机F级绝缘要求，表冷器采用紫铜管套铝翅片。所有零部件应符合国家有关标准的规定。</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（3）机组构件表面应做防锈和防腐处理。</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（4）机组外表面应无明显划伤、锈斑和压痕，表面光洁，色调一致，无气泡和剥落，机组清洁干净，箱体内无杂物。</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（5）面板机组各功能段应有足够的强度，在运输、启动、运行及停止后不出现凹凸变形。</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（6）机组的检修门严密、灵活，开启及锁紧功能良好。</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（7）机组设排水口，凝结水排放流畅，无溢出和渗漏。</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（8）机组横断面上气流不应产生短路。</w:t>
      </w:r>
    </w:p>
    <w:p>
      <w:pPr>
        <w:adjustRightInd w:val="0"/>
        <w:snapToGrid w:val="0"/>
        <w:spacing w:line="360" w:lineRule="auto"/>
        <w:ind w:firstLine="480" w:firstLineChars="200"/>
        <w:outlineLvl w:val="2"/>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 机组结构及部分功能段要求</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3.1表冷段</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盘管采用铜管铝翅片盘管性能应符合 GB/T 14296《空气冷却器和空气加热器》的规定。</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空气处理机组冷却盘管迎面风速应合理设计，以防止夹带冷凝水。盘管迎面风速不超过2.75m/s，且风速均匀度应大于80%。若超过2.5m/s，需加挡水板。</w:t>
      </w:r>
    </w:p>
    <w:p>
      <w:pPr>
        <w:spacing w:line="360" w:lineRule="auto"/>
        <w:ind w:firstLine="480" w:firstLineChars="200"/>
        <w:jc w:val="left"/>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表冷盘管均采用铜管、铝翅片。冷盘管、热盘管翅片整齐，片距均匀，无明显碰撞损坏。气压试验压力为设计压力的 1.2 倍时，保压至少 1min，进行密封性检查，应无渗漏；水耐压试验压力为设计压力的1.5 倍，保压至少 3min，进行耐压检查，应无渗漏。</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冷却盘管下部设置冷凝水集水盘，凝水盘为干式接水盘，底部保温棉厚度不小于6mm，水盘采用厚度不小于1.0mm 镀锌喷涂板，水盘采用坡度设计，排水迅捷彻底，排放应畅通、无溢出和渗漏，同时方便清洁维护。</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3.2风机段</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室内风机电动机应为三相异步标准电机，绝缘要求F级，电源电压为380V/50Hz，电机应便于安装、调整。</w:t>
      </w:r>
    </w:p>
    <w:p>
      <w:pPr>
        <w:spacing w:line="360" w:lineRule="auto"/>
        <w:ind w:firstLine="424" w:firstLineChars="177"/>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电动机应能满足在温度≤45℃，相对湿度≤95%的环境中存储和连续运行。</w:t>
      </w:r>
    </w:p>
    <w:p>
      <w:pPr>
        <w:spacing w:line="360" w:lineRule="auto"/>
        <w:ind w:firstLine="480" w:firstLineChars="200"/>
        <w:outlineLvl w:val="4"/>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3.3过滤段</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采用无纺布过滤器。</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过滤器与框架安装严密，拆卸方便，有先进的过滤器结构技术。</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3.4风机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3.4.1室内机采用高效率、低能耗、低噪音的变频电机，启动时不产生冲击电流和反转。</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3.4.2室内机都具备调速功能，能根据负荷需求变化自动调节转速，实现低负荷时更低的能耗以及噪声。</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3.4.3采用高精度的电子膨胀阀，实现高效节流。</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3.4.4制冷剂：采用环保制冷剂R410A。</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3.4.5为有效应对项目在不同负荷尤其是低负荷的需求的应对，提高系统的节能性和稳定性，机组能力可实现从30%～100%的范围调节。</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3.5.空调系统控制功能要求</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3.5.1恒温恒湿空调系统需设计并配置上位机中央集成监控系统，包括控制器、专用控制软件、监控终端等。各子系统可以独立控制，独立运行，用于远程监控所有的空调机组和自控装置。控制系统的设计应该确保系统的安全性、可靠性、人机交互的方便性控制系统应该具备如下基本功能：</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1）能源的高效综合利用；</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2）远程开关机、定时开关机；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4）远程浏览数据及VPN远程访问系统；</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5）系统运行状态图、过程图形可视化功能（机电设备包括电动阀门等动态运行显示）</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3.5.2温湿度显示及温湿度记录存储系统</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3.5.2.1每个档案室设置一块显示屏，显示内容包括温湿度、日期、时间。温湿度数据都能实时刷新。温湿度数据来自独立的温湿度检测装置。</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3.5.2.2恒温恒湿挡烟库房内须设置独立的温湿度检测装置，记录仪自带高精密温湿度传感器，传感器均布吊装在挡烟库房内的长中轴线上，温湿度传感器距离地面高度2米。该温湿度检测装置必须与空调机组的控制系统物理隔离，互不相关，记录仪保证客观、公证、真实记录各个点的温湿度数据，不受人为因素影响，同时可实现历史数据的可追踪性。</w:t>
      </w:r>
    </w:p>
    <w:p>
      <w:pPr>
        <w:spacing w:line="360" w:lineRule="auto"/>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3.5.2.3温湿度检测装置基本要求：采用分辨率不低于1024×600、尺寸不小于10寸的彩色液晶显示屏，以SD卡存储记录数据，存储数据不低于1年。液晶显示屏支持USB数据导出，应能导出最近3个月的数据。采集频率不低于2次/分钟。所存储的数据在计算机上可以用office读取。</w:t>
      </w:r>
    </w:p>
    <w:p>
      <w:pPr>
        <w:spacing w:line="360" w:lineRule="auto"/>
        <w:ind w:firstLine="480" w:firstLineChars="200"/>
        <w:rPr>
          <w:rFonts w:hint="eastAsia"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3.5.3每一个控制系统回路均可以接入internet网络，不仅可以在局域网内对每一个控制系统进行集中监控，还可以通过远程电脑每一个控制系统进行远程访问，可以进行远程开关机、远程参数设定、远程故障诊断、远程程序更新等功能。</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（五）招标清单及图纸详见附件</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b/>
          <w:bCs/>
          <w:snapToGrid/>
          <w:sz w:val="24"/>
          <w:highlight w:val="none"/>
        </w:rPr>
        <w:t>三、采购标的需满足的质量、安全、技术规格、物理特性等要求</w:t>
      </w:r>
    </w:p>
    <w:p>
      <w:pPr>
        <w:tabs>
          <w:tab w:val="left" w:pos="0"/>
        </w:tabs>
        <w:spacing w:line="460" w:lineRule="exact"/>
        <w:ind w:firstLine="562"/>
        <w:rPr>
          <w:rFonts w:asciiTheme="minorEastAsia" w:hAnsiTheme="minorEastAsia" w:eastAsiaTheme="minorEastAsia" w:cstheme="minorEastAsia"/>
          <w:b/>
          <w:bCs/>
          <w:snapToGrid/>
          <w:sz w:val="24"/>
          <w:highlight w:val="none"/>
        </w:rPr>
      </w:pPr>
      <w:r>
        <w:rPr>
          <w:rFonts w:hint="eastAsia" w:asciiTheme="minorEastAsia" w:hAnsiTheme="minorEastAsia" w:eastAsiaTheme="minorEastAsia" w:cstheme="minorEastAsia"/>
          <w:sz w:val="24"/>
          <w:highlight w:val="none"/>
        </w:rPr>
        <w:t>符合国家现行相关法律法规和行业标准，以及本项目采购文件要求。</w:t>
      </w:r>
    </w:p>
    <w:p>
      <w:pPr>
        <w:spacing w:line="460" w:lineRule="exact"/>
        <w:ind w:firstLine="56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四、采购标的的数量、采购项目交付或者实施的时间和地点；</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1.采购需求清单：详见附件（工程量清单）</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2.采购项目实施时间：签订合同后45天内完工并通过验收，实际开工日期以采购人通知为准。</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3.采购项目实施地点：采购人指定。</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五、采购标的需满足的服务标准、期限、效率等要求；</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按采购人要求，根据《建设工程质量管理条例》及有关规定执行。</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六、采购标的的验收标准；</w:t>
      </w:r>
    </w:p>
    <w:p>
      <w:pPr>
        <w:spacing w:line="460" w:lineRule="exact"/>
        <w:ind w:firstLine="5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采购人按合同约定积极配合成交供应商履约，约定需要验收的阶段，采购人及时组织相关专业技术人员验收，并出具验收报告。</w:t>
      </w:r>
    </w:p>
    <w:p>
      <w:pPr>
        <w:spacing w:line="460" w:lineRule="exact"/>
        <w:ind w:firstLine="562"/>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七、采购标的的其他技术、服务等要求；</w:t>
      </w:r>
    </w:p>
    <w:p>
      <w:pPr>
        <w:pStyle w:val="28"/>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（一）投标报价</w:t>
      </w:r>
    </w:p>
    <w:p>
      <w:pPr>
        <w:pStyle w:val="28"/>
        <w:snapToGrid w:val="0"/>
        <w:spacing w:line="360" w:lineRule="auto"/>
        <w:ind w:firstLine="723" w:firstLineChars="3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1、投标报价编制依据</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（1）建设单位提供的施工图纸及编标疑问的回复。</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（2）工程量清单计量依据《建设工程工程量清单计价规范》（GB50500-2013）。</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（3）依据《江苏省建设工程费用定额》（2014）；《江苏省建筑与装饰工程计价表》2014版；《江苏省安装工程计价定额》2014版；《江苏省房屋修缮工程计价表》2009版及配套的费用定额。</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（4）材料价格参照《南通建设工程造价信息》（2025）年第8期，信息价缺项部分市场询价；</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（5）人工工资单价参照苏建函价【2025】66号文。</w:t>
      </w:r>
    </w:p>
    <w:p>
      <w:pPr>
        <w:pStyle w:val="28"/>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（6）本工程执行苏建价〔2016〕154号文，采用一般计税法计价；增值税调整办法参照苏建函价〔2019〕178号。</w:t>
      </w:r>
    </w:p>
    <w:p>
      <w:pPr>
        <w:pStyle w:val="28"/>
        <w:snapToGrid w:val="0"/>
        <w:spacing w:line="360" w:lineRule="auto"/>
        <w:rPr>
          <w:rStyle w:val="656"/>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（7）现行的国家和江苏省有关建筑工程设计、施工、以及验收规范和规定。</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（8）本工程不可竞争费用项目及其费率见下表：（%）</w:t>
      </w:r>
    </w:p>
    <w:tbl>
      <w:tblPr>
        <w:tblStyle w:val="88"/>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2124"/>
        <w:gridCol w:w="4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10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费用名称</w:t>
            </w:r>
          </w:p>
        </w:tc>
        <w:tc>
          <w:tcPr>
            <w:tcW w:w="2124"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费率(%)</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计算基础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106" w:type="dxa"/>
            <w:vMerge w:val="continue"/>
            <w:vAlign w:val="center"/>
          </w:tcPr>
          <w:p>
            <w:pPr>
              <w:spacing w:line="0" w:lineRule="atLeast"/>
              <w:ind w:firstLine="720" w:firstLineChars="300"/>
              <w:jc w:val="center"/>
              <w:rPr>
                <w:rFonts w:asciiTheme="minorEastAsia" w:hAnsiTheme="minorEastAsia" w:eastAsiaTheme="minorEastAsia" w:cstheme="minorEastAsia"/>
                <w:sz w:val="24"/>
                <w:highlight w:val="none"/>
              </w:rPr>
            </w:pP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安装</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基本费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分部分项费+单价措施项目费-除税工程设备费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扬尘污染增加费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0.21</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社会保险费</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w:t>
            </w:r>
          </w:p>
        </w:tc>
        <w:tc>
          <w:tcPr>
            <w:tcW w:w="4756" w:type="dxa"/>
            <w:vMerge w:val="restart"/>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分部分项工程费+措施项目费+其他项目费-除税工程设备费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住房公积金</w:t>
            </w:r>
          </w:p>
        </w:tc>
        <w:tc>
          <w:tcPr>
            <w:tcW w:w="2124" w:type="dxa"/>
            <w:vAlign w:val="center"/>
          </w:tcPr>
          <w:p>
            <w:pPr>
              <w:widowControl/>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0.42</w:t>
            </w:r>
          </w:p>
        </w:tc>
        <w:tc>
          <w:tcPr>
            <w:tcW w:w="4756" w:type="dxa"/>
            <w:vMerge w:val="continue"/>
            <w:vAlign w:val="center"/>
          </w:tcPr>
          <w:p>
            <w:pPr>
              <w:spacing w:line="0" w:lineRule="atLeast"/>
              <w:jc w:val="center"/>
              <w:rPr>
                <w:rFonts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2106" w:type="dxa"/>
            <w:vAlign w:val="center"/>
          </w:tcPr>
          <w:p>
            <w:pPr>
              <w:spacing w:line="440" w:lineRule="exact"/>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税金</w:t>
            </w:r>
          </w:p>
        </w:tc>
        <w:tc>
          <w:tcPr>
            <w:tcW w:w="2124"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4756" w:type="dxa"/>
            <w:vAlign w:val="center"/>
          </w:tcPr>
          <w:p>
            <w:pPr>
              <w:spacing w:line="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分部分项工程费+措施项目费+其他项目费+规费-除税甲供材料和甲供设备费/1.01</w:t>
            </w:r>
          </w:p>
        </w:tc>
      </w:tr>
    </w:tbl>
    <w:p>
      <w:pPr>
        <w:spacing w:line="360" w:lineRule="auto"/>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注：施工图未注明施工方法的项目，按照经验及相应规范做法自行组价，列入综合单价内；工程量清单中项目描述未尽事宜结合施工图纸及施工验收规范要求组价。</w:t>
      </w:r>
    </w:p>
    <w:p>
      <w:pPr>
        <w:spacing w:line="360" w:lineRule="auto"/>
        <w:ind w:firstLine="480" w:firstLineChars="200"/>
        <w:rPr>
          <w:rStyle w:val="656"/>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Style w:val="656"/>
          <w:rFonts w:hint="eastAsia" w:asciiTheme="minorEastAsia" w:hAnsiTheme="minorEastAsia" w:eastAsiaTheme="minorEastAsia" w:cstheme="minorEastAsia"/>
          <w:sz w:val="24"/>
          <w:highlight w:val="none"/>
        </w:rPr>
        <w:t>投标报价编制要求</w:t>
      </w:r>
    </w:p>
    <w:p>
      <w:pPr>
        <w:spacing w:line="360" w:lineRule="auto"/>
        <w:ind w:firstLine="480" w:firstLineChars="200"/>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2.1投标报价应包括招标文件所确定招标范围内相应图纸及工程量清单的全部内容，以及为按招标文件所确定的工期、质量、安全要求，完成上述内容所必须的附属工程，临时工程，机械设备，材料，劳务，技术措施，施工方法，冬雨季施工措施费，夜间施工增加费，工程定位，复测，点交，场地清理费用，有关材料和构件场内外二次搬运费，垃圾的清理外运所有费（含渣土证费用），现场安全文明施工措施费，赶工措施费，安全生产，文明施工，成品保护，防盗，设计图纸未完善之处的完善、深化，若现场实际施工过程中，采购人、监理单位、政府相关部门等发现施工图纸有与现行规范有出入或不详之处，中标人在征得采购人和建筑设计单位同意后应无条件更改到位，并承担所发生的所有费用，工期也不可顺延。</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2.2投标报价方式：</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2.2.1施工费报价要求</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（1）建设工程施工采用固定单价报价方式，最高限价为人民币</w:t>
      </w:r>
      <w:r>
        <w:rPr>
          <w:rStyle w:val="656"/>
          <w:rFonts w:hint="eastAsia" w:asciiTheme="minorEastAsia" w:hAnsiTheme="minorEastAsia" w:eastAsiaTheme="minorEastAsia" w:cstheme="minorEastAsia"/>
          <w:color w:val="auto"/>
          <w:highlight w:val="none"/>
          <w:lang w:eastAsia="zh-CN"/>
        </w:rPr>
        <w:t>88.176649</w:t>
      </w:r>
      <w:r>
        <w:rPr>
          <w:rStyle w:val="656"/>
          <w:rFonts w:hint="eastAsia" w:asciiTheme="minorEastAsia" w:hAnsiTheme="minorEastAsia" w:eastAsiaTheme="minorEastAsia" w:cstheme="minorEastAsia"/>
          <w:color w:val="auto"/>
          <w:highlight w:val="none"/>
        </w:rPr>
        <w:t>万元，报价若违反此规定则按无效标处理。供应商应根据招标单位提供的现有资料，确定工程项目投标报价，投标报价包含本工程施工图图纸范围内的所有工作内容，结算时一律不作调整。</w:t>
      </w:r>
    </w:p>
    <w:p>
      <w:pPr>
        <w:pStyle w:val="691"/>
        <w:widowControl w:val="0"/>
        <w:wordWrap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（2）供应商的投标报价应当与组成工程清单的分部分项工程费、措施项目费、其它项目费和规费、税金的合计金额一致，即不得采用总价让利或以总价百分比让利等办法进行投标报价。</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（3）分部分项工程量清单必须按《计价规范》附录中统一的项目编码、项目名称、项目特征、计量单位、工程量和工程量计算规则进行编制。</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（4）投标文件格式必须表式齐全，不能缺少主要材料价格表等附表，否则评委会可视为该投标函未按招标文件要求提供必要内容，属内容不全。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（5）总价金额与依据单价计算出的结果不一致的，以单价金额为准修正总价，但单价金额小数点有明显错误、四舍五入原因的除外。</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（6）工程量清单中供应商没有填入单价或价格的子目，其费用视为已分摊在工程量清单中其他子目的单价或价格之中。</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7）本工程采用固定单价报价的方式，报价中包含施工图纸中的所有工程内容及与本工程相关的所有费用，以及为完成上述内容所必须的附属工程、临时工程、材料、劳务、机械、成品保护、脚手架搭设使用、与各工种间的协调配合工作、验收、安全措施、技术措施，作为一名有经验的供应商所应考虑到的各种因素、风险及所需的全部费用。其中应包括材料、设备、存贮、运输、劳务、安装、调试、测试、检测、成品保护、缺陷修补、维护、售后服务、管理、利润、规费、措施费、税金、技术措施、施工方法、甲供材料的下车力资、设备档案、工程档案、合同履行过程中可能发生的风险及所需的全部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8）投标报价的计价方法：参考《建设工程工程量清单计价规范》（GB50500-2013）；《江苏省建设工程费用定额》（2014）；《江苏省建筑与装饰工程计价表》2014版；《江苏省安装工程计价定额》2014版；《江苏省房屋修缮工程计价表》2009版，配套使用建筑与装饰工程计价定额 (以下简称江苏省计价定额)、费用计算规则和项目指引等，由供应商(承包人)自主报价确定工程造价的计价方式。</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9）投标报价应根据施工图纸和有关要求、施工现场实际情况，依据企业定额和市场价格信息，实行自主报价（已列入不可竞争的项目除外）。供应商所报设备价、材料价如低于同期的省、市的造价信息或低于同期的市场价格信息，视为对采购人的优惠。投标文件中所报设备、材料其规格、尺寸、等级不得低于清单的要求。中标人应根据清单确定的标准、等级、规格组织施工。本工程所选用材料必须符合相关规范及消防部门的要求。</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10）为确保工程按合同工期如期完工的所有赶工费、按质论价费、二次搬运费、特殊条件下施工增加费、冬雨季施工增加费、夜间施工增加费、临时设施费、地上地下设施建筑物的临时保护设施费、已完工程及设备保护费、非夜间施工照明费、施工超高费、高层建筑增加费、脚手架费、垂直运输费等各项措施项目费由各供应商综合考虑自行报价，一次性包定，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11）本工程范围内拆除工程、垃圾清理、垂直运输及外运、弃置、运距等自行考虑，费用列入投标报价中，结算时不调整；拆除时不得破坏影响结构安全的承重结构，如施工过程中发现现场图纸拆除范围内有承重结构构件，需经设计单位书面确认后拆除；对拆除过程中造成的噪音、粉尘严格控制，要有相应防控措施方案（不排除需要密闭围挡措施），所需费用列入报价中，结算时不调整；拆除时需对原消防、暖通、水电、弱电、外窗、外门做好保护，拆下的安装材料做好保护，以便后期恢复时安装，如损坏自行更换新材料。拆除材料待采购人确认为废品后方可清理外运，如可利废或变卖，变卖费用归招标单位所有。上述所需费用列入报价中，结算时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（12）供应商在投标报价时应充分考虑施工过程中材料的二次搬运和损耗，并综合考虑在投标报价中，结算时不再另行支付其费用；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13）供应商在投标报价时应充分考虑施工过程中对原有建筑工程结构及饰面（特别是垃圾清运、材料搬运通道、施工交界面）造成破损及损坏部分进行修复，使其恢复原样等所包含的各项费用，并综合考虑在投标报价中，结算时不再另行支付其费用；</w:t>
      </w:r>
    </w:p>
    <w:p>
      <w:pPr>
        <w:pStyle w:val="691"/>
        <w:widowControl w:val="0"/>
        <w:topLinePunct/>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（14）因施工区域为南通市图书馆及综合服务中心档案库房内，如需要采取临时保证措施，所需费用要列入投标报价中，结算不调整；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（15）施工区域要与南通市图书馆及综合服务中心档案库房协调，采用封闭（甚至密封）措施，防尘、降噪，不得破坏正常的工作秩序，所需费用列入报价中，结算时不调整。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16）供应商应独立、有效的做好该工程周边的有关群众工作，并充分考虑工程实施范围内外的施工单位、个人和其他可能出现阻挠施工等不可预料突发的情况，若因此发生的机械台班停置费、二次机械进退场费、人员窝工、处理周边群众纠纷等费用和损失等，由供应商自行考虑，并列入投标报价，工程结算时不作调整，并无条件接受采购人的管理。作为一个有经验的供应商，应充分估计以上因素对本招标工程施工的影响，排定合理的施工工期，在以后工程实施过程中不得以该因素影响作为工期延误和增加赶工费用的理由。</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（17）供应商应结合采购文件、技术要求、技术规范、施工现场的地形地貌等，考虑本工程各项费用风险，周密调研，理性报价。</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（18）各供应商自行踏勘施工现场并根据工程特点及实际情况，自行拟定切实可行的施工方案，对工程的各项措施项目费自行考虑并计入报价，工程结算时一律不作调整。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19）施工单位自行考察施工现场情况，同时充分考虑场地狭窄对工程施工的影响，要加强施工区域内的管理，文明施工，注意环保。独立有效的做好该工程周边的有关群众工作，并充分考虑工程实施范围内外的单位个人和其他可能出现阻挠的情况等一切突发事件，并承担所发生的费用，采购人不再承担此类费用。若发生机械台班停置费、二次机械进退场费、人员窝工、处理周边群众纠纷等费用和损失，由供应商自行考虑，并列入投标报价，工程结算时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（20）供应商结合自己实际情况自行考虑人工、材料费等费用后报价。若发现供应商有明显的不平衡报价（如：子目中个别材料（设备）、人工、机械费低于市场询价的 80%或高于市场询价的120%），采购人可自行按有利采购人利益的价格进行调整，无须供应商确认。</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21）施工现场必须做好围护、警示，所有围护、警示等措施必须做到安全、美观与周围环境协调并符合南通市图书馆及综合服务中心档案库房管理要求，现场场地狭小，所有施工材料的运输、堆放、保管等全部由施工方负责，也不得不影响南通市图书馆及综合服务中心档案库房正常的秩序，所产生的措施费用由各供应商自行考虑，包含在投标报价中，结算时一律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22）施工过程中因天气等原因（不属于不可抗力范围的）造成的重复工程不作为工程变更的依据。因为保证正常的工作秩序而造成人工、设备的降效和窝工等因素已综合考虑到投标报价中，结算时不再调整，工期不会因此顺延。</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t>发</w:t>
      </w:r>
      <w:r>
        <w:rPr>
          <w:rStyle w:val="656"/>
          <w:rFonts w:hint="eastAsia" w:asciiTheme="minorEastAsia" w:hAnsiTheme="minorEastAsia" w:eastAsiaTheme="minorEastAsia" w:cstheme="minorEastAsia"/>
          <w:color w:val="auto"/>
          <w:highlight w:val="none"/>
        </w:rPr>
        <w:t>承包人不得以任何理由拒绝，合同以外的零星工作或发生非承包人责任事件的工程量办理《实际完成工程量核对确认单》，按合同10.1条约定按实进行竣工结算。如拒不施工，在发包人或监理发出变更或增补工作通知单3天后，发包人将另行委托他人施工，增加工程造价（经跟审审核）的50%由承包人承担，直接在竣工结算中扣除。供应商报价时考虑此风险因素，综合考虑在投标报价中。</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24）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pPr>
        <w:spacing w:line="360" w:lineRule="auto"/>
        <w:ind w:firstLine="561"/>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（25）采购单位推荐品牌和厂家的材料，成交供应商在实际采购前，必须由采购单位和监理认质认生产厂家后方可采购。如成交供应商使用不低于推荐品牌等级及标准的其他品牌且须征得采购单位书面同意。</w:t>
      </w:r>
    </w:p>
    <w:p>
      <w:pPr>
        <w:spacing w:line="360" w:lineRule="auto"/>
        <w:ind w:firstLine="561"/>
        <w:jc w:val="center"/>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推荐品牌表</w:t>
      </w:r>
    </w:p>
    <w:tbl>
      <w:tblPr>
        <w:tblStyle w:val="88"/>
        <w:tblpPr w:leftFromText="180" w:rightFromText="180" w:vertAnchor="page" w:horzAnchor="page" w:tblpX="1384" w:tblpY="88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84"/>
        <w:gridCol w:w="372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材料名称</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品   牌</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恒温恒湿机</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思科、易龙、吉荣、欧科</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atLeast"/>
              <w:jc w:val="center"/>
              <w:rPr>
                <w:rFonts w:asciiTheme="minorEastAsia" w:hAnsiTheme="minorEastAsia" w:eastAsiaTheme="minorEastAsia" w:cstheme="minorEastAsia"/>
                <w:b/>
                <w:bCs/>
                <w:color w:val="000000"/>
                <w:sz w:val="24"/>
                <w:highlight w:val="none"/>
              </w:rPr>
            </w:pPr>
          </w:p>
        </w:tc>
      </w:tr>
    </w:tbl>
    <w:p>
      <w:pPr>
        <w:spacing w:line="360" w:lineRule="auto"/>
        <w:ind w:firstLine="561"/>
        <w:rPr>
          <w:rStyle w:val="656"/>
          <w:rFonts w:asciiTheme="minorEastAsia" w:hAnsiTheme="minorEastAsia" w:eastAsiaTheme="minorEastAsia" w:cstheme="minorEastAsia"/>
          <w:sz w:val="24"/>
          <w:highlight w:val="none"/>
        </w:rPr>
      </w:pPr>
      <w:r>
        <w:rPr>
          <w:rStyle w:val="656"/>
          <w:rFonts w:hint="eastAsia" w:asciiTheme="minorEastAsia" w:hAnsiTheme="minorEastAsia" w:eastAsiaTheme="minorEastAsia" w:cstheme="minorEastAsia"/>
          <w:sz w:val="24"/>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27）完工交付使用前，对所有待交付区域进行一次或多次开荒保洁，包括但不限于清理装修垃圾、全面吸尘、擦门窗镜玻璃、墙顶地及所有物体表面的擦拭清洗。上述费用供应商在投标报价时综合考虑，包含在总价中，结算时不再另行支付其它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（28）供应商自行现场踏勘，现有的出风口与进风口与拟投恒温恒湿机组产品的匹配性，如需要改造接口处，此费用由成交人承担，成交后采购人不再支付费用。</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（29）拆除本项目更换的旧恒温恒湿机组，并将拆除的旧恒温恒湿机组及所有的零配件等放</w:t>
      </w:r>
      <w:r>
        <w:rPr>
          <w:rStyle w:val="656"/>
          <w:rFonts w:hint="eastAsia" w:asciiTheme="minorEastAsia" w:hAnsiTheme="minorEastAsia" w:eastAsiaTheme="minorEastAsia" w:cstheme="minorEastAsia"/>
          <w:color w:val="auto"/>
          <w:highlight w:val="none"/>
          <w:lang w:val="en-US" w:eastAsia="zh-CN"/>
        </w:rPr>
        <w:t>至</w:t>
      </w:r>
      <w:r>
        <w:rPr>
          <w:rStyle w:val="656"/>
          <w:rFonts w:hint="eastAsia" w:asciiTheme="minorEastAsia" w:hAnsiTheme="minorEastAsia" w:eastAsiaTheme="minorEastAsia" w:cstheme="minorEastAsia"/>
          <w:color w:val="auto"/>
          <w:highlight w:val="none"/>
        </w:rPr>
        <w:t>采购人指定位置。</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（30）本项目拟投恒温恒湿机组压缩机质保期暂定5年。（具体以承包人商务技术文件中承诺为准）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（31）本项目物业配合费500元需由成交供应商支付给南通市图书馆物业，其费用由供应商综合考虑，计入投标报价中，且不得单列，工程结算不作调整。</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（32）如工程量清单中的项目特征、工作内容或工程量与图纸之间出现任何歧义、不一致或矛盾时，应以工程量清单中的描述为准。</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33）因施工地点为办公区域，需合理安排施工时间和施工内容，不得影响正常办公。主要施工时间为法定节假日、双休日（遇有重要会议或活动需停止噪声、吊装等有影响作业），工作时间在确保不影响正常办公的前提下、征得采购人同意，可以进行作业。请供应商充分考虑以上因素对工期的影响。</w:t>
      </w:r>
    </w:p>
    <w:p>
      <w:pPr>
        <w:pStyle w:val="691"/>
        <w:widowControl w:val="0"/>
        <w:spacing w:line="360" w:lineRule="auto"/>
        <w:ind w:firstLine="480" w:firstLineChars="200"/>
        <w:rPr>
          <w:rStyle w:val="656"/>
          <w:rFonts w:asciiTheme="minorEastAsia" w:hAnsiTheme="minorEastAsia" w:eastAsiaTheme="minorEastAsia" w:cstheme="minorEastAsia"/>
          <w:color w:val="auto"/>
          <w:highlight w:val="none"/>
        </w:rPr>
      </w:pPr>
      <w:r>
        <w:rPr>
          <w:rStyle w:val="656"/>
          <w:rFonts w:hint="eastAsia" w:asciiTheme="minorEastAsia" w:hAnsiTheme="minorEastAsia" w:eastAsiaTheme="minorEastAsia" w:cstheme="minorEastAsia"/>
          <w:color w:val="auto"/>
          <w:highlight w:val="none"/>
        </w:rPr>
        <w:t>（34）其他未尽事宜在书面答疑中明确。</w:t>
      </w:r>
    </w:p>
    <w:p>
      <w:pPr>
        <w:widowControl/>
        <w:spacing w:line="460" w:lineRule="exact"/>
        <w:ind w:firstLine="562"/>
        <w:contextualSpacing/>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八、付款方式</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1、</w:t>
      </w:r>
      <w:bookmarkStart w:id="87" w:name="OLE_LINK3"/>
      <w:r>
        <w:rPr>
          <w:rFonts w:hint="eastAsia" w:asciiTheme="minorEastAsia" w:hAnsiTheme="minorEastAsia" w:eastAsiaTheme="minorEastAsia" w:cstheme="minorEastAsia"/>
          <w:b/>
          <w:bCs/>
          <w:highlight w:val="none"/>
        </w:rPr>
        <w:t>本项目履约保证金为合同总价的10%，承包人须在合同签订前缴纳，验收合格后无息返还。</w:t>
      </w:r>
      <w:bookmarkEnd w:id="87"/>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2、合同签订生效后、材料及设备进场且经采购人确认，市财政局核拨费用后，支付合同价（扣除暂列金）的30%；</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asciiTheme="minorEastAsia" w:hAnsiTheme="minorEastAsia" w:eastAsiaTheme="minorEastAsia" w:cstheme="minorEastAsia"/>
          <w:b/>
          <w:bCs/>
          <w:highlight w:val="none"/>
        </w:rPr>
        <w:t>3</w:t>
      </w:r>
      <w:r>
        <w:rPr>
          <w:rFonts w:hint="eastAsia" w:asciiTheme="minorEastAsia" w:hAnsiTheme="minorEastAsia" w:eastAsiaTheme="minorEastAsia" w:cstheme="minorEastAsia"/>
          <w:b/>
          <w:bCs/>
          <w:highlight w:val="none"/>
        </w:rPr>
        <w:t>、经安装调试运行验收合格后且审计结束后15日（收到审计报告及乙方正式合法有效税务发票），市财政局核拨费用后，付至审定价的97%；余款3%作为质量保修金，质保期满且无质量问题并经甲方书面确认后15日内无息返还。</w:t>
      </w:r>
    </w:p>
    <w:p>
      <w:pPr>
        <w:pStyle w:val="692"/>
        <w:spacing w:before="0" w:beforeAutospacing="0" w:after="0" w:afterAutospacing="0" w:line="460" w:lineRule="exact"/>
        <w:ind w:firstLine="562"/>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九、履约保证金：</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2.成交供应商全部履约合同义务，经采购人验收合格无质量、进度等问题的，采购人在验收合格后一次性退还履约保证金（保函除外）。</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3.发生以下情况的，履约保证金不予退还或部分退还：</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a.签订合同后，成交供应商不履行合同义务的，采购单位有权全额扣除履约保证金，全额不予退还，同时采购单位亦有权终止合同，成交供应商还须承担相应的法律赔偿责任。</w:t>
      </w:r>
    </w:p>
    <w:p>
      <w:pPr>
        <w:spacing w:line="460" w:lineRule="exact"/>
        <w:ind w:firstLine="56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b.成交供应商在履约过程中发生违约行为，给采购人造成损失的，采购人有权在成交供应商缴纳的履约保证金中予以扣款，以弥补采购人经济损失，不足的部分成交供应商另外补齐。</w:t>
      </w:r>
    </w:p>
    <w:p>
      <w:pPr>
        <w:widowControl/>
        <w:spacing w:line="460" w:lineRule="exact"/>
        <w:ind w:firstLine="424"/>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pPr>
        <w:spacing w:line="460" w:lineRule="exact"/>
        <w:ind w:firstLine="568"/>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十、磋商项目涉及到的现场勘察</w:t>
      </w:r>
    </w:p>
    <w:p>
      <w:pPr>
        <w:pStyle w:val="692"/>
        <w:spacing w:before="0" w:beforeAutospacing="0" w:after="0" w:afterAutospacing="0" w:line="460" w:lineRule="exact"/>
        <w:ind w:firstLine="560"/>
        <w:jc w:val="both"/>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1.磋商文件所提供的项目相关数据仅做参考，根据自身需要，</w:t>
      </w:r>
      <w:r>
        <w:rPr>
          <w:rFonts w:hint="eastAsia" w:asciiTheme="minorEastAsia" w:hAnsiTheme="minorEastAsia" w:eastAsiaTheme="minorEastAsia" w:cstheme="minorEastAsia"/>
          <w:b/>
          <w:highlight w:val="none"/>
        </w:rPr>
        <w:t>供应商可在磋商文件递交之日前对有关现场和周围环境进行勘察，以获取编制响应文件和签署合同所需的信息。勘察现场所发生的费用由供应商自己承担。</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2.采购人向供应商提供的有关现场的资料和数据，是采购人现有的并认为能使供应商可利用的资料。采购人对供应商由此而做出的推论、理解和结论概不负责。</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3.经采购人允许，供应商可为勘察目的进入采购人的项目现场，但供应商不得因此使采购人承担有关的责任和蒙受损失。供应商应承担勘察现场的责任和风险。</w:t>
      </w:r>
    </w:p>
    <w:p>
      <w:pPr>
        <w:pStyle w:val="692"/>
        <w:spacing w:before="0" w:beforeAutospacing="0" w:after="0" w:afterAutospacing="0" w:line="460" w:lineRule="exact"/>
        <w:ind w:firstLine="56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供应商必须认真踏勘现场。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pPr>
        <w:snapToGrid w:val="0"/>
        <w:spacing w:line="360" w:lineRule="auto"/>
        <w:ind w:firstLine="707" w:firstLineChars="200"/>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br w:type="page"/>
      </w:r>
    </w:p>
    <w:p>
      <w:pPr>
        <w:snapToGrid w:val="0"/>
        <w:spacing w:before="24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第四</w:t>
      </w:r>
      <w:bookmarkStart w:id="88" w:name="_Toc37322565"/>
      <w:bookmarkStart w:id="89" w:name="_Toc85627670"/>
      <w:bookmarkStart w:id="90" w:name="_Toc38121794"/>
      <w:bookmarkStart w:id="91" w:name="_Toc182848996"/>
      <w:bookmarkStart w:id="92" w:name="_Toc43217893"/>
      <w:r>
        <w:rPr>
          <w:rFonts w:hint="eastAsia" w:asciiTheme="minorEastAsia" w:hAnsiTheme="minorEastAsia" w:eastAsiaTheme="minorEastAsia" w:cstheme="minorEastAsia"/>
          <w:b/>
          <w:bCs/>
          <w:snapToGrid/>
          <w:w w:val="80"/>
          <w:kern w:val="2"/>
          <w:sz w:val="44"/>
          <w:szCs w:val="44"/>
          <w:highlight w:val="none"/>
        </w:rPr>
        <w:t xml:space="preserve">部分 </w:t>
      </w:r>
      <w:bookmarkEnd w:id="88"/>
      <w:bookmarkEnd w:id="89"/>
      <w:bookmarkEnd w:id="90"/>
      <w:bookmarkEnd w:id="91"/>
      <w:bookmarkEnd w:id="92"/>
      <w:r>
        <w:rPr>
          <w:rFonts w:hint="eastAsia" w:asciiTheme="minorEastAsia" w:hAnsiTheme="minorEastAsia" w:eastAsiaTheme="minorEastAsia" w:cstheme="minorEastAsia"/>
          <w:b/>
          <w:bCs/>
          <w:snapToGrid/>
          <w:w w:val="80"/>
          <w:kern w:val="2"/>
          <w:sz w:val="44"/>
          <w:szCs w:val="44"/>
          <w:highlight w:val="none"/>
        </w:rPr>
        <w:t>评审方法和评审标准</w:t>
      </w:r>
    </w:p>
    <w:p>
      <w:pPr>
        <w:adjustRightInd w:val="0"/>
        <w:snapToGrid w:val="0"/>
        <w:spacing w:line="360" w:lineRule="auto"/>
        <w:ind w:firstLine="482" w:firstLineChars="200"/>
        <w:jc w:val="left"/>
        <w:textAlignment w:val="baseline"/>
        <w:rPr>
          <w:rFonts w:asciiTheme="minorEastAsia" w:hAnsiTheme="minorEastAsia" w:eastAsiaTheme="minorEastAsia" w:cstheme="minorEastAsia"/>
          <w:b/>
          <w:sz w:val="24"/>
          <w:highlight w:val="none"/>
        </w:rPr>
      </w:pPr>
      <w:bookmarkStart w:id="93" w:name="OLE_LINK2"/>
      <w:bookmarkStart w:id="94" w:name="OLE_LINK1"/>
      <w:r>
        <w:rPr>
          <w:rFonts w:hint="eastAsia" w:asciiTheme="minorEastAsia" w:hAnsiTheme="minorEastAsia" w:eastAsiaTheme="minorEastAsia" w:cstheme="minorEastAsia"/>
          <w:b/>
          <w:sz w:val="24"/>
          <w:highlight w:val="none"/>
        </w:rPr>
        <w:t>一、磋商方式</w:t>
      </w:r>
    </w:p>
    <w:p>
      <w:pPr>
        <w:tabs>
          <w:tab w:val="left" w:pos="3585"/>
        </w:tabs>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项目磋商活动模式：本项目采用现场开标模式。</w:t>
      </w:r>
    </w:p>
    <w:p>
      <w:pPr>
        <w:adjustRightInd w:val="0"/>
        <w:snapToGrid w:val="0"/>
        <w:spacing w:line="360" w:lineRule="auto"/>
        <w:ind w:firstLine="482" w:firstLineChars="200"/>
        <w:jc w:val="left"/>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二、磋商程序及评审方法和标准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pPr>
        <w:tabs>
          <w:tab w:val="left" w:pos="900"/>
        </w:tabs>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最后报价是供应商响应文件的有效组成部分，提交最后报价的供应商不得少于3家。</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供应商商务技术部分和价格部分的合计分值，为该供应商的评审总得分。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pPr>
        <w:adjustRightInd w:val="0"/>
        <w:snapToGrid w:val="0"/>
        <w:spacing w:line="360" w:lineRule="auto"/>
        <w:ind w:firstLine="55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评委在认真审阅响应文件的基础上，根据各响应文件的响应程度独立评判，不得统一打分。</w:t>
      </w:r>
    </w:p>
    <w:p>
      <w:pPr>
        <w:adjustRightInd w:val="0"/>
        <w:snapToGri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（一）磋商小组对供应商资格进行审查。</w:t>
      </w:r>
    </w:p>
    <w:p>
      <w:pPr>
        <w:adjustRightInd w:val="0"/>
        <w:snapToGrid w:val="0"/>
        <w:spacing w:line="360" w:lineRule="auto"/>
        <w:ind w:firstLine="494" w:firstLineChars="20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供应商资格不合格的，其响应文件判定为无效响应文件。</w:t>
      </w:r>
    </w:p>
    <w:p>
      <w:pPr>
        <w:adjustRightInd w:val="0"/>
        <w:snapToGrid w:val="0"/>
        <w:spacing w:line="360" w:lineRule="auto"/>
        <w:ind w:firstLine="482" w:firstLineChars="20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w:t>
      </w:r>
      <w:bookmarkStart w:id="95" w:name="OLE_LINK28"/>
      <w:r>
        <w:rPr>
          <w:rFonts w:hint="eastAsia" w:asciiTheme="minorEastAsia" w:hAnsiTheme="minorEastAsia" w:eastAsiaTheme="minorEastAsia" w:cstheme="minorEastAsia"/>
          <w:b/>
          <w:sz w:val="24"/>
          <w:highlight w:val="none"/>
        </w:rPr>
        <w:t>磋商小组对</w:t>
      </w:r>
      <w:bookmarkEnd w:id="95"/>
      <w:r>
        <w:rPr>
          <w:rFonts w:hint="eastAsia" w:asciiTheme="minorEastAsia" w:hAnsiTheme="minorEastAsia" w:eastAsiaTheme="minorEastAsia" w:cstheme="minorEastAsia"/>
          <w:b/>
          <w:sz w:val="24"/>
          <w:highlight w:val="none"/>
        </w:rPr>
        <w:t>符合资格供应商的响应文件进行符合性审查。</w:t>
      </w:r>
    </w:p>
    <w:p>
      <w:pPr>
        <w:adjustRightInd w:val="0"/>
        <w:snapToGrid w:val="0"/>
        <w:spacing w:line="360" w:lineRule="auto"/>
        <w:ind w:firstLine="494" w:firstLineChars="20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未通过符合性审查的响应文件，将被判为不满足磋商文件实质性要求。 </w:t>
      </w:r>
    </w:p>
    <w:p>
      <w:pPr>
        <w:numPr>
          <w:ilvl w:val="0"/>
          <w:numId w:val="5"/>
        </w:numPr>
        <w:adjustRightInd w:val="0"/>
        <w:snapToGrid w:val="0"/>
        <w:spacing w:line="360" w:lineRule="auto"/>
        <w:ind w:firstLine="496" w:firstLineChars="206"/>
        <w:rPr>
          <w:rFonts w:asciiTheme="minorEastAsia" w:hAnsiTheme="minorEastAsia" w:eastAsiaTheme="minorEastAsia" w:cstheme="minorEastAsia"/>
          <w:b/>
          <w:sz w:val="24"/>
          <w:highlight w:val="none"/>
          <w:lang w:val="zh-CN"/>
        </w:rPr>
      </w:pPr>
      <w:r>
        <w:rPr>
          <w:rFonts w:hint="eastAsia" w:asciiTheme="minorEastAsia" w:hAnsiTheme="minorEastAsia" w:eastAsiaTheme="minorEastAsia" w:cstheme="minorEastAsia"/>
          <w:b/>
          <w:sz w:val="24"/>
          <w:highlight w:val="none"/>
        </w:rPr>
        <w:t>商务技术分</w:t>
      </w:r>
      <w:r>
        <w:rPr>
          <w:rFonts w:hint="eastAsia" w:asciiTheme="minorEastAsia" w:hAnsiTheme="minorEastAsia" w:eastAsiaTheme="minorEastAsia" w:cstheme="minorEastAsia"/>
          <w:b/>
          <w:sz w:val="24"/>
          <w:highlight w:val="none"/>
          <w:lang w:val="zh-CN"/>
        </w:rPr>
        <w:t>：</w:t>
      </w:r>
      <w:r>
        <w:rPr>
          <w:rFonts w:hint="eastAsia" w:asciiTheme="minorEastAsia" w:hAnsiTheme="minorEastAsia" w:eastAsiaTheme="minorEastAsia" w:cstheme="minorEastAsia"/>
          <w:b/>
          <w:sz w:val="24"/>
          <w:highlight w:val="none"/>
        </w:rPr>
        <w:t>70</w:t>
      </w:r>
      <w:r>
        <w:rPr>
          <w:rFonts w:hint="eastAsia" w:asciiTheme="minorEastAsia" w:hAnsiTheme="minorEastAsia" w:eastAsiaTheme="minorEastAsia" w:cstheme="minorEastAsia"/>
          <w:b/>
          <w:sz w:val="24"/>
          <w:highlight w:val="none"/>
          <w:lang w:val="zh-CN"/>
        </w:rPr>
        <w:t>分</w:t>
      </w:r>
    </w:p>
    <w:p>
      <w:pPr>
        <w:pStyle w:val="5"/>
        <w:keepNext w:val="0"/>
        <w:keepLines w:val="0"/>
        <w:snapToGrid w:val="0"/>
        <w:spacing w:before="0" w:after="0"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各供应商得分为磋商小组成员评分的算术平均分，分值保留小数点后两位。</w:t>
      </w:r>
    </w:p>
    <w:tbl>
      <w:tblPr>
        <w:tblStyle w:val="88"/>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
        <w:gridCol w:w="780"/>
        <w:gridCol w:w="495"/>
        <w:gridCol w:w="7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88"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780"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评分因素</w:t>
            </w:r>
          </w:p>
        </w:tc>
        <w:tc>
          <w:tcPr>
            <w:tcW w:w="495"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分值</w:t>
            </w:r>
          </w:p>
        </w:tc>
        <w:tc>
          <w:tcPr>
            <w:tcW w:w="7826" w:type="dxa"/>
            <w:vAlign w:val="center"/>
          </w:tcPr>
          <w:p>
            <w:pPr>
              <w:widowControl/>
              <w:spacing w:line="46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评审标准说明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780"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类似业绩</w:t>
            </w:r>
          </w:p>
        </w:tc>
        <w:tc>
          <w:tcPr>
            <w:tcW w:w="495" w:type="dxa"/>
            <w:vAlign w:val="center"/>
          </w:tcPr>
          <w:p>
            <w:pPr>
              <w:widowControl/>
              <w:spacing w:line="460" w:lineRule="exact"/>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9</w:t>
            </w:r>
          </w:p>
        </w:tc>
        <w:tc>
          <w:tcPr>
            <w:tcW w:w="7826" w:type="dxa"/>
            <w:vAlign w:val="center"/>
          </w:tcPr>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供应商2022年8月1日（竣工验收报告或竣工验收单时间为准）至今承担过类似业绩的，每提供一个得</w:t>
            </w:r>
            <w:r>
              <w:rPr>
                <w:rFonts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t>分，最高得</w:t>
            </w:r>
            <w:r>
              <w:rPr>
                <w:rFonts w:asciiTheme="minorEastAsia" w:hAnsiTheme="minorEastAsia" w:eastAsiaTheme="minorEastAsia" w:cstheme="minorEastAsia"/>
                <w:sz w:val="24"/>
                <w:highlight w:val="none"/>
              </w:rPr>
              <w:t>9</w:t>
            </w:r>
            <w:r>
              <w:rPr>
                <w:rFonts w:hint="eastAsia" w:asciiTheme="minorEastAsia" w:hAnsiTheme="minorEastAsia" w:eastAsiaTheme="minorEastAsia" w:cstheme="minorEastAsia"/>
                <w:sz w:val="24"/>
                <w:highlight w:val="none"/>
              </w:rPr>
              <w:t>分。（每个业绩需同时提供1.成交通知书；2.合同复印件；3.竣工验收证明，4.施工付款发票凭证（任意阶段付款发票）不提供或提供不全均不得分。）提供复印件加盖磋商响应供应商印章。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88"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780"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施工管理及人员配置</w:t>
            </w:r>
          </w:p>
        </w:tc>
        <w:tc>
          <w:tcPr>
            <w:tcW w:w="495" w:type="dxa"/>
            <w:vAlign w:val="center"/>
          </w:tcPr>
          <w:p>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7826" w:type="dxa"/>
            <w:vAlign w:val="center"/>
          </w:tcPr>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1.项目经理具有工程类中级职称得1分，具有高级及以上职称得2分，本项最多得2分；提供证书复印件加盖公章。</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2.项目技术负责人具有机电工程或建筑工程专业二级注册建造师的得2分；本项最多得2分；提供证书复印件加盖公章。</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3.项目组其他人员（不含项目经理、项目技术负责人）（10分）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①安全员：具有安全C证得1分，最多得1分。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②施工现场管理人员（包含但不限于施工员、质检员、材料员等），提供工程类中级及以上职称证书，每1人得1分，最多得1分；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③施工现场电工：具有电工特种作业操作证书或职业资格证书，每1人得1分，最多得2分；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④参与本项目人员具有相关部门颁发的“制冷与空调作业”特种作业操作证的，每1人得1分，最多得2分；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⑤参与本项目人员具有相关部门颁发的“高处作业”特种作业操作证的，每1人得1分，最多得2分；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⑥参与本项目人员具有相关部门颁发的“焊接和热切割作业”特种作业操作证得1分，最多得2分。</w:t>
            </w:r>
          </w:p>
          <w:p>
            <w:pPr>
              <w:widowControl/>
              <w:spacing w:line="4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项目组其他人员得分，既可以是同一人持多证，也可以是多人持证。须提供社保机构出具的对应人员与本供应商签订的有效劳动合同扫描件及养老保险缴纳证明材料【供应商为其缴纳的响应截止时间前三个月任意一个月（不含响应截止时间当月）的养老保险缴纳证明材料（若为响应截止时间当月新开办企业，则无需提供）】；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工程概况</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对工程特点、施工条件、合同工期作简要概述。</w:t>
            </w:r>
          </w:p>
          <w:p>
            <w:pPr>
              <w:widowControl/>
              <w:numPr>
                <w:ilvl w:val="0"/>
                <w:numId w:val="6"/>
              </w:numPr>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对工程特点、施工条件、合同工期的概述全面、精准且深入。工程特点分析涵盖结构类型、技术难点、工艺特殊性等核心要素，施工条件阐述包含场地环境、周边交通、地质水文、政策限制等情况，对潜在影响因素预判准确；合同工期规划合理，充分考虑工程规模、施工工序、季节性影响等，各部分内容逻辑清晰，数据详实，能有效指导项目实施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对工程特点、施工条件、合同工期的概述较为完整，具有一定合理性。工程特点基本覆盖主要方面，但分析不够深入；施工条件描述涉及场地、环境等基础信息，但对复杂因素考虑不足；合同工期安排符合项目基本要求，但进度计划可优化，整体内容能够满足项目基本理解需求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对工程特点、施工条件、合同工期的概述存在明显缺陷。内容不完整，仅简单提及部分要点；工程特点描述笼统，未体现项目独特性；施工条件分析片面，忽视关键制约因素；合同工期规划不合理，未充分考虑实际施工难度与影响因素，无有效保障措施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4.未对工程特点、施工条件、合同工期进行实质性概述；或内容严重偏离项目实际，存在大量错误、虚假信息；或直接抄袭无关内容，未体现对项目的理解，完全无法满足招标文件要求本项不得分。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施工总平面布置</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根据项目实际情况布置。包括建筑物所处的周围的坐标，施工保护措施的搭设，材料堆放，水、电、路、主要施工机械布置，排水系统等。</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布置方案科学合理，全面贴合项目需求。坐标标注精准，施工保护措施完善，含专项方案与安全验算，材料堆放分区明确，防护措施齐全，水电路设计规范，满足施工需求且安全，机械布置兼顾作业与运输，排水系统雨污分流，符合环保要求，各部分均有数据、图纸支撑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布置方案基本完整。坐标及周边环境说明较笼统；施工保护覆盖关键区域，但细节不足，材料堆放有规划，防护措施待完善；水电路可满足基本需求，但存在隐患；机械布置考虑施工需求，但选型与布局欠优；排水系统有设计，但雨污分流不彻底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 xml:space="preserve">3.布置方案缺陷明显。坐标信息模糊，施工保护无具体标准，材料堆放混乱，无防护，水电路布置混乱，存安全隐患，机械布置不合理，设备不匹配；排水系统简陋，易积水堵塞得1分；  </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4.未实质规划相关内容，或内容严重脱离实际、抄袭，违反强制性标准，无法满足施工需求本项不得分。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施工计划</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根据项目实际情况提供施工网络计划图或施工进度横道图等施工计划方案。</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1.图面规范，关键线路清晰；工序安排合理，逻辑紧密；工期满足合同要求，关键节点精准；针对关键线路有详细保障措施，含人、材、机调配方案；具备动态调整机制，可有效指导施工得5分；​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2.图面基本清晰，工序逻辑合理但部分衔接待优化；工期满足合同，关键节点欠精准；保障措施笼统，无动态调整机制，指导作用有限得3分；​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图面混乱，工序逻辑错误；工期不合理，与合同或实际需求不符；无关键线路保障措施，内容简略缺关键信息，难以指导施工得1分；4.未提供计划图；或内容严重脱离实际、抄袭；或无法体现施工进度基本要素，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工期保证措施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工期目标及工期保证措施。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工期目标精准响应招标文件，细化到具体节点；保证措施涵盖组织、人员、物资、技术、应急全维度。组织分工明确且设考核机制，人员配备充足有培训，物资供应计划详细且签保供协议，采用高效技术并编制专项进度计划，应急预案完备。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2.工期目标明确，满足招标要求；保证措施较全但有缺漏。组织架构初步建立，人员分工基本清晰但考核弱，物资计划笼统，采用常规技术，进度计划可行性一般，应急预案针对性不足得3分；​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 xml:space="preserve">3.工期目标模糊或偏离招标要求；保证措施残缺、不可行。组织管理无序，无人员物资计划，无有效施工技术与进度方案，无应急预案得1分；  </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4.未提工期目标或无保证措施；内容抄袭、与项目无关；措施违反法规标准，无法保障工期本项不得分。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质量保证措施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质量目标，结合本项目特点，制定具体项目中的质量保证措施。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质量目标清晰明确，精准契合项目特性，高于国家标准及招标文件要求；保证措施全面且具针对性，涵盖原材料管控、施工工艺、检验检测、人员培训、质量追溯等环节。建立严格原材料进场检验制度，采用先进且适配项目的施工工艺，配备专业检测设备与人员，制定全员质量培训计划，完善质量追溯体系，确保全程质量可控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质量目标明确，满足招标文件要求；保证措施较完整，但存在不足。原材料检验、施工工艺执行等制度基本建立，但细节不完善；有质量检测安排，设备和人员配置一般；有人员培训计划，内容不够深入；质量追溯机制初步形成，可操作性待提升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3.质量目标模糊或与项目特点不符；保证措施残缺不全、缺乏可行性。无明确原材料检验标准，施工工艺落后无创新，未配备专业检测手段，未制定人员培训计划，无质量追溯流程，难以保障项目质量得1分；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4.未明确质量目标或无质量保证措施；内容抄袭、与项目无关；措施违反法规标准，无法保障项目质量，完全不满足招标要求本项不得分。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安全保证措施</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安全目标，结合本项目特点，制定安全作业措施专篇，如脚手架搭设等安全保证措施。</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安全目标清晰明确，完全契合项目特性，且高于国家及行业安全标准要求；安全作业措施全面且针对性强，涵盖脚手架搭设、临时用电、机械操作等关键环节。脚手架搭设方案包含详细设计计算书，明确材质规格、搭设流程、验收标准及日常检查维护制度；高空作业配备完善防护装置，制定专项操作规程，设置专业电工巡查制度；机械操作制定严格持证上岗、定期检修制度，并针对项目风险制定多套应急预案，确保施工全程安全可控得5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安全目标明确，满足招标文件要求；安全作业措施较完整，但存在部分不足。脚手架搭设方案基本可行，但计算书或验收标准有缺失；临时用电、机械操作等制度初步建立，但防护设备配置、人员培训、检查频率等细节待完善；应急预案覆盖主要风险，但针对性和实操性较弱得3分；​</w:t>
            </w:r>
          </w:p>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安全目标模糊或与项目特点不匹配；安全作业措施残缺不全、缺乏可行性。脚手架搭设无规范方案，无材质要求和验收标准；关键作业环节安全制度缺失，未配备必要防护设备；未制定应急预案，难以保障施工安全得1分；​</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4.未明确安全目标或无安全作业措施；内容抄袭、与项目无关；措施违反安全法规标准，无法保障施工安全，完全不满足招标要求本项不得分。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压缩机售后服务</w:t>
            </w:r>
          </w:p>
        </w:tc>
        <w:tc>
          <w:tcPr>
            <w:tcW w:w="495"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本项目设备压缩机质保期5年，在此基础上，额外每增加一年得2分，最多得6分。（提供加盖投标人公章的承诺函，格式自拟）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rPr>
              <w:t>所投机组稳定性</w:t>
            </w:r>
          </w:p>
        </w:tc>
        <w:tc>
          <w:tcPr>
            <w:tcW w:w="495" w:type="dxa"/>
            <w:vAlign w:val="center"/>
          </w:tcPr>
          <w:p>
            <w:pPr>
              <w:widowControl/>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6</w:t>
            </w:r>
          </w:p>
        </w:tc>
        <w:tc>
          <w:tcPr>
            <w:tcW w:w="7826" w:type="dxa"/>
            <w:vAlign w:val="center"/>
          </w:tcPr>
          <w:p>
            <w:pPr>
              <w:widowControl/>
              <w:spacing w:line="3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投标人提供所投同型号或同系列压缩机设备，在其他在役项目的正常运行证明（需正常运行5年以上），每提供1份得2分，最多得6分。</w:t>
            </w:r>
          </w:p>
          <w:p>
            <w:pPr>
              <w:widowControl/>
              <w:spacing w:line="36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u w:val="single"/>
              </w:rPr>
              <w:t>需提供“正常运行证明”材料（格式自拟，须包含项目名称、压缩机设备型号、投入使用时间、使用单位联系人信息等内容），同时需提供压缩机设备铭牌现场照片。以上材料均需加盖投标人公章和使用单位公章。未按要求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488" w:type="dxa"/>
            <w:vAlign w:val="center"/>
          </w:tcPr>
          <w:p>
            <w:pPr>
              <w:widowControl/>
              <w:spacing w:line="360" w:lineRule="auto"/>
              <w:jc w:val="center"/>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lang w:bidi="ar"/>
              </w:rPr>
              <w:t>11</w:t>
            </w:r>
          </w:p>
        </w:tc>
        <w:tc>
          <w:tcPr>
            <w:tcW w:w="780" w:type="dxa"/>
            <w:vAlign w:val="center"/>
          </w:tcPr>
          <w:p>
            <w:pPr>
              <w:widowControl/>
              <w:spacing w:line="360" w:lineRule="auto"/>
              <w:jc w:val="center"/>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设备节能</w:t>
            </w:r>
          </w:p>
        </w:tc>
        <w:tc>
          <w:tcPr>
            <w:tcW w:w="495" w:type="dxa"/>
            <w:vAlign w:val="center"/>
          </w:tcPr>
          <w:p>
            <w:pPr>
              <w:widowControl/>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w:t>
            </w:r>
          </w:p>
        </w:tc>
        <w:tc>
          <w:tcPr>
            <w:tcW w:w="7826" w:type="dxa"/>
            <w:vAlign w:val="center"/>
          </w:tcPr>
          <w:p>
            <w:pPr>
              <w:widowControl/>
              <w:spacing w:line="360" w:lineRule="auto"/>
              <w:jc w:val="left"/>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rPr>
              <w:t>所投空调机组室内机制冷量为80kw时，室内压缩机电功率小于25kw或所投空调机组室内压缩机电功率为25kw，室内机制冷量＞80kw的，得5分。提供相应的证明文件，否则不得分。</w:t>
            </w:r>
          </w:p>
        </w:tc>
      </w:tr>
    </w:tbl>
    <w:p>
      <w:pPr>
        <w:adjustRightInd w:val="0"/>
        <w:snapToGrid w:val="0"/>
        <w:spacing w:before="240"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响应文件商务技术分得分低于35分时视为未实质性响应采购文件要求，作为无效投标处理。</w:t>
      </w:r>
    </w:p>
    <w:p>
      <w:pPr>
        <w:adjustRightInd w:val="0"/>
        <w:snapToGrid w:val="0"/>
        <w:spacing w:before="240" w:line="360" w:lineRule="auto"/>
        <w:ind w:firstLine="482"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（四）报价</w:t>
      </w:r>
      <w:r>
        <w:rPr>
          <w:rFonts w:hint="eastAsia" w:asciiTheme="minorEastAsia" w:hAnsiTheme="minorEastAsia" w:eastAsiaTheme="minorEastAsia" w:cstheme="minorEastAsia"/>
          <w:b/>
          <w:sz w:val="24"/>
          <w:highlight w:val="none"/>
          <w:lang w:val="zh-CN"/>
        </w:rPr>
        <w:t>分</w:t>
      </w:r>
      <w:r>
        <w:rPr>
          <w:rFonts w:hint="eastAsia" w:asciiTheme="minorEastAsia" w:hAnsiTheme="minorEastAsia" w:eastAsiaTheme="minorEastAsia" w:cstheme="minorEastAsia"/>
          <w:b/>
          <w:sz w:val="24"/>
          <w:highlight w:val="none"/>
        </w:rPr>
        <w:t>：30</w:t>
      </w:r>
      <w:r>
        <w:rPr>
          <w:rFonts w:hint="eastAsia" w:asciiTheme="minorEastAsia" w:hAnsiTheme="minorEastAsia" w:eastAsiaTheme="minorEastAsia" w:cstheme="minorEastAsia"/>
          <w:b/>
          <w:sz w:val="24"/>
          <w:highlight w:val="none"/>
          <w:lang w:val="zh-CN"/>
        </w:rPr>
        <w:t>分</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磋商报价得分=（磋商基准价/最后磋商报价）×价格权值×100。</w:t>
      </w:r>
    </w:p>
    <w:p>
      <w:pPr>
        <w:adjustRightInd w:val="0"/>
        <w:snapToGrid w:val="0"/>
        <w:spacing w:line="360" w:lineRule="auto"/>
        <w:ind w:firstLine="57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bCs/>
          <w:sz w:val="24"/>
          <w:highlight w:val="none"/>
        </w:rPr>
        <w:t>五</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bCs/>
          <w:sz w:val="24"/>
          <w:highlight w:val="none"/>
        </w:rPr>
        <w:t>政府采购政策功能落实</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1、小微型企业价格扣除</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（1）本项目对小型和微型企业产品给予10%的扣除价格，用扣除后的价格参与评审。</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（2）供应商需按照《政府采购促进中小企业发展管理办法》（财库﹝2020﹞46 号）的规定提供相应的《中小企业声明函》。</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（3）企业标准请参照《关于印发中小企业划型标准规定的通知》（工信部联企业[2011]300号）文件规定自行填写。</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2、残疾人福利单位价格扣除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（1）本项目对残疾人福利性单位，给予10%的价格扣除，用扣除后的价格参与评审。</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（2）残疾人福利单位需按照采购文件的要求提供《残疾人福利性单位声明函》。</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（3）残疾人福利单位标准请参照《关于促进残疾人就业政府采购政策的通知》（财库〔2017〕141号）。</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3、监狱和戒毒企业价格扣除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（1）本项目对监狱和戒毒企业（简称监狱企业）给予10%的价格扣除，用扣除后的价格参与评审。</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（3）监狱企业标准请参照《关于政府采购支持监狱企业发展有关问题的通知》（财库[2014]68号）。</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4、残疾人福利单位、监狱企业属于小型、微型企业的，不重复享受政策。</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6、联合体各方均为小型、微型企业（残疾人福利单位、监狱企业）的，联合体享受上述同类价格扣除，用扣除后的价格参与评审。</w:t>
      </w:r>
    </w:p>
    <w:p>
      <w:pPr>
        <w:adjustRightInd w:val="0"/>
        <w:snapToGrid w:val="0"/>
        <w:spacing w:line="360" w:lineRule="auto"/>
        <w:ind w:firstLine="57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7、</w:t>
      </w:r>
      <w:bookmarkStart w:id="96" w:name="OLE_LINK29"/>
      <w:r>
        <w:rPr>
          <w:rFonts w:hint="eastAsia" w:asciiTheme="minorEastAsia" w:hAnsiTheme="minorEastAsia" w:eastAsiaTheme="minorEastAsia" w:cstheme="minorEastAsia"/>
          <w:b/>
          <w:sz w:val="24"/>
          <w:highlight w:val="none"/>
        </w:rPr>
        <w:t>专门面向中小企业采购的项目或者采购包，不再执行价格评审优惠的扶持政策。</w:t>
      </w:r>
    </w:p>
    <w:bookmarkEnd w:id="96"/>
    <w:p>
      <w:pPr>
        <w:adjustRightInd w:val="0"/>
        <w:snapToGrid w:val="0"/>
        <w:spacing w:line="360" w:lineRule="auto"/>
        <w:ind w:firstLine="57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（六）成交供应商的确定</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磋商小组汇总各评委评分后，按照得分从高到低的顺序推荐三名成交候选人，并编写评审报告。</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采购单位委托磋商小组直接确定排名第一的成交候选人为成交供应商。</w:t>
      </w:r>
    </w:p>
    <w:p>
      <w:pPr>
        <w:adjustRightInd w:val="0"/>
        <w:snapToGri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（七）公告成交结果</w:t>
      </w:r>
    </w:p>
    <w:p>
      <w:pPr>
        <w:adjustRightInd w:val="0"/>
        <w:snapToGrid w:val="0"/>
        <w:spacing w:line="360" w:lineRule="auto"/>
        <w:ind w:firstLine="57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自确定成交供应商之日起2个工作日内，在“南通市机关事务管理局→公告公示”栏公告成交结果，公告期限为1个工作日。</w:t>
      </w:r>
    </w:p>
    <w:p>
      <w:pPr>
        <w:adjustRightInd w:val="0"/>
        <w:snapToGrid w:val="0"/>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（八）</w:t>
      </w:r>
      <w:r>
        <w:rPr>
          <w:rFonts w:hint="eastAsia" w:asciiTheme="minorEastAsia" w:hAnsiTheme="minorEastAsia" w:eastAsiaTheme="minorEastAsia" w:cstheme="minorEastAsia"/>
          <w:b/>
          <w:bCs/>
          <w:sz w:val="24"/>
          <w:highlight w:val="none"/>
        </w:rPr>
        <w:t>发放成交通知书</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公告成交结果的同时，采购单位</w:t>
      </w:r>
      <w:r>
        <w:rPr>
          <w:rFonts w:hint="eastAsia" w:asciiTheme="minorEastAsia" w:hAnsiTheme="minorEastAsia" w:eastAsiaTheme="minorEastAsia" w:cstheme="minorEastAsia"/>
          <w:bCs/>
          <w:sz w:val="24"/>
          <w:highlight w:val="none"/>
        </w:rPr>
        <w:t>向成交供应商发放成交通知书。</w:t>
      </w:r>
    </w:p>
    <w:p>
      <w:pPr>
        <w:adjustRightInd w:val="0"/>
        <w:snapToGrid w:val="0"/>
        <w:spacing w:line="360" w:lineRule="auto"/>
        <w:ind w:firstLine="480" w:firstLineChars="200"/>
        <w:rPr>
          <w:rFonts w:asciiTheme="minorEastAsia" w:hAnsiTheme="minorEastAsia" w:eastAsiaTheme="minorEastAsia" w:cstheme="minorEastAsia"/>
          <w:b/>
          <w:bCs/>
          <w:sz w:val="36"/>
          <w:szCs w:val="36"/>
          <w:highlight w:val="none"/>
          <w:lang w:val="zh-CN"/>
        </w:rPr>
      </w:pPr>
      <w:r>
        <w:rPr>
          <w:rFonts w:hint="eastAsia" w:asciiTheme="minorEastAsia" w:hAnsiTheme="minorEastAsia" w:eastAsiaTheme="minorEastAsia" w:cstheme="minorEastAsia"/>
          <w:sz w:val="24"/>
          <w:highlight w:val="none"/>
        </w:rPr>
        <w:t>成交通知书发出后，采购单位不得违法改变成交结果，成交供应商无正当理由不得放弃成交。</w:t>
      </w:r>
      <w:r>
        <w:rPr>
          <w:rFonts w:hint="eastAsia" w:asciiTheme="minorEastAsia" w:hAnsiTheme="minorEastAsia" w:eastAsiaTheme="minorEastAsia" w:cstheme="minorEastAsia"/>
          <w:b/>
          <w:bCs/>
          <w:sz w:val="36"/>
          <w:szCs w:val="36"/>
          <w:highlight w:val="none"/>
          <w:lang w:val="zh-CN"/>
        </w:rPr>
        <w:br w:type="page"/>
      </w: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 xml:space="preserve">第五部分  </w:t>
      </w:r>
      <w:bookmarkEnd w:id="93"/>
      <w:bookmarkEnd w:id="94"/>
      <w:r>
        <w:rPr>
          <w:rFonts w:hint="eastAsia" w:asciiTheme="minorEastAsia" w:hAnsiTheme="minorEastAsia" w:eastAsiaTheme="minorEastAsia" w:cstheme="minorEastAsia"/>
          <w:b/>
          <w:bCs/>
          <w:snapToGrid/>
          <w:w w:val="80"/>
          <w:kern w:val="2"/>
          <w:sz w:val="44"/>
          <w:szCs w:val="44"/>
          <w:highlight w:val="none"/>
        </w:rPr>
        <w:t>合同条款</w:t>
      </w:r>
    </w:p>
    <w:p>
      <w:pPr>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t>建设工程施工合同</w:t>
      </w:r>
      <w:r>
        <w:rPr>
          <w:rFonts w:hint="eastAsia" w:asciiTheme="minorEastAsia" w:hAnsiTheme="minorEastAsia" w:eastAsiaTheme="minorEastAsia" w:cstheme="minorEastAsia"/>
          <w:b/>
          <w:kern w:val="2"/>
          <w:sz w:val="28"/>
          <w:szCs w:val="28"/>
          <w:highlight w:val="none"/>
          <w:lang w:bidi="ar"/>
        </w:rPr>
        <w:br w:type="textWrapping"/>
      </w:r>
      <w:r>
        <w:rPr>
          <w:rFonts w:hint="eastAsia" w:asciiTheme="minorEastAsia" w:hAnsiTheme="minorEastAsia" w:eastAsiaTheme="minorEastAsia" w:cstheme="minorEastAsia"/>
          <w:b/>
          <w:kern w:val="2"/>
          <w:sz w:val="28"/>
          <w:szCs w:val="28"/>
          <w:highlight w:val="none"/>
          <w:lang w:bidi="ar"/>
        </w:rPr>
        <w:t>（示范文本）</w:t>
      </w:r>
    </w:p>
    <w:p>
      <w:pPr>
        <w:jc w:val="center"/>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kern w:val="2"/>
          <w:sz w:val="28"/>
          <w:szCs w:val="28"/>
          <w:highlight w:val="none"/>
          <w:lang w:bidi="ar"/>
        </w:rPr>
        <w:t>（GF—2017—0201）</w:t>
      </w:r>
    </w:p>
    <w:p>
      <w:pPr>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br w:type="textWrapping"/>
      </w:r>
    </w:p>
    <w:p>
      <w:pPr>
        <w:jc w:val="center"/>
        <w:rPr>
          <w:rFonts w:asciiTheme="minorEastAsia" w:hAnsiTheme="minorEastAsia" w:eastAsiaTheme="minorEastAsia" w:cstheme="minorEastAsia"/>
          <w:b/>
          <w:sz w:val="28"/>
          <w:szCs w:val="28"/>
          <w:highlight w:val="none"/>
        </w:rPr>
      </w:pPr>
    </w:p>
    <w:p>
      <w:pPr>
        <w:jc w:val="center"/>
        <w:rPr>
          <w:rFonts w:asciiTheme="minorEastAsia" w:hAnsiTheme="minorEastAsia" w:eastAsiaTheme="minorEastAsia" w:cstheme="minorEastAsia"/>
          <w:b/>
          <w:sz w:val="28"/>
          <w:szCs w:val="28"/>
          <w:highlight w:val="none"/>
        </w:rPr>
      </w:pPr>
    </w:p>
    <w:p>
      <w:pPr>
        <w:jc w:val="cente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pStyle w:val="87"/>
        <w:rPr>
          <w:rFonts w:asciiTheme="minorEastAsia" w:hAnsiTheme="minorEastAsia" w:eastAsiaTheme="minorEastAsia" w:cstheme="minorEastAsia"/>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rPr>
          <w:rFonts w:asciiTheme="minorEastAsia" w:hAnsiTheme="minorEastAsia" w:eastAsiaTheme="minorEastAsia" w:cstheme="minorEastAsia"/>
          <w:b/>
          <w:sz w:val="28"/>
          <w:szCs w:val="28"/>
          <w:highlight w:val="none"/>
        </w:rPr>
      </w:pPr>
    </w:p>
    <w:p>
      <w:pPr>
        <w:ind w:right="2719" w:firstLine="2339"/>
        <w:jc w:val="distribut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kern w:val="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4371975</wp:posOffset>
                </wp:positionH>
                <wp:positionV relativeFrom="paragraph">
                  <wp:posOffset>120015</wp:posOffset>
                </wp:positionV>
                <wp:extent cx="878840" cy="457200"/>
                <wp:effectExtent l="4445" t="4445" r="12065" b="14605"/>
                <wp:wrapNone/>
                <wp:docPr id="3" name="矩形 33"/>
                <wp:cNvGraphicFramePr/>
                <a:graphic xmlns:a="http://schemas.openxmlformats.org/drawingml/2006/main">
                  <a:graphicData uri="http://schemas.microsoft.com/office/word/2010/wordprocessingShape">
                    <wps:wsp>
                      <wps:cNvSpPr/>
                      <wps:spPr>
                        <a:xfrm>
                          <a:off x="0" y="0"/>
                          <a:ext cx="878840" cy="457200"/>
                        </a:xfrm>
                        <a:prstGeom prst="rect">
                          <a:avLst/>
                        </a:prstGeom>
                        <a:noFill/>
                        <a:ln w="9525" cap="flat" cmpd="sng">
                          <a:solidFill>
                            <a:srgbClr val="FFFFFF"/>
                          </a:solidFill>
                          <a:prstDash val="solid"/>
                          <a:round/>
                          <a:headEnd type="none" w="med" len="med"/>
                          <a:tailEnd type="none" w="med" len="med"/>
                        </a:ln>
                        <a:effectLst/>
                      </wps:spPr>
                      <wps:txbx>
                        <w:txbxContent>
                          <w:p>
                            <w:pPr>
                              <w:rPr>
                                <w:b/>
                                <w:sz w:val="32"/>
                              </w:rPr>
                            </w:pPr>
                            <w:r>
                              <w:rPr>
                                <w:rFonts w:hint="eastAsia" w:cs="宋体"/>
                                <w:b/>
                                <w:kern w:val="2"/>
                                <w:sz w:val="32"/>
                                <w:lang w:bidi="ar"/>
                              </w:rPr>
                              <w:t>制定</w:t>
                            </w:r>
                          </w:p>
                        </w:txbxContent>
                      </wps:txbx>
                      <wps:bodyPr wrap="square" upright="1"/>
                    </wps:wsp>
                  </a:graphicData>
                </a:graphic>
              </wp:anchor>
            </w:drawing>
          </mc:Choice>
          <mc:Fallback>
            <w:pict>
              <v:rect id="矩形 33" o:spid="_x0000_s1026" o:spt="1" style="position:absolute;left:0pt;margin-left:344.25pt;margin-top:9.45pt;height:36pt;width:69.2pt;z-index:251661312;mso-width-relative:page;mso-height-relative:page;" filled="f" stroked="t" coordsize="21600,21600" o:gfxdata="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5IFnfZAAAACQEAAA8AAAAAAAAAAQAgAAAA&#10;IgAAAGRycy9kb3ducmV2LnhtbFBLAQIUABQAAAAIAIdO4kAdwUW8CgIAABwEAAAOAAAAAAAAAAEA&#10;IAAAACgBAABkcnMvZTJvRG9jLnhtbFBLBQYAAAAABgAGAFkBAACkBQAAAAA=&#10;">
                <v:fill on="f" focussize="0,0"/>
                <v:stroke color="#FFFFFF" joinstyle="round"/>
                <v:imagedata o:title=""/>
                <o:lock v:ext="edit" aspectratio="f"/>
                <v:textbox>
                  <w:txbxContent>
                    <w:p>
                      <w:pPr>
                        <w:rPr>
                          <w:b/>
                          <w:sz w:val="32"/>
                        </w:rPr>
                      </w:pPr>
                      <w:r>
                        <w:rPr>
                          <w:rFonts w:hint="eastAsia" w:cs="宋体"/>
                          <w:b/>
                          <w:kern w:val="2"/>
                          <w:sz w:val="32"/>
                          <w:lang w:bidi="ar"/>
                        </w:rPr>
                        <w:t>制定</w:t>
                      </w:r>
                    </w:p>
                  </w:txbxContent>
                </v:textbox>
              </v:rect>
            </w:pict>
          </mc:Fallback>
        </mc:AlternateContent>
      </w:r>
      <w:r>
        <w:rPr>
          <w:rFonts w:hint="eastAsia" w:asciiTheme="minorEastAsia" w:hAnsiTheme="minorEastAsia" w:eastAsiaTheme="minorEastAsia" w:cstheme="minorEastAsia"/>
          <w:b/>
          <w:sz w:val="28"/>
          <w:szCs w:val="28"/>
          <w:highlight w:val="none"/>
        </w:rPr>
        <w:t>住房和城乡建设部</w:t>
      </w:r>
    </w:p>
    <w:p>
      <w:pPr>
        <w:ind w:right="2719" w:firstLine="2406"/>
        <w:jc w:val="distribut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2"/>
          <w:sz w:val="28"/>
          <w:szCs w:val="28"/>
          <w:highlight w:val="none"/>
          <w:lang w:bidi="ar"/>
        </w:rPr>
        <w:t>国家工商行政管理总局</w:t>
      </w:r>
    </w:p>
    <w:p>
      <w:pPr>
        <w:pStyle w:val="5"/>
        <w:widowControl/>
        <w:tabs>
          <w:tab w:val="left" w:pos="720"/>
        </w:tabs>
        <w:spacing w:line="288"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8"/>
          <w:szCs w:val="28"/>
          <w:highlight w:val="none"/>
          <w:lang w:bidi="ar"/>
        </w:rPr>
        <w:br w:type="page"/>
      </w:r>
      <w:r>
        <w:rPr>
          <w:rFonts w:hint="eastAsia" w:asciiTheme="minorEastAsia" w:hAnsiTheme="minorEastAsia" w:eastAsiaTheme="minorEastAsia" w:cstheme="minorEastAsia"/>
          <w:sz w:val="24"/>
          <w:szCs w:val="24"/>
          <w:highlight w:val="none"/>
        </w:rPr>
        <w:t>第一部分 合同协议书</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发包人（全称）：</w:t>
      </w:r>
      <w:r>
        <w:rPr>
          <w:rFonts w:hint="eastAsia" w:asciiTheme="minorEastAsia" w:hAnsiTheme="minorEastAsia" w:eastAsiaTheme="minorEastAsia" w:cstheme="minorEastAsia"/>
          <w:kern w:val="2"/>
          <w:sz w:val="24"/>
          <w:highlight w:val="none"/>
          <w:u w:val="single"/>
          <w:lang w:bidi="ar"/>
        </w:rPr>
        <w:t xml:space="preserve">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承包人（全称）：</w:t>
      </w:r>
      <w:r>
        <w:rPr>
          <w:rFonts w:hint="eastAsia" w:asciiTheme="minorEastAsia" w:hAnsiTheme="minorEastAsia" w:eastAsiaTheme="minorEastAsia" w:cstheme="minorEastAsia"/>
          <w:kern w:val="2"/>
          <w:sz w:val="24"/>
          <w:highlight w:val="none"/>
          <w:u w:val="single"/>
          <w:lang w:bidi="ar"/>
        </w:rPr>
        <w:t xml:space="preserve">                                  </w:t>
      </w:r>
    </w:p>
    <w:p>
      <w:pPr>
        <w:pStyle w:val="81"/>
        <w:widowControl w:val="0"/>
        <w:spacing w:before="0" w:beforeAutospacing="0" w:after="120" w:afterAutospacing="0" w:line="480" w:lineRule="exact"/>
        <w:ind w:left="420" w:leftChars="200"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kern w:val="2"/>
          <w:highlight w:val="none"/>
          <w:u w:val="single"/>
          <w:lang w:bidi="ar"/>
        </w:rPr>
        <w:t>南通市图书馆及综合服务中心档案库房恒温恒湿机组改造项目</w:t>
      </w:r>
      <w:r>
        <w:rPr>
          <w:rFonts w:hint="eastAsia" w:asciiTheme="minorEastAsia" w:hAnsiTheme="minorEastAsia" w:eastAsiaTheme="minorEastAsia" w:cstheme="minorEastAsia"/>
          <w:kern w:val="2"/>
          <w:highlight w:val="none"/>
          <w:lang w:bidi="ar"/>
        </w:rPr>
        <w:t>施工及有关事项协商一致，共同达成如下协议：</w:t>
      </w:r>
    </w:p>
    <w:p>
      <w:pPr>
        <w:pStyle w:val="6"/>
        <w:widowControl/>
        <w:spacing w:before="0" w:after="0" w:line="480" w:lineRule="exact"/>
        <w:ind w:firstLine="352" w:firstLineChars="147"/>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一、工程概况</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1、工程名称：</w:t>
      </w:r>
      <w:r>
        <w:rPr>
          <w:rFonts w:hint="eastAsia" w:asciiTheme="minorEastAsia" w:hAnsiTheme="minorEastAsia" w:eastAsiaTheme="minorEastAsia" w:cstheme="minorEastAsia"/>
          <w:kern w:val="2"/>
          <w:sz w:val="24"/>
          <w:highlight w:val="none"/>
          <w:u w:val="single"/>
          <w:lang w:bidi="ar"/>
        </w:rPr>
        <w:t xml:space="preserve"> 南通市图书馆及综合服务中心档案库房恒温恒湿机组改造项目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2、工程地点：</w:t>
      </w:r>
      <w:r>
        <w:rPr>
          <w:rFonts w:hint="eastAsia" w:asciiTheme="minorEastAsia" w:hAnsiTheme="minorEastAsia" w:eastAsiaTheme="minorEastAsia" w:cstheme="minorEastAsia"/>
          <w:kern w:val="2"/>
          <w:sz w:val="24"/>
          <w:highlight w:val="none"/>
          <w:u w:val="single"/>
          <w:lang w:bidi="ar"/>
        </w:rPr>
        <w:t xml:space="preserve"> 南通市图书馆及综合服务中心</w:t>
      </w:r>
    </w:p>
    <w:p>
      <w:pPr>
        <w:spacing w:line="48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3、工程立项批准文号：</w:t>
      </w:r>
      <w:r>
        <w:rPr>
          <w:rFonts w:hint="eastAsia" w:asciiTheme="minorEastAsia" w:hAnsiTheme="minorEastAsia" w:eastAsiaTheme="minorEastAsia" w:cstheme="minorEastAsia"/>
          <w:kern w:val="2"/>
          <w:sz w:val="24"/>
          <w:highlight w:val="none"/>
          <w:u w:val="single"/>
          <w:lang w:bidi="ar"/>
        </w:rPr>
        <w:t xml:space="preserve">  /  。</w:t>
      </w:r>
    </w:p>
    <w:p>
      <w:pPr>
        <w:spacing w:line="48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4、资金来源：</w:t>
      </w:r>
      <w:r>
        <w:rPr>
          <w:rFonts w:hint="eastAsia" w:asciiTheme="minorEastAsia" w:hAnsiTheme="minorEastAsia" w:eastAsiaTheme="minorEastAsia" w:cstheme="minorEastAsia"/>
          <w:kern w:val="2"/>
          <w:sz w:val="24"/>
          <w:highlight w:val="none"/>
          <w:u w:val="single"/>
          <w:lang w:bidi="ar"/>
        </w:rPr>
        <w:t xml:space="preserve"> 财政 </w:t>
      </w:r>
    </w:p>
    <w:p>
      <w:pPr>
        <w:spacing w:line="480" w:lineRule="exact"/>
        <w:ind w:firstLine="49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5、工程内容：</w:t>
      </w:r>
      <w:r>
        <w:rPr>
          <w:rFonts w:hint="eastAsia" w:asciiTheme="minorEastAsia" w:hAnsiTheme="minorEastAsia" w:eastAsiaTheme="minorEastAsia" w:cstheme="minorEastAsia"/>
          <w:kern w:val="2"/>
          <w:sz w:val="24"/>
          <w:highlight w:val="none"/>
          <w:u w:val="single"/>
          <w:lang w:bidi="ar"/>
        </w:rPr>
        <w:t xml:space="preserve">  南通市图书馆及综合服务中心档案库房恒温恒湿机组改造项目（施工图纸、工程量清单所示内容）。</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群体工程应附《承包人承揽工程项目一览表》（附件1）。</w:t>
      </w:r>
    </w:p>
    <w:p>
      <w:pPr>
        <w:spacing w:line="480" w:lineRule="exac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    6、工程承包范围：</w:t>
      </w:r>
      <w:r>
        <w:rPr>
          <w:rFonts w:hint="eastAsia" w:asciiTheme="minorEastAsia" w:hAnsiTheme="minorEastAsia" w:eastAsiaTheme="minorEastAsia" w:cstheme="minorEastAsia"/>
          <w:kern w:val="2"/>
          <w:sz w:val="24"/>
          <w:highlight w:val="none"/>
          <w:u w:val="single"/>
          <w:lang w:bidi="ar"/>
        </w:rPr>
        <w:t>南通市图书馆及综合服务中心档案库房恒温恒湿机组改造项目（施工图纸、工程量清单所示内容以及甲方现场相关要求）。</w:t>
      </w:r>
    </w:p>
    <w:p>
      <w:pPr>
        <w:spacing w:line="48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2"/>
          <w:sz w:val="24"/>
          <w:highlight w:val="none"/>
          <w:lang w:bidi="ar"/>
        </w:rPr>
        <w:t xml:space="preserve">   二、合同工期</w:t>
      </w:r>
    </w:p>
    <w:p>
      <w:pPr>
        <w:spacing w:line="48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计划开工日期：</w:t>
      </w:r>
      <w:r>
        <w:rPr>
          <w:rFonts w:hint="eastAsia" w:asciiTheme="minorEastAsia" w:hAnsiTheme="minorEastAsia" w:eastAsiaTheme="minorEastAsia" w:cstheme="minorEastAsia"/>
          <w:kern w:val="2"/>
          <w:sz w:val="24"/>
          <w:highlight w:val="none"/>
          <w:u w:val="single"/>
          <w:lang w:bidi="ar"/>
        </w:rPr>
        <w:t xml:space="preserve">202 </w:t>
      </w:r>
      <w:r>
        <w:rPr>
          <w:rFonts w:hint="eastAsia" w:asciiTheme="minorEastAsia" w:hAnsiTheme="minorEastAsia" w:eastAsiaTheme="minorEastAsia" w:cstheme="minorEastAsia"/>
          <w:kern w:val="2"/>
          <w:sz w:val="24"/>
          <w:highlight w:val="none"/>
          <w:lang w:bidi="ar"/>
        </w:rPr>
        <w:t>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月</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日。</w:t>
      </w:r>
    </w:p>
    <w:p>
      <w:pPr>
        <w:spacing w:line="48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计划竣工日期：</w:t>
      </w:r>
      <w:r>
        <w:rPr>
          <w:rFonts w:hint="eastAsia" w:asciiTheme="minorEastAsia" w:hAnsiTheme="minorEastAsia" w:eastAsiaTheme="minorEastAsia" w:cstheme="minorEastAsia"/>
          <w:kern w:val="2"/>
          <w:sz w:val="24"/>
          <w:highlight w:val="none"/>
          <w:u w:val="single"/>
          <w:lang w:bidi="ar"/>
        </w:rPr>
        <w:t xml:space="preserve">202 </w:t>
      </w:r>
      <w:r>
        <w:rPr>
          <w:rFonts w:hint="eastAsia" w:asciiTheme="minorEastAsia" w:hAnsiTheme="minorEastAsia" w:eastAsiaTheme="minorEastAsia" w:cstheme="minorEastAsia"/>
          <w:kern w:val="2"/>
          <w:sz w:val="24"/>
          <w:highlight w:val="none"/>
          <w:lang w:bidi="ar"/>
        </w:rPr>
        <w:t>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月</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日。</w:t>
      </w:r>
    </w:p>
    <w:p>
      <w:pPr>
        <w:spacing w:line="480" w:lineRule="exact"/>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工期总日历天数：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天。</w:t>
      </w:r>
    </w:p>
    <w:p>
      <w:pPr>
        <w:spacing w:line="480" w:lineRule="exact"/>
        <w:ind w:firstLine="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工期总日历天数与根据前述计划开竣工日期计算的工期天数不一致的，以工期总日历天数为准。</w:t>
      </w:r>
    </w:p>
    <w:p>
      <w:pPr>
        <w:pStyle w:val="6"/>
        <w:widowControl/>
        <w:spacing w:before="0" w:after="0" w:line="480" w:lineRule="exact"/>
        <w:ind w:firstLine="352" w:firstLineChars="147"/>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三、质量标准</w:t>
      </w:r>
    </w:p>
    <w:p>
      <w:pPr>
        <w:pStyle w:val="81"/>
        <w:widowControl w:val="0"/>
        <w:spacing w:before="0" w:beforeAutospacing="0" w:after="120" w:afterAutospacing="0" w:line="480" w:lineRule="exact"/>
        <w:ind w:left="420" w:leftChars="200" w:firstLine="480"/>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工程质量符合</w:t>
      </w:r>
      <w:r>
        <w:rPr>
          <w:rFonts w:hint="eastAsia" w:asciiTheme="minorEastAsia" w:hAnsiTheme="minorEastAsia" w:eastAsiaTheme="minorEastAsia" w:cstheme="minorEastAsia"/>
          <w:kern w:val="2"/>
          <w:highlight w:val="none"/>
          <w:u w:val="single"/>
          <w:lang w:bidi="ar"/>
        </w:rPr>
        <w:t xml:space="preserve"> </w:t>
      </w:r>
      <w:r>
        <w:rPr>
          <w:rFonts w:hint="eastAsia" w:asciiTheme="minorEastAsia" w:hAnsiTheme="minorEastAsia" w:eastAsiaTheme="minorEastAsia" w:cstheme="minorEastAsia"/>
          <w:b/>
          <w:kern w:val="2"/>
          <w:highlight w:val="none"/>
          <w:u w:val="single"/>
          <w:lang w:bidi="ar"/>
        </w:rPr>
        <w:t xml:space="preserve">合格 </w:t>
      </w:r>
      <w:r>
        <w:rPr>
          <w:rFonts w:hint="eastAsia" w:asciiTheme="minorEastAsia" w:hAnsiTheme="minorEastAsia" w:eastAsiaTheme="minorEastAsia" w:cstheme="minorEastAsia"/>
          <w:kern w:val="2"/>
          <w:highlight w:val="none"/>
          <w:u w:val="single"/>
          <w:lang w:bidi="ar"/>
        </w:rPr>
        <w:t xml:space="preserve"> </w:t>
      </w:r>
      <w:r>
        <w:rPr>
          <w:rFonts w:hint="eastAsia" w:asciiTheme="minorEastAsia" w:hAnsiTheme="minorEastAsia" w:eastAsiaTheme="minorEastAsia" w:cstheme="minorEastAsia"/>
          <w:kern w:val="2"/>
          <w:highlight w:val="none"/>
          <w:lang w:bidi="ar"/>
        </w:rPr>
        <w:t>标准。</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 w:val="0"/>
          <w:sz w:val="24"/>
          <w:szCs w:val="24"/>
          <w:highlight w:val="none"/>
        </w:rPr>
        <w:t xml:space="preserve">    四、签约合同价与合同价格形式</w:t>
      </w:r>
      <w:r>
        <w:rPr>
          <w:rFonts w:hint="eastAsia" w:asciiTheme="minorEastAsia" w:hAnsiTheme="minorEastAsia" w:eastAsiaTheme="minorEastAsia" w:cstheme="minorEastAsia"/>
          <w:b w:val="0"/>
          <w:sz w:val="24"/>
          <w:szCs w:val="24"/>
          <w:highlight w:val="none"/>
        </w:rPr>
        <w:tab/>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1.签约合同价为：</w:t>
      </w:r>
    </w:p>
    <w:p>
      <w:pPr>
        <w:wordWrap w:val="0"/>
        <w:spacing w:line="48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wordWrap w:val="0"/>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其中：</w:t>
      </w:r>
    </w:p>
    <w:p>
      <w:pPr>
        <w:wordWrap w:val="0"/>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（1）安全文明施工费：</w:t>
      </w:r>
    </w:p>
    <w:p>
      <w:pPr>
        <w:wordWrap w:val="0"/>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wordWrap w:val="0"/>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其中基本费人民币（大写）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元)；标化增加费人民币（大写）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（2）材料和工程设备暂估价金额：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（3）专业工程暂估价金额：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元)；</w:t>
      </w:r>
    </w:p>
    <w:p>
      <w:pPr>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（4）暂列金额：</w:t>
      </w:r>
    </w:p>
    <w:p>
      <w:pPr>
        <w:spacing w:line="480" w:lineRule="exact"/>
        <w:ind w:firstLine="1080" w:firstLineChars="4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人民币（大写）</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val="en-US" w:eastAsia="zh-CN" w:bidi="ar"/>
        </w:rPr>
        <w:t>贰</w:t>
      </w:r>
      <w:r>
        <w:rPr>
          <w:rFonts w:hint="eastAsia" w:asciiTheme="minorEastAsia" w:hAnsiTheme="minorEastAsia" w:eastAsiaTheme="minorEastAsia" w:cstheme="minorEastAsia"/>
          <w:kern w:val="2"/>
          <w:sz w:val="24"/>
          <w:highlight w:val="none"/>
          <w:u w:val="single"/>
          <w:lang w:bidi="ar"/>
        </w:rPr>
        <w:t>万元整</w:t>
      </w:r>
      <w:r>
        <w:rPr>
          <w:rFonts w:hint="eastAsia" w:asciiTheme="minorEastAsia" w:hAnsiTheme="minorEastAsia" w:eastAsiaTheme="minorEastAsia" w:cstheme="minorEastAsia"/>
          <w:kern w:val="2"/>
          <w:sz w:val="24"/>
          <w:highlight w:val="none"/>
          <w:lang w:bidi="ar"/>
        </w:rPr>
        <w:t xml:space="preserve"> (¥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val="en-US" w:eastAsia="zh-CN" w:bidi="ar"/>
        </w:rPr>
        <w:t>2</w:t>
      </w:r>
      <w:r>
        <w:rPr>
          <w:rFonts w:hint="eastAsia" w:asciiTheme="minorEastAsia" w:hAnsiTheme="minorEastAsia" w:eastAsiaTheme="minorEastAsia" w:cstheme="minorEastAsia"/>
          <w:kern w:val="2"/>
          <w:sz w:val="24"/>
          <w:highlight w:val="none"/>
          <w:u w:val="single"/>
          <w:lang w:bidi="ar"/>
        </w:rPr>
        <w:t xml:space="preserve">0000 </w:t>
      </w:r>
      <w:r>
        <w:rPr>
          <w:rFonts w:hint="eastAsia" w:asciiTheme="minorEastAsia" w:hAnsiTheme="minorEastAsia" w:eastAsiaTheme="minorEastAsia" w:cstheme="minorEastAsia"/>
          <w:kern w:val="2"/>
          <w:sz w:val="24"/>
          <w:highlight w:val="none"/>
          <w:lang w:bidi="ar"/>
        </w:rPr>
        <w:t>元)。</w:t>
      </w:r>
    </w:p>
    <w:p>
      <w:pPr>
        <w:numPr>
          <w:ilvl w:val="0"/>
          <w:numId w:val="7"/>
        </w:numPr>
        <w:spacing w:line="480" w:lineRule="exact"/>
        <w:ind w:firstLine="480" w:firstLineChars="200"/>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kern w:val="2"/>
          <w:sz w:val="24"/>
          <w:highlight w:val="none"/>
          <w:lang w:bidi="ar"/>
        </w:rPr>
        <w:t>合同价格形式：</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kern w:val="2"/>
          <w:sz w:val="24"/>
          <w:highlight w:val="none"/>
          <w:u w:val="single"/>
          <w:lang w:bidi="ar"/>
        </w:rPr>
        <w:t xml:space="preserve">  固定单价合同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sz w:val="24"/>
          <w:highlight w:val="none"/>
        </w:rPr>
        <w:t xml:space="preserve">    五、项目经理</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承包人项目经理：</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 xml:space="preserve"> 六、合同文件构成</w:t>
      </w:r>
    </w:p>
    <w:p>
      <w:pPr>
        <w:spacing w:line="540" w:lineRule="exact"/>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本协议书与下列文件一起构成合同文件：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（1）中标通知书（如果有）；</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（2）投标函及其附录（如果有）；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（3）专用合同条款及其附件；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（4）通用合同条款；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（5）技术标准和要求；</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（6）图纸；</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（7）已标价工程量清单或预算书；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（8）其他合同文件。</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在合同订立及履行过程中形成的与合同有关的文件均构成合同文件组成部分。</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上述各项合同文件包括合同当事人就该项合同文件所作出的补充和修改，属于同一类内容的文件，应以最新签署的为准。专用合同条款及其附件须经合同当事人签字或盖章。</w:t>
      </w:r>
    </w:p>
    <w:p>
      <w:pPr>
        <w:pStyle w:val="6"/>
        <w:widowControl/>
        <w:spacing w:before="0" w:after="0" w:line="480" w:lineRule="exact"/>
        <w:jc w:val="lef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 xml:space="preserve">    七、承诺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1.发包人承诺按照法律规定履行项目审批手续、筹集工程建设资金并按照合同约定的期限和方式支付合同价款。</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2.承包人承诺按照法律规定及合同约定组织完成工程施工，确保工程质量和安全，不进行转包及违法分包，并在缺陷责任期及保修期内承担相应的工程维修责任。</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3.发包人和承包人通过招投标形式签订合同的，双方理解并承诺不再就同一工程另行签订与合同实质性内容相背离的协议。</w:t>
      </w:r>
    </w:p>
    <w:p>
      <w:pPr>
        <w:spacing w:line="480" w:lineRule="exact"/>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kern w:val="2"/>
          <w:sz w:val="24"/>
          <w:highlight w:val="none"/>
          <w:lang w:bidi="ar"/>
        </w:rPr>
        <w:t xml:space="preserve">    八、词语含义</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本协议书中词语含义与第二部分通用合同条款中赋予的含义相同。</w:t>
      </w:r>
    </w:p>
    <w:p>
      <w:pPr>
        <w:pStyle w:val="6"/>
        <w:widowControl/>
        <w:spacing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 xml:space="preserve">  九、签订时间</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本合同于</w:t>
      </w:r>
      <w:r>
        <w:rPr>
          <w:rFonts w:hint="eastAsia" w:asciiTheme="minorEastAsia" w:hAnsiTheme="minorEastAsia" w:eastAsiaTheme="minorEastAsia" w:cstheme="minorEastAsia"/>
          <w:bCs/>
          <w:kern w:val="2"/>
          <w:sz w:val="24"/>
          <w:highlight w:val="none"/>
          <w:u w:val="single"/>
          <w:lang w:bidi="ar"/>
        </w:rPr>
        <w:t xml:space="preserve">  202  </w:t>
      </w:r>
      <w:r>
        <w:rPr>
          <w:rFonts w:hint="eastAsia" w:asciiTheme="minorEastAsia" w:hAnsiTheme="minorEastAsia" w:eastAsiaTheme="minorEastAsia" w:cstheme="minorEastAsia"/>
          <w:bCs/>
          <w:kern w:val="2"/>
          <w:sz w:val="24"/>
          <w:highlight w:val="none"/>
          <w:lang w:bidi="ar"/>
        </w:rPr>
        <w:t>年</w:t>
      </w:r>
      <w:r>
        <w:rPr>
          <w:rFonts w:hint="eastAsia" w:asciiTheme="minorEastAsia" w:hAnsiTheme="minorEastAsia" w:eastAsiaTheme="minorEastAsia" w:cstheme="minorEastAsia"/>
          <w:bCs/>
          <w:kern w:val="2"/>
          <w:sz w:val="24"/>
          <w:highlight w:val="none"/>
          <w:u w:val="single"/>
          <w:lang w:bidi="ar"/>
        </w:rPr>
        <w:t xml:space="preserve">     </w:t>
      </w:r>
      <w:r>
        <w:rPr>
          <w:rFonts w:hint="eastAsia" w:asciiTheme="minorEastAsia" w:hAnsiTheme="minorEastAsia" w:eastAsiaTheme="minorEastAsia" w:cstheme="minorEastAsia"/>
          <w:bCs/>
          <w:kern w:val="2"/>
          <w:sz w:val="24"/>
          <w:highlight w:val="none"/>
          <w:lang w:bidi="ar"/>
        </w:rPr>
        <w:t>月</w:t>
      </w:r>
      <w:r>
        <w:rPr>
          <w:rFonts w:hint="eastAsia" w:asciiTheme="minorEastAsia" w:hAnsiTheme="minorEastAsia" w:eastAsiaTheme="minorEastAsia" w:cstheme="minorEastAsia"/>
          <w:bCs/>
          <w:kern w:val="2"/>
          <w:sz w:val="24"/>
          <w:highlight w:val="none"/>
          <w:u w:val="single"/>
          <w:lang w:bidi="ar"/>
        </w:rPr>
        <w:t xml:space="preserve">    </w:t>
      </w:r>
      <w:r>
        <w:rPr>
          <w:rFonts w:hint="eastAsia" w:asciiTheme="minorEastAsia" w:hAnsiTheme="minorEastAsia" w:eastAsiaTheme="minorEastAsia" w:cstheme="minorEastAsia"/>
          <w:bCs/>
          <w:kern w:val="2"/>
          <w:sz w:val="24"/>
          <w:highlight w:val="none"/>
          <w:lang w:bidi="ar"/>
        </w:rPr>
        <w:t>日签订。</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十、签订地点</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本合同在</w:t>
      </w:r>
      <w:r>
        <w:rPr>
          <w:rFonts w:hint="eastAsia" w:asciiTheme="minorEastAsia" w:hAnsiTheme="minorEastAsia" w:eastAsiaTheme="minorEastAsia" w:cstheme="minorEastAsia"/>
          <w:bCs/>
          <w:kern w:val="2"/>
          <w:sz w:val="24"/>
          <w:highlight w:val="none"/>
          <w:u w:val="single"/>
          <w:lang w:bidi="ar"/>
        </w:rPr>
        <w:t xml:space="preserve">       南通市机关事务管理局        </w:t>
      </w:r>
      <w:r>
        <w:rPr>
          <w:rFonts w:hint="eastAsia" w:asciiTheme="minorEastAsia" w:hAnsiTheme="minorEastAsia" w:eastAsiaTheme="minorEastAsia" w:cstheme="minorEastAsia"/>
          <w:bCs/>
          <w:kern w:val="2"/>
          <w:sz w:val="24"/>
          <w:highlight w:val="none"/>
          <w:lang w:bidi="ar"/>
        </w:rPr>
        <w:t>签订。</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十一、补充协议</w:t>
      </w:r>
    </w:p>
    <w:p>
      <w:pPr>
        <w:spacing w:line="480" w:lineRule="exact"/>
        <w:ind w:firstLine="480" w:firstLineChars="20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kern w:val="2"/>
          <w:sz w:val="24"/>
          <w:highlight w:val="none"/>
          <w:lang w:bidi="ar"/>
        </w:rPr>
        <w:t>合同未尽事宜，合同当事人另行签订补充协议，补充协议是合同的组成部分。</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十二、合同生效</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本合同自</w:t>
      </w:r>
      <w:r>
        <w:rPr>
          <w:rFonts w:hint="eastAsia" w:asciiTheme="minorEastAsia" w:hAnsiTheme="minorEastAsia" w:eastAsiaTheme="minorEastAsia" w:cstheme="minorEastAsia"/>
          <w:bCs/>
          <w:kern w:val="2"/>
          <w:sz w:val="24"/>
          <w:highlight w:val="none"/>
          <w:u w:val="single"/>
          <w:lang w:bidi="ar"/>
        </w:rPr>
        <w:t xml:space="preserve"> 承包人向发包人提交符合要求的履约担保，且双方签字、盖章后</w:t>
      </w:r>
      <w:r>
        <w:rPr>
          <w:rFonts w:hint="eastAsia" w:asciiTheme="minorEastAsia" w:hAnsiTheme="minorEastAsia" w:eastAsiaTheme="minorEastAsia" w:cstheme="minorEastAsia"/>
          <w:bCs/>
          <w:kern w:val="2"/>
          <w:sz w:val="24"/>
          <w:highlight w:val="none"/>
          <w:lang w:bidi="ar"/>
        </w:rPr>
        <w:t>生效。</w:t>
      </w:r>
    </w:p>
    <w:p>
      <w:pPr>
        <w:pStyle w:val="6"/>
        <w:widowControl/>
        <w:spacing w:before="0" w:after="0" w:line="480" w:lineRule="exact"/>
        <w:jc w:val="left"/>
        <w:rPr>
          <w:rFonts w:asciiTheme="minorEastAsia" w:hAnsiTheme="minorEastAsia" w:eastAsiaTheme="minorEastAsia" w:cstheme="minorEastAsia"/>
          <w:bCs w:val="0"/>
          <w:sz w:val="24"/>
          <w:szCs w:val="24"/>
          <w:highlight w:val="none"/>
        </w:rPr>
      </w:pPr>
      <w:r>
        <w:rPr>
          <w:rFonts w:hint="eastAsia" w:asciiTheme="minorEastAsia" w:hAnsiTheme="minorEastAsia" w:eastAsiaTheme="minorEastAsia" w:cstheme="minorEastAsia"/>
          <w:bCs w:val="0"/>
          <w:sz w:val="24"/>
          <w:szCs w:val="24"/>
          <w:highlight w:val="none"/>
        </w:rPr>
        <w:t xml:space="preserve">    </w:t>
      </w:r>
      <w:r>
        <w:rPr>
          <w:rFonts w:hint="eastAsia" w:asciiTheme="minorEastAsia" w:hAnsiTheme="minorEastAsia" w:eastAsiaTheme="minorEastAsia" w:cstheme="minorEastAsia"/>
          <w:b w:val="0"/>
          <w:sz w:val="24"/>
          <w:szCs w:val="24"/>
          <w:highlight w:val="none"/>
        </w:rPr>
        <w:t>十三、合同份数</w:t>
      </w:r>
    </w:p>
    <w:p>
      <w:pPr>
        <w:spacing w:line="480" w:lineRule="exact"/>
        <w:ind w:firstLine="480" w:firstLineChars="200"/>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kern w:val="2"/>
          <w:sz w:val="24"/>
          <w:highlight w:val="none"/>
          <w:lang w:bidi="ar"/>
        </w:rPr>
        <w:t>本合同一式</w:t>
      </w:r>
      <w:r>
        <w:rPr>
          <w:rFonts w:hint="eastAsia" w:asciiTheme="minorEastAsia" w:hAnsiTheme="minorEastAsia" w:eastAsiaTheme="minorEastAsia" w:cstheme="minorEastAsia"/>
          <w:bCs/>
          <w:kern w:val="2"/>
          <w:sz w:val="24"/>
          <w:highlight w:val="none"/>
          <w:u w:val="single"/>
          <w:lang w:bidi="ar"/>
        </w:rPr>
        <w:t xml:space="preserve"> 陆 </w:t>
      </w:r>
      <w:r>
        <w:rPr>
          <w:rFonts w:hint="eastAsia" w:asciiTheme="minorEastAsia" w:hAnsiTheme="minorEastAsia" w:eastAsiaTheme="minorEastAsia" w:cstheme="minorEastAsia"/>
          <w:bCs/>
          <w:kern w:val="2"/>
          <w:sz w:val="24"/>
          <w:highlight w:val="none"/>
          <w:lang w:bidi="ar"/>
        </w:rPr>
        <w:t>份，均具有同等法律效力，发包人执</w:t>
      </w:r>
      <w:r>
        <w:rPr>
          <w:rFonts w:hint="eastAsia" w:asciiTheme="minorEastAsia" w:hAnsiTheme="minorEastAsia" w:eastAsiaTheme="minorEastAsia" w:cstheme="minorEastAsia"/>
          <w:bCs/>
          <w:kern w:val="2"/>
          <w:sz w:val="24"/>
          <w:highlight w:val="none"/>
          <w:u w:val="single"/>
          <w:lang w:bidi="ar"/>
        </w:rPr>
        <w:t xml:space="preserve">  叁 </w:t>
      </w:r>
      <w:r>
        <w:rPr>
          <w:rFonts w:hint="eastAsia" w:asciiTheme="minorEastAsia" w:hAnsiTheme="minorEastAsia" w:eastAsiaTheme="minorEastAsia" w:cstheme="minorEastAsia"/>
          <w:bCs/>
          <w:kern w:val="2"/>
          <w:sz w:val="24"/>
          <w:highlight w:val="none"/>
          <w:lang w:bidi="ar"/>
        </w:rPr>
        <w:t>份，承包人执</w:t>
      </w:r>
      <w:r>
        <w:rPr>
          <w:rFonts w:hint="eastAsia" w:asciiTheme="minorEastAsia" w:hAnsiTheme="minorEastAsia" w:eastAsiaTheme="minorEastAsia" w:cstheme="minorEastAsia"/>
          <w:bCs/>
          <w:kern w:val="2"/>
          <w:sz w:val="24"/>
          <w:highlight w:val="none"/>
          <w:u w:val="single"/>
          <w:lang w:bidi="ar"/>
        </w:rPr>
        <w:t xml:space="preserve"> 叁 </w:t>
      </w:r>
      <w:r>
        <w:rPr>
          <w:rFonts w:hint="eastAsia" w:asciiTheme="minorEastAsia" w:hAnsiTheme="minorEastAsia" w:eastAsiaTheme="minorEastAsia" w:cstheme="minorEastAsia"/>
          <w:bCs/>
          <w:kern w:val="2"/>
          <w:sz w:val="24"/>
          <w:highlight w:val="none"/>
          <w:lang w:bidi="ar"/>
        </w:rPr>
        <w:t>份。</w:t>
      </w:r>
    </w:p>
    <w:p>
      <w:pPr>
        <w:spacing w:line="480" w:lineRule="exact"/>
        <w:jc w:val="left"/>
        <w:rPr>
          <w:rFonts w:asciiTheme="minorEastAsia" w:hAnsiTheme="minorEastAsia" w:eastAsiaTheme="minorEastAsia" w:cstheme="minorEastAsia"/>
          <w:sz w:val="24"/>
          <w:highlight w:val="none"/>
        </w:rPr>
      </w:pP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  (公章)                        承包人：  (公章)</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法定代表人或其委托代理人：              法定代表人或其委托代理人：</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（签字）                               （签字）</w:t>
      </w:r>
    </w:p>
    <w:p>
      <w:pPr>
        <w:tabs>
          <w:tab w:val="left" w:pos="4410"/>
        </w:tabs>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组织机构代码：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组织机构代码：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地  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地  址：</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邮政编码：</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邮政编码：</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法定代表人：</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法定代表人：</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委托代理人：</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委托代理人：</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  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电  话：</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传  真：</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传  真：</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电子信箱：</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开户银行：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开户银行：</w:t>
      </w:r>
      <w:r>
        <w:rPr>
          <w:rFonts w:hint="eastAsia" w:asciiTheme="minorEastAsia" w:hAnsiTheme="minorEastAsia" w:eastAsiaTheme="minorEastAsia" w:cstheme="minorEastAsia"/>
          <w:kern w:val="2"/>
          <w:sz w:val="24"/>
          <w:highlight w:val="none"/>
          <w:u w:val="single"/>
          <w:lang w:bidi="ar"/>
        </w:rPr>
        <w:t xml:space="preserve">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账  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 xml:space="preserve">             账  号：</w:t>
      </w:r>
      <w:r>
        <w:rPr>
          <w:rFonts w:hint="eastAsia" w:asciiTheme="minorEastAsia" w:hAnsiTheme="minorEastAsia" w:eastAsiaTheme="minorEastAsia" w:cstheme="minorEastAsia"/>
          <w:kern w:val="2"/>
          <w:sz w:val="24"/>
          <w:highlight w:val="none"/>
          <w:u w:val="single"/>
          <w:lang w:bidi="ar"/>
        </w:rPr>
        <w:t xml:space="preserve">                   </w:t>
      </w:r>
    </w:p>
    <w:p>
      <w:pPr>
        <w:pStyle w:val="5"/>
        <w:widowControl/>
        <w:spacing w:line="480" w:lineRule="exac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4"/>
          <w:szCs w:val="24"/>
          <w:highlight w:val="none"/>
          <w:lang w:bidi="ar"/>
        </w:rPr>
        <w:br w:type="page"/>
      </w:r>
      <w:bookmarkStart w:id="97" w:name="_Toc351203494"/>
      <w:r>
        <w:rPr>
          <w:rFonts w:hint="eastAsia" w:asciiTheme="minorEastAsia" w:hAnsiTheme="minorEastAsia" w:eastAsiaTheme="minorEastAsia" w:cstheme="minorEastAsia"/>
          <w:sz w:val="28"/>
          <w:szCs w:val="28"/>
          <w:highlight w:val="none"/>
        </w:rPr>
        <w:t>第二部分 通用合同条款</w:t>
      </w:r>
      <w:bookmarkEnd w:id="97"/>
      <w:bookmarkStart w:id="98" w:name="_Toc337558727"/>
    </w:p>
    <w:bookmarkEnd w:id="98"/>
    <w:p>
      <w:pPr>
        <w:autoSpaceDE w:val="0"/>
        <w:autoSpaceDN w:val="0"/>
        <w:adjustRightInd w:val="0"/>
        <w:spacing w:line="360" w:lineRule="auto"/>
        <w:ind w:firstLine="560" w:firstLineChars="200"/>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bidi="ar"/>
        </w:rPr>
        <w:t>详见《建设工程施工合同》示范文本（GF-2017-0201）</w:t>
      </w:r>
    </w:p>
    <w:p>
      <w:pPr>
        <w:widowControl/>
        <w:spacing w:after="240" w:line="480" w:lineRule="exact"/>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kern w:val="2"/>
          <w:sz w:val="28"/>
          <w:szCs w:val="28"/>
          <w:highlight w:val="none"/>
          <w:lang w:bidi="ar"/>
        </w:rPr>
        <w:br w:type="page"/>
      </w:r>
      <w:r>
        <w:rPr>
          <w:rFonts w:hint="eastAsia" w:asciiTheme="minorEastAsia" w:hAnsiTheme="minorEastAsia" w:eastAsiaTheme="minorEastAsia" w:cstheme="minorEastAsia"/>
          <w:kern w:val="2"/>
          <w:sz w:val="28"/>
          <w:szCs w:val="28"/>
          <w:highlight w:val="none"/>
          <w:lang w:bidi="ar"/>
        </w:rPr>
        <w:t xml:space="preserve">                 </w:t>
      </w:r>
      <w:r>
        <w:rPr>
          <w:rFonts w:hint="eastAsia" w:asciiTheme="minorEastAsia" w:hAnsiTheme="minorEastAsia" w:eastAsiaTheme="minorEastAsia" w:cstheme="minorEastAsia"/>
          <w:b/>
          <w:bCs/>
          <w:sz w:val="28"/>
          <w:szCs w:val="28"/>
          <w:highlight w:val="none"/>
        </w:rPr>
        <w:t xml:space="preserve">   第三部分 专用合同条款</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 一般约定</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 词语定义</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1.1.1合同</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1.1.1.10其他合同文件包括：</w:t>
      </w:r>
      <w:r>
        <w:rPr>
          <w:rFonts w:hint="eastAsia" w:asciiTheme="minorEastAsia" w:hAnsiTheme="minorEastAsia" w:eastAsiaTheme="minorEastAsia" w:cstheme="minorEastAsia"/>
          <w:kern w:val="2"/>
          <w:sz w:val="24"/>
          <w:highlight w:val="none"/>
          <w:u w:val="single"/>
          <w:lang w:bidi="ar"/>
        </w:rPr>
        <w:t xml:space="preserve">（1）发包人与承包人协商备忘、合同补充文件；（2）招标文件及其附件（含答疑）；（3）发包人认可的设计变更；（4）经发包人确认有效的工程签证单（发包人签字盖章后方可生效）；（5）承诺书。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 合同当事人及其他相关方</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1.1.2.4监理人：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名    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资质类别和等级：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1.1.2.5 设计人：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名    称：</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资质类别和等级：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 工程和设备</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1.1.3.7 作为施工现场组成部分的其他场所包括：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1.1.3.9 永久占地包括：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1.1.3.10 临时占地包括：</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1.3法律 </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适用于合同的其他规范性文件：适用于合同的其他规范性文件：</w:t>
      </w:r>
      <w:r>
        <w:rPr>
          <w:rFonts w:hint="eastAsia" w:asciiTheme="minorEastAsia" w:hAnsiTheme="minorEastAsia" w:eastAsiaTheme="minorEastAsia" w:cstheme="minorEastAsia"/>
          <w:kern w:val="2"/>
          <w:sz w:val="24"/>
          <w:highlight w:val="none"/>
          <w:u w:val="single"/>
          <w:lang w:bidi="ar"/>
        </w:rPr>
        <w:t>《中华人民共和国建筑法》、《中华人民共和国合同法》、《中华人民共和国招标投标法》、七部委第12号令《评标委员会和评标方法暂行规定》、建设部第89号令《房屋建筑和市政基础设施工程施工招标投标管理办法》、七部委第30号令、《建设工程质量管理条例》（国务院第279号令）、《江苏省工程建设管理条例》、《江苏省建筑市场管理条例》</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 标准和规范</w:t>
      </w:r>
    </w:p>
    <w:p>
      <w:pPr>
        <w:spacing w:line="540" w:lineRule="exact"/>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kern w:val="2"/>
          <w:sz w:val="24"/>
          <w:highlight w:val="none"/>
          <w:lang w:bidi="ar"/>
        </w:rPr>
        <w:t>1.4.1适用于工程的标准规范包括：</w:t>
      </w:r>
      <w:r>
        <w:rPr>
          <w:rFonts w:hint="eastAsia" w:asciiTheme="minorEastAsia" w:hAnsiTheme="minorEastAsia" w:eastAsiaTheme="minorEastAsia" w:cstheme="minorEastAsia"/>
          <w:bCs/>
          <w:kern w:val="2"/>
          <w:sz w:val="24"/>
          <w:highlight w:val="none"/>
          <w:u w:val="single"/>
          <w:lang w:bidi="ar"/>
        </w:rPr>
        <w:t>国家、地方、行业现行的建设工程规范和标准；国家、地方、行业现行的有关材料、设备的规范和标准；现行的江苏省工程预算定额及相关规定。</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1.4.2 发包人提供国外标准、规范的名称：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发包人提供国外标准、规范的份数：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发包人提供国外标准、规范的名称：</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1.4.3发包人对工程的技术标准和功能要求的特殊要求：</w:t>
      </w:r>
    </w:p>
    <w:p>
      <w:pPr>
        <w:spacing w:line="5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 合同文件的优先顺序</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合同文件组成及优先顺序为：</w:t>
      </w:r>
      <w:r>
        <w:rPr>
          <w:rFonts w:hint="eastAsia" w:asciiTheme="minorEastAsia" w:hAnsiTheme="minorEastAsia" w:eastAsiaTheme="minorEastAsia" w:cstheme="minorEastAsia"/>
          <w:kern w:val="2"/>
          <w:sz w:val="24"/>
          <w:highlight w:val="none"/>
          <w:u w:val="single"/>
          <w:lang w:bidi="ar"/>
        </w:rPr>
        <w:t>（1）合同协议书；（2）中标通知书；（3）招标文件及修改、补充文件；（4）投标函及其附录；（5）专用合同条款及其附件；（6）通用合同条款；（7）技术标准和要求；（8）图纸；（9）已标价工程量清单或预算书；（10）投标文件；（11）其他合同文件</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 图纸和承包人文件</w:t>
      </w:r>
      <w:r>
        <w:rPr>
          <w:rFonts w:hint="eastAsia" w:asciiTheme="minorEastAsia" w:hAnsiTheme="minorEastAsia" w:eastAsiaTheme="minorEastAsia" w:cstheme="minorEastAsia"/>
          <w:kern w:val="2"/>
          <w:sz w:val="24"/>
          <w:highlight w:val="none"/>
          <w:lang w:bidi="ar"/>
        </w:rPr>
        <w:tab/>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 图纸的提供</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发包人向承包人提供图纸的期限：</w:t>
      </w:r>
      <w:r>
        <w:rPr>
          <w:rFonts w:hint="eastAsia" w:asciiTheme="minorEastAsia" w:hAnsiTheme="minorEastAsia" w:eastAsiaTheme="minorEastAsia" w:cstheme="minorEastAsia"/>
          <w:b/>
          <w:kern w:val="2"/>
          <w:sz w:val="24"/>
          <w:highlight w:val="none"/>
          <w:u w:val="single"/>
          <w:lang w:bidi="ar"/>
        </w:rPr>
        <w:t>发包人工程开工前向承包人提供</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发包人向承包人提供图纸的数量：</w:t>
      </w:r>
      <w:r>
        <w:rPr>
          <w:rFonts w:hint="eastAsia" w:asciiTheme="minorEastAsia" w:hAnsiTheme="minorEastAsia" w:eastAsiaTheme="minorEastAsia" w:cstheme="minorEastAsia"/>
          <w:kern w:val="2"/>
          <w:sz w:val="24"/>
          <w:highlight w:val="none"/>
          <w:u w:val="single"/>
          <w:lang w:bidi="ar"/>
        </w:rPr>
        <w:t xml:space="preserve"> 肆套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发包人向承包人提供图纸的内容：</w:t>
      </w:r>
      <w:r>
        <w:rPr>
          <w:rFonts w:hint="eastAsia" w:asciiTheme="minorEastAsia" w:hAnsiTheme="minorEastAsia" w:eastAsiaTheme="minorEastAsia" w:cstheme="minorEastAsia"/>
          <w:kern w:val="2"/>
          <w:sz w:val="24"/>
          <w:highlight w:val="none"/>
          <w:u w:val="single"/>
          <w:lang w:bidi="ar"/>
        </w:rPr>
        <w:t xml:space="preserve"> 设计施工图（含设计变更）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1.6.4 承包人文件</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需要由承包人提供的文件，包括：</w:t>
      </w:r>
      <w:r>
        <w:rPr>
          <w:rFonts w:hint="eastAsia" w:asciiTheme="minorEastAsia" w:hAnsiTheme="minorEastAsia" w:eastAsiaTheme="minorEastAsia" w:cstheme="minorEastAsia"/>
          <w:kern w:val="2"/>
          <w:sz w:val="24"/>
          <w:highlight w:val="none"/>
          <w:u w:val="single"/>
          <w:lang w:bidi="ar"/>
        </w:rPr>
        <w:t>施工组织设计、工程总进度计划及人员、机械、材料安排计划、发包人供应材料的总计划和开工后第一个月所需的发包人供应材料计划、下月完成工程量报表、月进度报表</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承包人提供的文件的期限为：</w:t>
      </w:r>
      <w:r>
        <w:rPr>
          <w:rFonts w:hint="eastAsia" w:asciiTheme="minorEastAsia" w:hAnsiTheme="minorEastAsia" w:eastAsiaTheme="minorEastAsia" w:cstheme="minorEastAsia"/>
          <w:kern w:val="2"/>
          <w:sz w:val="24"/>
          <w:highlight w:val="none"/>
          <w:u w:val="single"/>
          <w:lang w:bidi="ar"/>
        </w:rPr>
        <w:t>中标公示结束之日起7天内提供施工组织设计、工程总进度计划及人员、机械、材料安排计划、发包人供应材料的总计划和开工后第一个月所需的发包人供应材料计划；每月25日前提供下月完成工程量报表、月进度表。未按时提交上述资料，每条每次承包人应支付发包人1000元违约金；每延迟一天，另按1000元/天向发包人支付违约金</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承包人提供的文件的期限、数量为：</w:t>
      </w:r>
      <w:r>
        <w:rPr>
          <w:rFonts w:hint="eastAsia" w:asciiTheme="minorEastAsia" w:hAnsiTheme="minorEastAsia" w:eastAsiaTheme="minorEastAsia" w:cstheme="minorEastAsia"/>
          <w:kern w:val="2"/>
          <w:sz w:val="24"/>
          <w:highlight w:val="none"/>
          <w:u w:val="single"/>
          <w:lang w:bidi="ar"/>
        </w:rPr>
        <w:t xml:space="preserve">视发包人要求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承包人提供的文件的形式为：</w:t>
      </w:r>
      <w:r>
        <w:rPr>
          <w:rFonts w:hint="eastAsia" w:asciiTheme="minorEastAsia" w:hAnsiTheme="minorEastAsia" w:eastAsiaTheme="minorEastAsia" w:cstheme="minorEastAsia"/>
          <w:kern w:val="2"/>
          <w:sz w:val="24"/>
          <w:highlight w:val="none"/>
          <w:u w:val="single"/>
          <w:lang w:bidi="ar"/>
        </w:rPr>
        <w:t xml:space="preserve">书面以及电子版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发包（监理）人审批承包人文件的期限：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1.6.5 现场图纸准备</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关于现场图纸准备的约定：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 联络</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1.7.1发包人和承包人应当在</w:t>
      </w:r>
      <w:r>
        <w:rPr>
          <w:rFonts w:hint="eastAsia" w:asciiTheme="minorEastAsia" w:hAnsiTheme="minorEastAsia" w:eastAsiaTheme="minorEastAsia" w:cstheme="minorEastAsia"/>
          <w:kern w:val="2"/>
          <w:sz w:val="24"/>
          <w:highlight w:val="none"/>
          <w:u w:val="single"/>
          <w:lang w:bidi="ar"/>
        </w:rPr>
        <w:t xml:space="preserve"> 3  </w:t>
      </w:r>
      <w:r>
        <w:rPr>
          <w:rFonts w:hint="eastAsia" w:asciiTheme="minorEastAsia" w:hAnsiTheme="minorEastAsia" w:eastAsiaTheme="minorEastAsia" w:cstheme="minorEastAsia"/>
          <w:sz w:val="24"/>
          <w:highlight w:val="none"/>
          <w:lang w:bidi="ar"/>
        </w:rPr>
        <w:t>天内将与合同有关的通知、批准、证明、证书、指示、指令、要求、请求、同意、意见、确定和决定等书面函件送达对方当事人。</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1.7.2 发包人接收文件的地点：</w:t>
      </w:r>
      <w:r>
        <w:rPr>
          <w:rFonts w:hint="eastAsia" w:asciiTheme="minorEastAsia" w:hAnsiTheme="minorEastAsia" w:eastAsiaTheme="minorEastAsia" w:cstheme="minorEastAsia"/>
          <w:kern w:val="2"/>
          <w:sz w:val="24"/>
          <w:highlight w:val="none"/>
          <w:u w:val="single"/>
          <w:lang w:bidi="ar"/>
        </w:rPr>
        <w:t>南通市图书馆及综合服务中心档案库房</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发包人指定的接收人为：</w:t>
      </w:r>
      <w:r>
        <w:rPr>
          <w:rFonts w:hint="eastAsia" w:asciiTheme="minorEastAsia" w:hAnsiTheme="minorEastAsia" w:eastAsiaTheme="minorEastAsia" w:cstheme="minorEastAsia"/>
          <w:kern w:val="2"/>
          <w:sz w:val="24"/>
          <w:highlight w:val="none"/>
          <w:u w:val="single"/>
          <w:lang w:bidi="ar"/>
        </w:rPr>
        <w:t xml:space="preserve"> 发包人代表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承包人接收文件的地点：</w:t>
      </w:r>
      <w:r>
        <w:rPr>
          <w:rFonts w:hint="eastAsia" w:asciiTheme="minorEastAsia" w:hAnsiTheme="minorEastAsia" w:eastAsiaTheme="minorEastAsia" w:cstheme="minorEastAsia"/>
          <w:kern w:val="2"/>
          <w:sz w:val="24"/>
          <w:highlight w:val="none"/>
          <w:u w:val="single"/>
          <w:lang w:bidi="ar"/>
        </w:rPr>
        <w:t>工地项目部项目经理办公室</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承包人指定的接收人为：</w:t>
      </w:r>
      <w:r>
        <w:rPr>
          <w:rFonts w:hint="eastAsia" w:asciiTheme="minorEastAsia" w:hAnsiTheme="minorEastAsia" w:eastAsiaTheme="minorEastAsia" w:cstheme="minorEastAsia"/>
          <w:kern w:val="2"/>
          <w:sz w:val="24"/>
          <w:highlight w:val="none"/>
          <w:u w:val="single"/>
          <w:lang w:bidi="ar"/>
        </w:rPr>
        <w:t xml:space="preserve"> 项目经理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监理人接收文件的地点：</w:t>
      </w:r>
      <w:r>
        <w:rPr>
          <w:rFonts w:hint="eastAsia" w:asciiTheme="minorEastAsia" w:hAnsiTheme="minorEastAsia" w:eastAsiaTheme="minorEastAsia" w:cstheme="minorEastAsia"/>
          <w:kern w:val="2"/>
          <w:sz w:val="24"/>
          <w:highlight w:val="none"/>
          <w:u w:val="single"/>
          <w:lang w:bidi="ar"/>
        </w:rPr>
        <w:t>工地项目监理部总监理工程师办公室</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监理人指定的接收人为：</w:t>
      </w:r>
      <w:r>
        <w:rPr>
          <w:rFonts w:hint="eastAsia" w:asciiTheme="minorEastAsia" w:hAnsiTheme="minorEastAsia" w:eastAsiaTheme="minorEastAsia" w:cstheme="minorEastAsia"/>
          <w:kern w:val="2"/>
          <w:sz w:val="24"/>
          <w:highlight w:val="none"/>
          <w:u w:val="single"/>
          <w:lang w:bidi="ar"/>
        </w:rPr>
        <w:t xml:space="preserve"> 总监理工程师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 交通运输</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1.10.1 出入现场的权利</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关于出入现场的权利的约定：</w:t>
      </w:r>
      <w:r>
        <w:rPr>
          <w:rFonts w:hint="eastAsia" w:asciiTheme="minorEastAsia" w:hAnsiTheme="minorEastAsia" w:eastAsiaTheme="minorEastAsia" w:cstheme="minorEastAsia"/>
          <w:kern w:val="2"/>
          <w:sz w:val="24"/>
          <w:highlight w:val="none"/>
          <w:u w:val="single"/>
          <w:lang w:bidi="ar"/>
        </w:rPr>
        <w:t xml:space="preserve">  以红线为界，由承包人全权负责，费用已在合同总价中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1.10.3 场内交通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关于场外交通和场内交通的边界的约定：</w:t>
      </w:r>
      <w:r>
        <w:rPr>
          <w:rFonts w:hint="eastAsia" w:asciiTheme="minorEastAsia" w:hAnsiTheme="minorEastAsia" w:eastAsiaTheme="minorEastAsia" w:cstheme="minorEastAsia"/>
          <w:kern w:val="2"/>
          <w:sz w:val="24"/>
          <w:highlight w:val="none"/>
          <w:u w:val="single"/>
          <w:lang w:bidi="ar"/>
        </w:rPr>
        <w:t xml:space="preserve"> 以红线为界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关于发包人向承包人免费提供满足工程施工需要的场内道路和交通设施的约定：</w:t>
      </w:r>
      <w:r>
        <w:rPr>
          <w:rFonts w:hint="eastAsia" w:asciiTheme="minorEastAsia" w:hAnsiTheme="minorEastAsia" w:eastAsiaTheme="minorEastAsia" w:cstheme="minorEastAsia"/>
          <w:kern w:val="2"/>
          <w:sz w:val="24"/>
          <w:highlight w:val="none"/>
          <w:u w:val="single"/>
          <w:lang w:bidi="ar"/>
        </w:rPr>
        <w:t xml:space="preserve">由承包人自行解决，相关费用均已包含在合同总价中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1.10.4超大件和超重件的运输</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运输超大件或超重件所需的道路和桥梁临时加固改造费用和其他有关费用由</w:t>
      </w:r>
      <w:r>
        <w:rPr>
          <w:rFonts w:hint="eastAsia" w:asciiTheme="minorEastAsia" w:hAnsiTheme="minorEastAsia" w:eastAsiaTheme="minorEastAsia" w:cstheme="minorEastAsia"/>
          <w:kern w:val="2"/>
          <w:sz w:val="24"/>
          <w:highlight w:val="none"/>
          <w:u w:val="single"/>
          <w:lang w:bidi="ar"/>
        </w:rPr>
        <w:t xml:space="preserve"> 承包人 </w:t>
      </w:r>
      <w:r>
        <w:rPr>
          <w:rFonts w:hint="eastAsia" w:asciiTheme="minorEastAsia" w:hAnsiTheme="minorEastAsia" w:eastAsiaTheme="minorEastAsia" w:cstheme="minorEastAsia"/>
          <w:kern w:val="2"/>
          <w:sz w:val="24"/>
          <w:highlight w:val="none"/>
          <w:lang w:bidi="ar"/>
        </w:rPr>
        <w:t>承担。</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 知识产权</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kern w:val="2"/>
          <w:sz w:val="24"/>
          <w:highlight w:val="none"/>
          <w:u w:val="single"/>
          <w:lang w:bidi="ar"/>
        </w:rPr>
        <w:t>归发包人所有。承包人未经发包人同意不得将本工程图纸转给第三人，不得进行复制，不得向承包人以外的人泄露有关图纸内容。</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关于发包人提供的上述文件的使用限制的要求：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left="596" w:leftChars="28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1.11.2 关于承包人为实施工程所编制文件的著作权的归属：</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关于承包人提供的上述文件的使用限制的要求：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1.11.4 承包人在施工过程中所采用的专利、专有技术、技术秘密的使用费的承担方式：</w:t>
      </w:r>
      <w:r>
        <w:rPr>
          <w:rFonts w:hint="eastAsia" w:asciiTheme="minorEastAsia" w:hAnsiTheme="minorEastAsia" w:eastAsiaTheme="minorEastAsia" w:cstheme="minorEastAsia"/>
          <w:kern w:val="2"/>
          <w:sz w:val="24"/>
          <w:highlight w:val="none"/>
          <w:u w:val="single"/>
          <w:lang w:bidi="ar"/>
        </w:rPr>
        <w:t xml:space="preserve"> 由承包人承担，费用已包含在合同价中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1.13工程量清单错误的修正</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出现工程量清单错误时，是否调整合同价格：</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允许调整合同价格的工程量偏差范围：</w:t>
      </w:r>
      <w:r>
        <w:rPr>
          <w:rFonts w:hint="eastAsia" w:asciiTheme="minorEastAsia" w:hAnsiTheme="minorEastAsia" w:eastAsiaTheme="minorEastAsia" w:cstheme="minorEastAsia"/>
          <w:kern w:val="2"/>
          <w:sz w:val="24"/>
          <w:highlight w:val="none"/>
          <w:u w:val="single"/>
          <w:lang w:bidi="ar"/>
        </w:rPr>
        <w:t xml:space="preserve">  详见12.1款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 发包人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2.2 发包人代表</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发包人代表：</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身份证号：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职    务：</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发包人对发包人代表的授权范围如下：</w:t>
      </w:r>
      <w:r>
        <w:rPr>
          <w:rFonts w:hint="eastAsia" w:asciiTheme="minorEastAsia" w:hAnsiTheme="minorEastAsia" w:eastAsiaTheme="minorEastAsia" w:cstheme="minorEastAsia"/>
          <w:kern w:val="2"/>
          <w:sz w:val="24"/>
          <w:highlight w:val="none"/>
          <w:u w:val="single"/>
          <w:lang w:bidi="ar"/>
        </w:rPr>
        <w:t>代表发包方行使本合同约定的发包方的权力和监理人需要取得发包人批准的权力。</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 施工现场、施工条件和基础资料的提供</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2.4.1 提供施工现场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关于发包人移交施工现场的期限要求：</w:t>
      </w:r>
      <w:r>
        <w:rPr>
          <w:rFonts w:hint="eastAsia" w:asciiTheme="minorEastAsia" w:hAnsiTheme="minorEastAsia" w:eastAsiaTheme="minorEastAsia" w:cstheme="minorEastAsia"/>
          <w:kern w:val="2"/>
          <w:sz w:val="24"/>
          <w:highlight w:val="none"/>
          <w:u w:val="single"/>
          <w:lang w:bidi="ar"/>
        </w:rPr>
        <w:t>开工前三天。</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2.4.2 提供施工条件</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关于发包人应负责提供施工所需要的条件，包括：</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发包人于开工前办理好施工所需证件、批件（承包人自身资质证件除外）</w:t>
      </w:r>
      <w:r>
        <w:rPr>
          <w:rFonts w:hint="eastAsia" w:asciiTheme="minorEastAsia" w:hAnsiTheme="minorEastAsia" w:eastAsiaTheme="minorEastAsia" w:cstheme="minorEastAsia"/>
          <w:kern w:val="2"/>
          <w:sz w:val="24"/>
          <w:highlight w:val="none"/>
          <w:u w:val="single"/>
          <w:lang w:eastAsia="zh-TW" w:bidi="ar"/>
        </w:rPr>
        <w:t>。</w:t>
      </w:r>
      <w:r>
        <w:rPr>
          <w:rFonts w:hint="eastAsia" w:asciiTheme="minorEastAsia" w:hAnsiTheme="minorEastAsia" w:eastAsiaTheme="minorEastAsia" w:cstheme="minorEastAsia"/>
          <w:kern w:val="2"/>
          <w:sz w:val="24"/>
          <w:highlight w:val="none"/>
          <w:u w:val="single"/>
          <w:lang w:bidi="ar"/>
        </w:rPr>
        <w:t>施工过程中承包人不得因发包人前期手续而出现不进行施工准备、索赔、消极施工等情形，应积极配合，保证工程按计划进行，否则按违约处理。</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2.5 资金来源证明及支付担保</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发包人提供资金来源证明的期限要求：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发包人是否提供支付担保：</w:t>
      </w:r>
      <w:r>
        <w:rPr>
          <w:rFonts w:hint="eastAsia" w:asciiTheme="minorEastAsia" w:hAnsiTheme="minorEastAsia" w:eastAsiaTheme="minorEastAsia" w:cstheme="minorEastAsia"/>
          <w:kern w:val="2"/>
          <w:sz w:val="24"/>
          <w:highlight w:val="none"/>
          <w:u w:val="single"/>
          <w:lang w:bidi="ar"/>
        </w:rPr>
        <w:t xml:space="preserve"> 不提供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发包人提供支付担保的形式：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3. 承包人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3.1 承包人的一般义务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w:t>
      </w:r>
      <w:r>
        <w:rPr>
          <w:rFonts w:hint="eastAsia" w:asciiTheme="minorEastAsia" w:hAnsiTheme="minorEastAsia" w:eastAsiaTheme="minorEastAsia" w:cstheme="minorEastAsia"/>
          <w:kern w:val="2"/>
          <w:sz w:val="24"/>
          <w:highlight w:val="none"/>
          <w:lang w:bidi="ar"/>
        </w:rPr>
        <w:t>承包人提交的竣工资料的内容：</w:t>
      </w:r>
      <w:r>
        <w:rPr>
          <w:rFonts w:hint="eastAsia" w:asciiTheme="minorEastAsia" w:hAnsiTheme="minorEastAsia" w:eastAsiaTheme="minorEastAsia" w:cstheme="minorEastAsia"/>
          <w:kern w:val="2"/>
          <w:sz w:val="24"/>
          <w:highlight w:val="none"/>
          <w:u w:val="single"/>
          <w:lang w:bidi="ar"/>
        </w:rPr>
        <w:t xml:space="preserve"> 竣工图（施工中没有设计变更，施工后由承包人在发包人提供的施工图纸上加盖竣工图章，提交发包人；施工中对原设计中变更较多，原施工图难于作为竣工图，应由承包人组织重新绘制竣工图）、符合审计要求的竣工结算资料及其他资料。</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承包人需要提交的竣工资料形式要求和套数：</w:t>
      </w:r>
      <w:r>
        <w:rPr>
          <w:rFonts w:hint="eastAsia" w:asciiTheme="minorEastAsia" w:hAnsiTheme="minorEastAsia" w:eastAsiaTheme="minorEastAsia" w:cstheme="minorEastAsia"/>
          <w:kern w:val="2"/>
          <w:sz w:val="24"/>
          <w:highlight w:val="none"/>
          <w:u w:val="single"/>
          <w:lang w:bidi="ar"/>
        </w:rPr>
        <w:t xml:space="preserve"> 三套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承包人提交的竣工资料的费用承担：</w:t>
      </w:r>
      <w:r>
        <w:rPr>
          <w:rFonts w:hint="eastAsia" w:asciiTheme="minorEastAsia" w:hAnsiTheme="minorEastAsia" w:eastAsiaTheme="minorEastAsia" w:cstheme="minorEastAsia"/>
          <w:kern w:val="2"/>
          <w:sz w:val="24"/>
          <w:highlight w:val="none"/>
          <w:u w:val="single"/>
          <w:lang w:bidi="ar"/>
        </w:rPr>
        <w:t xml:space="preserve"> 由承包人承担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承包人提交的竣工资料移交时间：</w:t>
      </w:r>
      <w:r>
        <w:rPr>
          <w:rFonts w:hint="eastAsia" w:asciiTheme="minorEastAsia" w:hAnsiTheme="minorEastAsia" w:eastAsiaTheme="minorEastAsia" w:cstheme="minorEastAsia"/>
          <w:kern w:val="2"/>
          <w:sz w:val="24"/>
          <w:highlight w:val="none"/>
          <w:u w:val="single"/>
          <w:lang w:bidi="ar"/>
        </w:rPr>
        <w:t xml:space="preserve">  工程竣工验收合格之日算起28天内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承包人提交的竣工资料形式要求：</w:t>
      </w:r>
      <w:r>
        <w:rPr>
          <w:rFonts w:hint="eastAsia" w:asciiTheme="minorEastAsia" w:hAnsiTheme="minorEastAsia" w:eastAsiaTheme="minorEastAsia" w:cstheme="minorEastAsia"/>
          <w:kern w:val="2"/>
          <w:sz w:val="24"/>
          <w:highlight w:val="none"/>
          <w:u w:val="single"/>
          <w:lang w:bidi="ar"/>
        </w:rPr>
        <w:t>书面及电子文件形式，承包人提供的竣工图必须与实际相符合，否则由此对发包人所造成的所有损失由承包人承担。承包人提供的竣工图和资料必须经质量监督部门和城建档案部门验收合格。</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（2）承包人应履行的其他义务：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①承包人应按建设行政管理部门和相关部门的要求，在施工场地设置安全施工、防火宣传标牌、标语以及设施，组织专门的保卫和值班人员，坚持昼夜巡视、检查。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②承包人在进场前要制订对人员、机械设备的操作及安全用电等各方面的安全制度，增强全体施工人员的安全意识，落实安全责任，保证做到绝对安全。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③承包人应承担施工安全保卫工作及非夜间施工照明的所有责任，并承担费用。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④根据国家和工程所在地政府有关部门的规定，由承包人办理交通、环卫、环保手续，负责协调和处理因施工引起的周边地段民事纠纷，并承担由此发生的费用，包括因承包人责任造成的罚款。</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⑤施工过程中排污、环保、市容、消防、治安、人口管理等相关手续的办理以及因施工造成对临近居民的影响所引起的纠纷等，均由承包人负责协调处理。现场生活污水和生活垃圾必须定期清运，施工现场内雨水、废水、污水必须排入指定的排水沟或排水井内；保持道路畅通整洁。若污染城市道路和下水管网，则所造成的一切责任和后果均由承包人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⑥已完成工程成品在正式移交发包人前，由承包人负责保护，其费用由承包人承担。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⑦承包人有义务根据发包人提供的图纸及有关文件提出合理化建议，以及对于设计中存在的问题在施工之前提出；承包人须无条件接受发包人发出的设计变更，并按设计变更进行施工。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⑧承包人在竣工验收合格后七天内拆除现场所有临时设施，包括所有的机械设备、材料、建筑垃圾全部清运出现场，清理标准应征得发包人认可。否则如发生相关费用由发包人在工程竣工结算价款中扣除，并且承包人按1000元/天向发包人支付违约金。</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⑨施工场地清洁卫生的要求：按标准化施工现场要求办理，费用由承包人承担。若承包人现场施工作业面、办公区、生活区内清洁卫生满足不了文明施工要求，发包人有权安排其它单位或个人打扫，具体发生的费用从进度款中扣除。临设布置应满足 “市文明工地”的要求。</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3.2 项目经理</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3.2.1 </w:t>
      </w:r>
      <w:r>
        <w:rPr>
          <w:rFonts w:hint="eastAsia" w:asciiTheme="minorEastAsia" w:hAnsiTheme="minorEastAsia" w:eastAsiaTheme="minorEastAsia" w:cstheme="minorEastAsia"/>
          <w:kern w:val="2"/>
          <w:sz w:val="24"/>
          <w:highlight w:val="none"/>
          <w:lang w:bidi="ar"/>
        </w:rPr>
        <w:t>项目经理：</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身份证号：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建造师执业资格等级：</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建造师注册证书号：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建造师执业印章号：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安全生产考核合格证书号：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承包人对项目经理的授权范围如下：</w:t>
      </w:r>
      <w:r>
        <w:rPr>
          <w:rFonts w:hint="eastAsia" w:asciiTheme="minorEastAsia" w:hAnsiTheme="minorEastAsia" w:eastAsiaTheme="minorEastAsia" w:cstheme="minorEastAsia"/>
          <w:kern w:val="2"/>
          <w:sz w:val="24"/>
          <w:highlight w:val="none"/>
          <w:u w:val="single"/>
          <w:lang w:bidi="ar"/>
        </w:rPr>
        <w:t xml:space="preserve"> 全面履行本合同工程的施工管理职责，为工程参与各方做好协调和服务，在资金、技术、工程进度、质量、安全、环境保护、文明施工等合约目标范围向发包人直接负责</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关于项目经理每月在施工现场的时间要求：</w:t>
      </w:r>
      <w:r>
        <w:rPr>
          <w:rFonts w:hint="eastAsia" w:asciiTheme="minorEastAsia" w:hAnsiTheme="minorEastAsia" w:eastAsiaTheme="minorEastAsia" w:cstheme="minorEastAsia"/>
          <w:kern w:val="2"/>
          <w:sz w:val="24"/>
          <w:highlight w:val="none"/>
          <w:u w:val="single"/>
          <w:lang w:bidi="ar"/>
        </w:rPr>
        <w:t>项目经理保证出勤每周六天及以上，每月不少于26天并且每天在施工现场工作不少于8小时 ，每少一天向发包人支付2000元违约金，累计缺勤15天或连续缺勤5天，发包人有权终止合同，限令退场，已完成工程量不予结算，并由承包人承担由此发生的全部责任和损失。</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承包人未提交劳动合同，以及没有为项目经理缴纳社会保险证明的违约责任：</w:t>
      </w:r>
      <w:r>
        <w:rPr>
          <w:rFonts w:hint="eastAsia" w:asciiTheme="minorEastAsia" w:hAnsiTheme="minorEastAsia" w:eastAsiaTheme="minorEastAsia" w:cstheme="minorEastAsia"/>
          <w:kern w:val="2"/>
          <w:sz w:val="24"/>
          <w:highlight w:val="none"/>
          <w:u w:val="single"/>
          <w:lang w:bidi="ar"/>
        </w:rPr>
        <w:t xml:space="preserve"> 处以2000元罚款，责令限期提交劳动合同并补缴社会保险。</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项目经理未经批准，擅自离开施工现场的违约责任：</w:t>
      </w:r>
      <w:r>
        <w:rPr>
          <w:rFonts w:hint="eastAsia" w:asciiTheme="minorEastAsia" w:hAnsiTheme="minorEastAsia" w:eastAsiaTheme="minorEastAsia" w:cstheme="minorEastAsia"/>
          <w:kern w:val="2"/>
          <w:sz w:val="24"/>
          <w:highlight w:val="none"/>
          <w:u w:val="single"/>
          <w:lang w:bidi="ar"/>
        </w:rPr>
        <w:t>每少一天向发包人支付违约金2000元，累计缺勤15天或连续缺勤5天，发包人有权终止合同，限令退场，已完成工程量不予结算，并由承包人承担由此发生的全部责任和损失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3.2.3 承包人擅自更换项目经理的违约责任：</w:t>
      </w:r>
      <w:r>
        <w:rPr>
          <w:rFonts w:hint="eastAsia" w:asciiTheme="minorEastAsia" w:hAnsiTheme="minorEastAsia" w:eastAsiaTheme="minorEastAsia" w:cstheme="minorEastAsia"/>
          <w:kern w:val="2"/>
          <w:sz w:val="24"/>
          <w:highlight w:val="none"/>
          <w:u w:val="single"/>
          <w:lang w:bidi="ar"/>
        </w:rPr>
        <w:t xml:space="preserve">除责令停工整改外，并扣罚合同价的1%，同时发包人将依照《全国建筑市场注册执业人员不良行为记录认定标准》（建办市[2011]38号）和《建筑市场诚信行为信息管理办法》（建市[2007]9号）的要求，视情节可登录全国建筑市场诚信信息平台报送注册执业人员不良行为信息 </w:t>
      </w:r>
      <w:r>
        <w:rPr>
          <w:rFonts w:hint="eastAsia" w:asciiTheme="minorEastAsia" w:hAnsiTheme="minorEastAsia" w:eastAsiaTheme="minorEastAsia" w:cstheme="minorEastAsia"/>
          <w:kern w:val="2"/>
          <w:sz w:val="24"/>
          <w:highlight w:val="none"/>
          <w:lang w:bidi="ar"/>
        </w:rPr>
        <w:t>。</w:t>
      </w:r>
    </w:p>
    <w:p>
      <w:pPr>
        <w:spacing w:line="540" w:lineRule="exac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    3.2.4 承包人无正当理由拒绝更换项目经理的违约责任：</w:t>
      </w:r>
      <w:r>
        <w:rPr>
          <w:rFonts w:hint="eastAsia" w:asciiTheme="minorEastAsia" w:hAnsiTheme="minorEastAsia" w:eastAsiaTheme="minorEastAsia" w:cstheme="minorEastAsia"/>
          <w:kern w:val="2"/>
          <w:sz w:val="24"/>
          <w:highlight w:val="none"/>
          <w:u w:val="single"/>
          <w:lang w:bidi="ar"/>
        </w:rPr>
        <w:t>按更换每人次2000元向发包人支付违约金。</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3.3 承包人人员</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3.3.1 承包人提交项目管理机构及施工现场管理人员安排报告的期限：</w:t>
      </w:r>
      <w:r>
        <w:rPr>
          <w:rFonts w:hint="eastAsia" w:asciiTheme="minorEastAsia" w:hAnsiTheme="minorEastAsia" w:eastAsiaTheme="minorEastAsia" w:cstheme="minorEastAsia"/>
          <w:kern w:val="2"/>
          <w:sz w:val="24"/>
          <w:highlight w:val="none"/>
          <w:u w:val="single"/>
          <w:lang w:bidi="ar"/>
        </w:rPr>
        <w:t xml:space="preserve">                  施工合同签订前。</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3.3.3 承包人无正当理由拒绝撤换主要施工管理人员的违约责任：</w:t>
      </w:r>
      <w:r>
        <w:rPr>
          <w:rFonts w:hint="eastAsia" w:asciiTheme="minorEastAsia" w:hAnsiTheme="minorEastAsia" w:eastAsiaTheme="minorEastAsia" w:cstheme="minorEastAsia"/>
          <w:kern w:val="2"/>
          <w:sz w:val="24"/>
          <w:highlight w:val="none"/>
          <w:u w:val="single"/>
          <w:lang w:bidi="ar"/>
        </w:rPr>
        <w:t>在试用期间除责令撤换外，并向发包人支付1000元/人/天的违约金。</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3.3.4 承包人主要施工管理人员离开施工现场的批准要求：</w:t>
      </w:r>
      <w:r>
        <w:rPr>
          <w:rFonts w:hint="eastAsia" w:asciiTheme="minorEastAsia" w:hAnsiTheme="minorEastAsia" w:eastAsiaTheme="minorEastAsia" w:cstheme="minorEastAsia"/>
          <w:kern w:val="2"/>
          <w:sz w:val="24"/>
          <w:highlight w:val="none"/>
          <w:u w:val="single"/>
          <w:lang w:bidi="ar"/>
        </w:rPr>
        <w:t>须经发包人现场代表书面同意。</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3.3.5承包人擅自更换主要施工管理人员的违约责任：</w:t>
      </w:r>
      <w:r>
        <w:rPr>
          <w:rFonts w:hint="eastAsia" w:asciiTheme="minorEastAsia" w:hAnsiTheme="minorEastAsia" w:eastAsiaTheme="minorEastAsia" w:cstheme="minorEastAsia"/>
          <w:kern w:val="2"/>
          <w:sz w:val="24"/>
          <w:highlight w:val="none"/>
          <w:u w:val="single"/>
          <w:lang w:bidi="ar"/>
        </w:rPr>
        <w:t>在试用期结束且所有人员经发包人认可后,每更换一人，向发包人支付违约金2000元。</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承包人主要施工管理人员擅自离开施工现场的违约责任：</w:t>
      </w:r>
      <w:r>
        <w:rPr>
          <w:rFonts w:hint="eastAsia" w:asciiTheme="minorEastAsia" w:hAnsiTheme="minorEastAsia" w:eastAsiaTheme="minorEastAsia" w:cstheme="minorEastAsia"/>
          <w:kern w:val="2"/>
          <w:sz w:val="24"/>
          <w:highlight w:val="none"/>
          <w:u w:val="single"/>
          <w:lang w:bidi="ar"/>
        </w:rPr>
        <w:t>（1）试用期内管理人员到岗要求（含调整人员）：每周不少于6天，每天不少于8小时，否则按1000元/人/天向采购人支付违约金；</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（2）试用期后主要管理人员保证出勤每周六天及以上，每月不少于26天并且每天在施工现场工作不少于8小时 ，每少一天向发包人支付1500元/人违约金，擅自离开施工现场，每少一天向发包人支付1500元/人的违约金。</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 分包</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3.5.1 分包的一般约定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禁止分包的工程包括：</w:t>
      </w:r>
      <w:r>
        <w:rPr>
          <w:rFonts w:hint="eastAsia" w:asciiTheme="minorEastAsia" w:hAnsiTheme="minorEastAsia" w:eastAsiaTheme="minorEastAsia" w:cstheme="minorEastAsia"/>
          <w:kern w:val="2"/>
          <w:sz w:val="24"/>
          <w:highlight w:val="none"/>
          <w:u w:val="single"/>
          <w:lang w:bidi="ar"/>
        </w:rPr>
        <w:t>本工程不得违法分包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主体结构、关键性工作的范围：/     。</w:t>
      </w:r>
    </w:p>
    <w:p>
      <w:pPr>
        <w:spacing w:line="5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3.5.2分包的确定</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允许分包的专业工程包括：</w:t>
      </w:r>
      <w:r>
        <w:rPr>
          <w:rFonts w:hint="eastAsia" w:asciiTheme="minorEastAsia" w:hAnsiTheme="minorEastAsia" w:eastAsiaTheme="minorEastAsia" w:cstheme="minorEastAsia"/>
          <w:kern w:val="2"/>
          <w:sz w:val="24"/>
          <w:highlight w:val="none"/>
          <w:u w:val="single"/>
          <w:lang w:bidi="ar"/>
        </w:rPr>
        <w:t xml:space="preserve">《房屋建筑和市政基础设施工程施工分包管理办法》（建设部令2004年第124号）、《关于修改&lt;房屋建筑和市政基础设施工程施工分包管理办法&gt;的决定》（建设部令2014年第19号）文件中规定允许分包的专业工程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其他关于分包的约定：</w:t>
      </w:r>
      <w:r>
        <w:rPr>
          <w:rFonts w:hint="eastAsia" w:asciiTheme="minorEastAsia" w:hAnsiTheme="minorEastAsia" w:eastAsiaTheme="minorEastAsia" w:cstheme="minorEastAsia"/>
          <w:kern w:val="2"/>
          <w:sz w:val="24"/>
          <w:highlight w:val="none"/>
          <w:u w:val="single"/>
          <w:lang w:bidi="ar"/>
        </w:rPr>
        <w:t>承包人分包工程必须经发包人批准，不得隐瞒实际情况，否则，一经查出，发包人有权解除本合同，完成的工程量不予结算，所造成的责任与损失均由承包人承担，并经政府有关部门认定后，将严格按照国家有关法律、法规和政府的有关规定给予处罚，给发包人造成经济损失时，承包人承担全额赔偿责任 。</w:t>
      </w:r>
    </w:p>
    <w:p>
      <w:pPr>
        <w:spacing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发包人的上述行为，仅作为发包人对确定工程分包人采取的监督措施，不构成发包人与分包人建立合同关系的事实和后果。</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3.5.4 分包合同价款</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关于分包合同价款支付的约定：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3.6 工程照管与成品、半成品保护</w:t>
      </w:r>
    </w:p>
    <w:p>
      <w:pPr>
        <w:spacing w:before="120"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承包人负责照管工程及工程相关的材料、工程设备的起始时间：</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3.7 履约担保</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承包人是否提供履约担保：</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承包人提供履约担保的金额及期限的约定：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①形式：银行转帐（须从基本帐户开户行出具）；</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②金额：履约保证金为合同价的10%，计 万元，其中工期履约保证金为合同价的1%，计   万元；质量履约保证金为合同价的2%，计  万元；安全文明履约保证金为合同价的1.5%，计   万元；竣工资料履约保证金为合同价的0.5%，计   万元。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③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④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⑤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4. 监理人</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4.1监理人的一般规定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关于监理人的监理内容：</w:t>
      </w:r>
      <w:r>
        <w:rPr>
          <w:rFonts w:hint="eastAsia" w:asciiTheme="minorEastAsia" w:hAnsiTheme="minorEastAsia" w:eastAsiaTheme="minorEastAsia" w:cstheme="minorEastAsia"/>
          <w:kern w:val="2"/>
          <w:sz w:val="24"/>
          <w:highlight w:val="none"/>
          <w:u w:val="single"/>
          <w:lang w:bidi="ar"/>
        </w:rPr>
        <w:t xml:space="preserve">  详见《委托监理合同》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关于监理人的监理权限：</w:t>
      </w:r>
      <w:r>
        <w:rPr>
          <w:rFonts w:hint="eastAsia" w:asciiTheme="minorEastAsia" w:hAnsiTheme="minorEastAsia" w:eastAsiaTheme="minorEastAsia" w:cstheme="minorEastAsia"/>
          <w:kern w:val="2"/>
          <w:sz w:val="24"/>
          <w:highlight w:val="none"/>
          <w:u w:val="single"/>
          <w:lang w:bidi="ar"/>
        </w:rPr>
        <w:t xml:space="preserve">  详见《授权委托声明》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关于监理人在施工现场的办公场所、生活场所的提供和费用承担的约定：</w:t>
      </w:r>
      <w:r>
        <w:rPr>
          <w:rFonts w:hint="eastAsia" w:asciiTheme="minorEastAsia" w:hAnsiTheme="minorEastAsia" w:eastAsiaTheme="minorEastAsia" w:cstheme="minorEastAsia"/>
          <w:kern w:val="2"/>
          <w:sz w:val="24"/>
          <w:highlight w:val="none"/>
          <w:u w:val="single"/>
          <w:lang w:bidi="ar"/>
        </w:rPr>
        <w:t xml:space="preserve">  由监理人自行解决，费用由其自行承担</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4.2 监理人员</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总监理工程师：</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姓    名：</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职    务：</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监理工程师执业资格证书号：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联系电话：</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电子信箱：</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通信地址：</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关于监理人的其他约定：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4.4 商定或确定</w:t>
      </w:r>
    </w:p>
    <w:p>
      <w:pPr>
        <w:spacing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在发包人和承包人不能通过协商达成一致意见时，发包人授权监理人对以下事项进行确定：</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5. 工程质量</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5.1 质量要求</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5.1.1 特殊质量标准和要求：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关于工程奖项的约定：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5.2 质量要求</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5.2.2 </w:t>
      </w:r>
      <w:r>
        <w:rPr>
          <w:rFonts w:hint="eastAsia" w:asciiTheme="minorEastAsia" w:hAnsiTheme="minorEastAsia" w:eastAsiaTheme="minorEastAsia" w:cstheme="minorEastAsia"/>
          <w:kern w:val="2"/>
          <w:sz w:val="24"/>
          <w:highlight w:val="none"/>
          <w:u w:val="single"/>
          <w:lang w:bidi="ar"/>
        </w:rPr>
        <w:t>发包人对承包人所采购材料设备的要求：</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本工程的所有材料，均由承包人按设计文件及规范要求自行采购和保管，并保证产品质保书或出厂合格证齐全；承包人承诺严格执行国家《建筑法》、《建设工程质量管理条例》等法律法规以及江苏省建设厅的相关规定，按照工程设计要求、施工技术标准和合同约定，对建筑材料进行有关必要的检验或试验，合格后方可使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必须在监理人现场见证的情况下取样、封样和送样，样品须送至发包人指定的试验检测机构进行检测，否则不予认可。发包人根据检测机构的试验合格报告，支付一次检测费用；试验不合格的，检验或试验费用由承包人承担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承包人根据规范和合同约定进行的上述检测，与发包人对工程质量的检测不应混同，做到独立、平行检测，各自履行自己的义务</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承包人必须对所有进场材料（如有甲供，包括甲供材料）按规定严格把关，如因材料问题出现质量或安全事故，或者由材料问题引发的其它质量或安全事故，概由承包人负全责，并赔偿发包人全部损失。</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发包人或监理人对材料检测结果的认可，只是履行监督的形式审查，不得理解为对本合同义务的修改或变更，也并不减轻或免除承包人的任何责任和义务。</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5.3 隐蔽工程检查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5.3.2承包人提前通知监理人隐蔽工程检查的期限的约定：</w:t>
      </w:r>
      <w:r>
        <w:rPr>
          <w:rFonts w:hint="eastAsia" w:asciiTheme="minorEastAsia" w:hAnsiTheme="minorEastAsia" w:eastAsiaTheme="minorEastAsia" w:cstheme="minorEastAsia"/>
          <w:kern w:val="2"/>
          <w:sz w:val="24"/>
          <w:highlight w:val="none"/>
          <w:u w:val="single"/>
          <w:lang w:bidi="ar"/>
        </w:rPr>
        <w:t>未经监理批准，工程的任何部位都不能覆盖，在得到监理的书面认可后方可覆盖。</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监理人不能按时进行检查时，应提前</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小时提交书面延期要求。</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关于延期最长不得超过：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6. 安全文明施工与环境保护</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6.1安全文明施工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6.1.1 项目安全生产的达标目标及相应事项的约定：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承包人应严格按《建设工程安全生产管理条例》等法律法规采取安全措施组织施工，并对施工现场的安全生产负总责。如发生事故，责任概由承包人承担。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承包人在工地现场必须配备专职安全员，安全员应当经建设局或者其他有关部门考核合格后方可任职。</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在施工组织设计中必须编制专项安全技术措施和施工现场临时用电方案，对下列达到一定规模的危险性较大的分部分项工程编制专项施工方案，并附具安全验算结果，经施工单位技术负责人、总监理工程师审核签字后实施，由专职安全员进行现场监督：基坑支护与降水工程；土方开挖工程；模板工程；起重吊装工程；脚手架工程；拆除、爆破工程；国务院建设行政主管部门或者其他有关部门规定的其他危险性较大的工程。承包人应严格执行《危险性较大的分部分项工程安全管理办法》（建质[2009]87号）及《南通市市本级城建工程安全文明施工管理办法（试行）》（通城建指[2011]6号）。</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工程施工前，承包人负责项目管理的技术人员应当对有关安全施工的技术要求向施工作业班组、作业人员作出书面交底及详细说明，并由双方签字确认。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承包人使用的安全防护用具、机械设备、施工机具及配件，应当具有生产（制造）许可证、产品合格证，并在进入施工现场前进行查验，经监理工程师审查签字确认后方可使用。</w:t>
      </w:r>
    </w:p>
    <w:p>
      <w:pPr>
        <w:spacing w:line="540" w:lineRule="exact"/>
        <w:ind w:firstLine="480" w:firstLineChars="200"/>
        <w:jc w:val="left"/>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kern w:val="2"/>
          <w:sz w:val="24"/>
          <w:highlight w:val="none"/>
          <w:u w:val="single"/>
          <w:lang w:bidi="ar"/>
        </w:rPr>
        <w:t>特种作业人员必须持证上岗，监理人可以随时检查。</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对因建设工程施工可能造成损害的毗邻建筑物、构筑物和地下管线等，应当采取专项防护措施。承包人应当遵守有关环境保护法律、法规的规定，在施工现场采取措施，防止或者减少粉尘、废气、废水、固体废物、噪声、振动和施工照明对人和环境的危害和污染。</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本工程生活区和办公区如果采用活动板房搭设的，须严格执行《建设工程施工现场消防安全技术规范》以及南通市建设安全生产监督站《关于加强建设工程施工现场活动板房安全管理的通知》（通建安监[2011]17号）等规定，其中板材及顶棚的夹芯材料必须全部采用不燃材料，并送检测机构进行燃烧性能检测，达到不燃级别方可使用。该材料的检测由承包人自行委托，费用已在合同价中。</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在施工期间，由于承包人原因造成的任何事故，承包人须承担全部责任以及由此引起的一切损失，发包人不承担任何责任。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6.1.4 </w:t>
      </w:r>
      <w:r>
        <w:rPr>
          <w:rFonts w:hint="eastAsia" w:asciiTheme="minorEastAsia" w:hAnsiTheme="minorEastAsia" w:eastAsiaTheme="minorEastAsia" w:cstheme="minorEastAsia"/>
          <w:kern w:val="2"/>
          <w:sz w:val="24"/>
          <w:highlight w:val="none"/>
          <w:u w:val="single"/>
          <w:lang w:bidi="ar"/>
        </w:rPr>
        <w:t>关于治安保卫的特别约定：由承包人负责建立施工现场的治安联防组，落实并实施施工场地的治安保卫工作，并对此负全责。发包人可不定期对其治安保卫工作进行监督检查。</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关于编制施工场地治安管理计划的约定：由承包人具体负责编制施工场地治安管理计划，制定应对突发治安事件的紧急预案，在开工前7天提供，并应得到发包人和监理方的认可。</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前述发包人对承包人治安计划的认可及对其施工现场治安保卫工作的监督，不得理解为对本合同约定的变更，也不得减轻或免除承包人的任何责任和义务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6.1.5 文明施工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合同当事人对文明施工的要求：</w:t>
      </w:r>
      <w:r>
        <w:rPr>
          <w:rFonts w:hint="eastAsia" w:asciiTheme="minorEastAsia" w:hAnsiTheme="minorEastAsia" w:eastAsiaTheme="minorEastAsia" w:cstheme="minorEastAsia"/>
          <w:kern w:val="2"/>
          <w:sz w:val="24"/>
          <w:highlight w:val="none"/>
          <w:u w:val="single"/>
          <w:lang w:bidi="ar"/>
        </w:rPr>
        <w:t xml:space="preserve"> 承包人应满足标准化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6.1.6 关于安全文明施工费支付比例和支付期限的约定：</w:t>
      </w:r>
      <w:r>
        <w:rPr>
          <w:rFonts w:hint="eastAsia" w:asciiTheme="minorEastAsia" w:hAnsiTheme="minorEastAsia" w:eastAsiaTheme="minorEastAsia" w:cstheme="minorEastAsia"/>
          <w:kern w:val="2"/>
          <w:sz w:val="24"/>
          <w:highlight w:val="none"/>
          <w:u w:val="singl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7. 工期和进度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7.1 施工组织设计</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7.1.1 合</w:t>
      </w:r>
      <w:r>
        <w:rPr>
          <w:rFonts w:hint="eastAsia" w:asciiTheme="minorEastAsia" w:hAnsiTheme="minorEastAsia" w:eastAsiaTheme="minorEastAsia" w:cstheme="minorEastAsia"/>
          <w:sz w:val="24"/>
          <w:highlight w:val="none"/>
          <w:lang w:bidi="ar"/>
        </w:rPr>
        <w:t>同当事人约定的施工组织设计应包括的其他内容：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7.1.2 </w:t>
      </w:r>
      <w:r>
        <w:rPr>
          <w:rFonts w:hint="eastAsia" w:asciiTheme="minorEastAsia" w:hAnsiTheme="minorEastAsia" w:eastAsiaTheme="minorEastAsia" w:cstheme="minorEastAsia"/>
          <w:sz w:val="24"/>
          <w:highlight w:val="none"/>
          <w:lang w:bidi="ar"/>
        </w:rPr>
        <w:t>施工组织设计的提交和修改</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承包人提交详细施工组织设计的期限的约定：</w:t>
      </w:r>
      <w:r>
        <w:rPr>
          <w:rFonts w:hint="eastAsia" w:asciiTheme="minorEastAsia" w:hAnsiTheme="minorEastAsia" w:eastAsiaTheme="minorEastAsia" w:cstheme="minorEastAsia"/>
          <w:kern w:val="2"/>
          <w:sz w:val="24"/>
          <w:highlight w:val="none"/>
          <w:u w:val="single"/>
          <w:lang w:bidi="ar"/>
        </w:rPr>
        <w:t xml:space="preserve"> 工程开工后10天内提交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发包人委托的</w:t>
      </w:r>
      <w:r>
        <w:rPr>
          <w:rFonts w:hint="eastAsia" w:asciiTheme="minorEastAsia" w:hAnsiTheme="minorEastAsia" w:eastAsiaTheme="minorEastAsia" w:cstheme="minorEastAsia"/>
          <w:kern w:val="2"/>
          <w:sz w:val="24"/>
          <w:highlight w:val="none"/>
          <w:lang w:bidi="ar"/>
        </w:rPr>
        <w:t>监理人在收到详细的施工组织设计后确认或提出修改意见的期限：</w:t>
      </w:r>
      <w:r>
        <w:rPr>
          <w:rFonts w:hint="eastAsia" w:asciiTheme="minorEastAsia" w:hAnsiTheme="minorEastAsia" w:eastAsiaTheme="minorEastAsia" w:cstheme="minorEastAsia"/>
          <w:kern w:val="2"/>
          <w:sz w:val="24"/>
          <w:highlight w:val="none"/>
          <w:u w:val="single"/>
          <w:lang w:bidi="ar"/>
        </w:rPr>
        <w:t xml:space="preserve"> 7天内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7.2 施工进度计划</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7.2.2 施工进度计划的修订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发包人委托的</w:t>
      </w:r>
      <w:r>
        <w:rPr>
          <w:rFonts w:hint="eastAsia" w:asciiTheme="minorEastAsia" w:hAnsiTheme="minorEastAsia" w:eastAsiaTheme="minorEastAsia" w:cstheme="minorEastAsia"/>
          <w:kern w:val="2"/>
          <w:sz w:val="24"/>
          <w:highlight w:val="none"/>
          <w:lang w:bidi="ar"/>
        </w:rPr>
        <w:t>监理人在收到修订的施工进度计划后确认或提出修改意见的期限：</w:t>
      </w:r>
      <w:r>
        <w:rPr>
          <w:rFonts w:hint="eastAsia" w:asciiTheme="minorEastAsia" w:hAnsiTheme="minorEastAsia" w:eastAsiaTheme="minorEastAsia" w:cstheme="minorEastAsia"/>
          <w:kern w:val="2"/>
          <w:sz w:val="24"/>
          <w:highlight w:val="none"/>
          <w:u w:val="single"/>
          <w:lang w:bidi="ar"/>
        </w:rPr>
        <w:t xml:space="preserve"> 7天内</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 开工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7.3.1 开工准备</w:t>
      </w:r>
    </w:p>
    <w:p>
      <w:pPr>
        <w:spacing w:line="540" w:lineRule="exact"/>
        <w:ind w:firstLine="645"/>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关于承包人提交</w:t>
      </w:r>
      <w:r>
        <w:rPr>
          <w:rFonts w:hint="eastAsia" w:asciiTheme="minorEastAsia" w:hAnsiTheme="minorEastAsia" w:eastAsiaTheme="minorEastAsia" w:cstheme="minorEastAsia"/>
          <w:sz w:val="24"/>
          <w:highlight w:val="none"/>
          <w:lang w:bidi="ar"/>
        </w:rPr>
        <w:t>工程开工报审表的期限：</w:t>
      </w:r>
      <w:r>
        <w:rPr>
          <w:rFonts w:hint="eastAsia" w:asciiTheme="minorEastAsia" w:hAnsiTheme="minorEastAsia" w:eastAsiaTheme="minorEastAsia" w:cstheme="minorEastAsia"/>
          <w:kern w:val="2"/>
          <w:sz w:val="24"/>
          <w:highlight w:val="none"/>
          <w:u w:val="single"/>
          <w:lang w:bidi="ar"/>
        </w:rPr>
        <w:t>开工前7天内提交</w:t>
      </w:r>
      <w:r>
        <w:rPr>
          <w:rFonts w:hint="eastAsia" w:asciiTheme="minorEastAsia" w:hAnsiTheme="minorEastAsia" w:eastAsiaTheme="minorEastAsia" w:cstheme="minorEastAsia"/>
          <w:kern w:val="2"/>
          <w:sz w:val="24"/>
          <w:highlight w:val="none"/>
          <w:lang w:bidi="ar"/>
        </w:rPr>
        <w:t>。</w:t>
      </w:r>
    </w:p>
    <w:p>
      <w:pPr>
        <w:spacing w:line="540" w:lineRule="exact"/>
        <w:ind w:firstLine="64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关于发包人应完成的其他开工准备工作及期限：</w:t>
      </w:r>
      <w:r>
        <w:rPr>
          <w:rFonts w:hint="eastAsia" w:asciiTheme="minorEastAsia" w:hAnsiTheme="minorEastAsia" w:eastAsiaTheme="minorEastAsia" w:cstheme="minorEastAsia"/>
          <w:kern w:val="2"/>
          <w:sz w:val="24"/>
          <w:highlight w:val="none"/>
          <w:u w:val="single"/>
          <w:lang w:bidi="ar"/>
        </w:rPr>
        <w:t xml:space="preserve">在辖区政府完成征地拆迁后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关于承包人应完成的其他开工准备工作及期限：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7.3.2开工通知</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因发包人原因造成承包人未能在计划开工日期之日起</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kern w:val="2"/>
          <w:sz w:val="24"/>
          <w:highlight w:val="none"/>
          <w:u w:val="single"/>
          <w:lang w:bidi="ar"/>
        </w:rPr>
        <w:t>90</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天内发出开工通知的，承包人有权提出价格调整要求，或者解除合同。</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7.4 测量放线</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7.4.1发包人通过监理人向承包人提供测量基准点、基准线和水准点及其书面资料的期限：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 工期延误</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7.5.1 因发包人原因导致工期延误</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（7）因发包人原因导致工期延误的其他情形：</w:t>
      </w:r>
      <w:r>
        <w:rPr>
          <w:rFonts w:hint="eastAsia" w:asciiTheme="minorEastAsia" w:hAnsiTheme="minorEastAsia" w:eastAsiaTheme="minorEastAsia" w:cstheme="minorEastAsia"/>
          <w:kern w:val="2"/>
          <w:sz w:val="24"/>
          <w:highlight w:val="none"/>
          <w:u w:val="single"/>
          <w:lang w:bidi="ar"/>
        </w:rPr>
        <w:t>①因发包人未在开工前提供施工场地，提供图纸；②因发包人原因造成工程延期开工、停建、缓建、暂停施工（不含勒令停工）；③因发包人原因提出的单次设计变更导致工程量增加超过合同总价的8%以上的；④由市级以上有关部门正式发布和认定的自然灾害。</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上述情况发生后，承包人须就延误的内容，向发包人提交书面报告办理延期手续，经发包人批准后方可顺延工期，否则工期不予顺延。</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因发包人原因导致工期延误，不论工期是否顺延，承包人不得向发包人主张相应的误工、窝工等费用赔偿。</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7.5.2 因承包人原因导致工期延误</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因承包人原因造成工期延误，逾期竣工违约金的计算方法为：</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发生其他不可抗力因素影响工期，造成工期延长的，承包人需办理延期手续，批准后方可顺延工期。因承包人原因，若某个节点工程未按计划完成，除工期履约保证金不予退还外，超过五天不超过十五天的，延期一天按该工程总价的0.5‰作为违约金支付给发包人；超过十五天以外（含十五天）每天按该工程总价的1‰向发包人支付违约金，如在下个节点前赶回工期，发包人可返还所扣上个节点违约金的70%。</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因承包人原因造成工期延误，逾期竣工违约金的上限：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因发包人原因导致的工期延误承包人自愿放弃索赔权利。</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7.6 不利物质条件</w:t>
      </w:r>
    </w:p>
    <w:p>
      <w:pPr>
        <w:spacing w:after="120" w:line="540" w:lineRule="exact"/>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不利物质条件的其他情形和有关约定：</w:t>
      </w:r>
      <w:r>
        <w:rPr>
          <w:rFonts w:hint="eastAsia" w:asciiTheme="minorEastAsia" w:hAnsiTheme="minorEastAsia" w:eastAsiaTheme="minorEastAsia" w:cstheme="minorEastAsia"/>
          <w:kern w:val="2"/>
          <w:sz w:val="24"/>
          <w:highlight w:val="none"/>
          <w:u w:val="single"/>
          <w:lang w:bidi="ar"/>
        </w:rPr>
        <w:t>不利物质条件的其他情形包括停水、停电、节假日、扰民和民扰、市政影响等不利因素及发包人分包工程的影响，因此施工过程中除本合同7.5.1规定的情况外，不管发生任何情况，均不顺延工期。</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因不利物质条件影响承包人施工的，不论工期是否顺延，承包人不得据此向发包人主张相应的误工、窝工等费用赔偿。</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7.7异常恶劣的气候条件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发包人和承包人同意以下情形视为异常恶劣的气候条件：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7.9 提前竣工的奖励</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7.9.2提前竣工的奖励：</w:t>
      </w:r>
      <w:r>
        <w:rPr>
          <w:rFonts w:hint="eastAsia" w:asciiTheme="minorEastAsia" w:hAnsiTheme="minorEastAsia" w:eastAsiaTheme="minorEastAsia" w:cstheme="minorEastAsia"/>
          <w:kern w:val="2"/>
          <w:sz w:val="24"/>
          <w:highlight w:val="none"/>
          <w:u w:val="single"/>
          <w:lang w:bidi="ar"/>
        </w:rPr>
        <w:t xml:space="preserve">  不设提前竣工奖  </w:t>
      </w:r>
      <w:r>
        <w:rPr>
          <w:rFonts w:hint="eastAsia" w:asciiTheme="minorEastAsia" w:hAnsiTheme="minorEastAsia" w:eastAsiaTheme="minorEastAsia" w:cstheme="minorEastAsia"/>
          <w:kern w:val="2"/>
          <w:sz w:val="24"/>
          <w:highlight w:val="none"/>
          <w:lang w:bidi="ar"/>
        </w:rPr>
        <w:t>。</w:t>
      </w:r>
    </w:p>
    <w:p>
      <w:pPr>
        <w:pStyle w:val="6"/>
        <w:widowControl/>
        <w:numPr>
          <w:ilvl w:val="0"/>
          <w:numId w:val="8"/>
        </w:numPr>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材料与设备</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  8.2承包人采购材料与工程设备</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（3）发包人在招标时指定品牌和厂家的材料，承包人在实际采购前，必须由发包人和监理认质认生产厂家后方可采购。代用材料时，须经发包人认可。</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（4）发包人和监理人有权对承包人提供的材料和设备进行抽检，对不符合设计要求及验收规范的材料和设备，有权终止使用，发生的一切损失和费用由承包人承担，由此延误的工期不予顺延。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5）发包人和监理工程师对材料的决定或认可并不解除承包人应负的质量、工期的责任，也不免除承包人对材料应负的责任。承包人采购的材料与设计或规范要求不符时，承包人应按监理工程师要求的时间运出施工场地。重新采购符合要求的产品，承担由此发生的费用，由此延误的工期不予顺延。</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（6）招标时暂定价和认质认价材料发包人保留甲供或另行发包权利。</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7）承包人对专业分包单位采购的材料，承包人应该对各种材料、器材、设备按规范进行检查，拒绝不符合要求的材料、器材、设备用于工程。无论何种原因，承包人在工程中使用不合格材料，除更换合格材料外，质量保证金不予退还，另向发包人支付2000元/次的违约金。 </w:t>
      </w:r>
      <w:r>
        <w:rPr>
          <w:rFonts w:hint="eastAsia" w:asciiTheme="minorEastAsia" w:hAnsiTheme="minorEastAsia" w:eastAsiaTheme="minorEastAsia" w:cstheme="minorEastAsia"/>
          <w:kern w:val="2"/>
          <w:sz w:val="24"/>
          <w:highlight w:val="none"/>
          <w:u w:val="single"/>
          <w:lang w:bidi="ar"/>
        </w:rPr>
        <w:br w:type="textWrapping"/>
      </w:r>
      <w:r>
        <w:rPr>
          <w:rFonts w:hint="eastAsia" w:asciiTheme="minorEastAsia" w:hAnsiTheme="minorEastAsia" w:eastAsiaTheme="minorEastAsia" w:cstheme="minorEastAsia"/>
          <w:kern w:val="2"/>
          <w:sz w:val="24"/>
          <w:highlight w:val="none"/>
          <w:u w:val="single"/>
          <w:lang w:bidi="ar"/>
        </w:rPr>
        <w:t xml:space="preserve">  （8）发包人保留材料/设备在推荐品牌中选用任一品牌的权力，但价格不作调整。若承包人表示发包人选用的材料/设备品牌无法采购，发包人可扣除该部分材料/设备的价格，材料/设备由发包人供应。扣除部分材料/设备的价格按照招标控制价的价格。</w:t>
      </w:r>
    </w:p>
    <w:p>
      <w:pPr>
        <w:rPr>
          <w:rFonts w:asciiTheme="minorEastAsia" w:hAnsiTheme="minorEastAsia" w:eastAsiaTheme="minorEastAsia" w:cstheme="minorEastAsia"/>
          <w:sz w:val="24"/>
          <w:highlight w:val="none"/>
        </w:rPr>
      </w:pP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8.4材料与工程设备的保管与使用</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8.4.1发包人供应的材料设备的保管费用的承担：</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8.6 样品</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8.6.1</w:t>
      </w:r>
      <w:r>
        <w:rPr>
          <w:rFonts w:hint="eastAsia" w:asciiTheme="minorEastAsia" w:hAnsiTheme="minorEastAsia" w:eastAsiaTheme="minorEastAsia" w:cstheme="minorEastAsia"/>
          <w:sz w:val="24"/>
          <w:highlight w:val="none"/>
          <w:lang w:bidi="ar"/>
        </w:rPr>
        <w:tab/>
      </w:r>
      <w:r>
        <w:rPr>
          <w:rFonts w:hint="eastAsia" w:asciiTheme="minorEastAsia" w:hAnsiTheme="minorEastAsia" w:eastAsiaTheme="minorEastAsia" w:cstheme="minorEastAsia"/>
          <w:sz w:val="24"/>
          <w:highlight w:val="none"/>
          <w:lang w:bidi="ar"/>
        </w:rPr>
        <w:t>样品的报送与封存</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需要承包人报送样品的材料或工程设备，样品的种类、名称、规格、数量要求：</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8.8 施工设备和临时设施</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8.8.1 承包人提供的施工设备和临时设施</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关于修建临时设施费用承担的约定：</w:t>
      </w:r>
      <w:r>
        <w:rPr>
          <w:rFonts w:hint="eastAsia" w:asciiTheme="minorEastAsia" w:hAnsiTheme="minorEastAsia" w:eastAsiaTheme="minorEastAsia" w:cstheme="minorEastAsia"/>
          <w:kern w:val="2"/>
          <w:sz w:val="24"/>
          <w:highlight w:val="none"/>
          <w:u w:val="single"/>
          <w:lang w:bidi="ar"/>
        </w:rPr>
        <w:t xml:space="preserve"> 由承包人自行修建，费用已在合同价中（包括临时占地费）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9. 试验与检验</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9.1试验设备与试验人员</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9.1.2 试验设备</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施工现场需要配置的试验场所：</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施工现场需要配备的试验设备：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施工现场需要具备的其他试验条件：</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9.4 现场工艺试验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现场工艺试验的有关约定：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10. 变更</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10.1变更的范围</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关于变更的范围的约定：</w:t>
      </w:r>
      <w:r>
        <w:rPr>
          <w:rFonts w:hint="eastAsia" w:asciiTheme="minorEastAsia" w:hAnsiTheme="minorEastAsia" w:eastAsiaTheme="minorEastAsia" w:cstheme="minorEastAsia"/>
          <w:kern w:val="2"/>
          <w:sz w:val="24"/>
          <w:highlight w:val="none"/>
          <w:u w:val="single"/>
          <w:lang w:bidi="ar"/>
        </w:rPr>
        <w:t>承包人不得随意更改设计，因承包人自身原因导致的工程变更，承包人无权要求追加合同价款。发包人要求变更的按下列方式处理：</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10.1.3承包人报送的变更签证费用计算书必须按照每份变更、签证通知单编制，发包人不接受承包人以汇总方式编制的多项变更、签证事项的计算书。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10.1.4特急变更签证的实施以发包人工程部负责人或派驻的工程师签字为依据，承包人可事先就计价方式或价格与发包人协商一致。但实施后10日内，双方必须办理相关手续，方可作为结算依据；</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10.1.5关于临时用工的签证事项，双方应在签证通知单上协商确定以下问题：工作内容及工作量、工作时间、工作人数、取定的人工单价（是综合单价，已含管理费和利润）；</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10.1.6当变更、签证的工作内容完成之后，承包人要及时督促监理人和发包人派驻的工程师在完工后7日内签字确认，否则发包人可以不予支付费用。对于隐蔽工程和事后无法计算工程量的变更和签证，必须在覆盖或拆除前，会同监理人、发包人派驻的工程师、发包人工程部负责人共同完成工程量的确认和费用谈判，否则发包人可以不计价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10.1.7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分部分项工程和单价措施项目清单与计价表，总价措施项目清单与计价表、其他项目清单与计价汇总表等；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10.1.8合同履约中，发包、承包双方填制的变更、签证通知单都应使用发包人统一发放的标准表格，否则发包人可以不予审核费用，承包人可以不予接受。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10.4 变更估价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10.4.1 变更估价原则</w:t>
      </w:r>
    </w:p>
    <w:p>
      <w:pPr>
        <w:widowControl/>
        <w:snapToGri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 xml:space="preserve">关于变更估价的约定: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因工程变更引起已标价的工程量清单项目或其数量发生变化时，按照下列规定调整：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（1）已标价的工程量清单中有适用于变更工程项目的，按报价时的综合单价；但当工程变更导致该项目的工程数量发生变化，且工程量偏差超过15%时，按以下方式进行调整：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①当Q1＞1.15Q0 时：S=1.15Q0 ×P0 +( Q1-1.15Q0) ×P1；</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②当Q1＜0.85Q0 时：S= Q1×P1；</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式中S—调整后的某一分部分项工程费结算价；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Q1—最终完成的工程量；</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Q0—招标工程量清单中列出的工程量；</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P1—按照最终完成工程量重新调整后的综合单价；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P0—承包人在工程量清单中填报的综合单价。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P1的确定方法：</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①当P0＜P2×（1-L）×（1-15%）时，该类项目的综合单价：P1按照P2×（1-L）×（1-15%）调整；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②当P0＞P2×（1+15%）时，该类项目的综合单价：P1按照P2×（1+15%）调整。</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式中P0—承包人在工程量清单中填报的综合单价；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P2—发包人招标控制价相应项目的综合单价；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     L—（1-中标价/招标控制价）×100%。</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（2）已标价工程量清单中有适用于变更工程项目的，应采用该项目的单价；已标价工程量清单中没有适用但有类似于变更工程项目的，则在合理范围内参照类似项目的单价。</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已标价工程量清单中没有适用也没有类似于变更项目的，应由承包人根据变更工程资料、工程量清单计量依据《建设工程工程量清单计价规范》（GB50500-2013）；《江苏省建设工程费用定额》（2014）；《江苏省建设工程量清单计价项目指引》、《江苏省建筑与装饰工程计价表》2014版；《江苏省安装工程计价定额》2014版；《江苏省房屋修缮工程计价表》2009版及配套的费用定额；国家和江苏省现行有关建筑工程设计、施工、以及验收规范和规定；江苏省及南通市现行的其他有关文件、规定；材料价格参照《南通建设工程造价信息》（2025）年第8期及市场价；苗木价格参考《南通建设造价信息》2025年4月份南通市园林绿化苗木信息价；人工工资单价参照苏建函价【2025】66号文；本工程执行苏建价〔2016〕154号文，采用一般计税法计价；增值税调整办法参照苏建函价〔2019〕178号文。承包人报价浮动率提出变更工程项目的单价，并应报发包人确认后调整。承包人的下浮率=（1-中标价/招标控制价）×100%。</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因工程变更造成施工方案变更，引起措施项目发生变化时，措施项目费的调整，合同有约定的，按合同执行。合同中没有约定的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采购人提供的工程量清单漏项或清单项目特征描述与施工图（含设计变更）不符或设计变更引起新的工程量清单项目时，已标价工程量清单中没有适用也没有类似于清单项目的，其相应新增综合单价由承包人按招标控制价编制的原则提出，并原则上依据中标价（扣除暂列金额、暂估价、甲供材料费和不可竞争费）相对招标控制价（扣除暂列金额、暂估价、甲供材料费和不可竞争费）的浮动率浮动，经监理工程师审核报采购人认可后作为结算的依据。</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计算新增综合单价时，《南通建设工程造价信息》中无指导价的材料，在施工前，由承包人向监理、采购人提交需认价材料的品种、规格、数量表等内容，由采购人根据相关规定进行认价，若施工单位擅自先行施工，结算时该材料按零单价处理。</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由采购人约请有关单位参加并认可的经比质比价采购的材料价格或项目综合单价不再下浮。</w:t>
      </w:r>
    </w:p>
    <w:p>
      <w:pPr>
        <w:tabs>
          <w:tab w:val="left" w:pos="820"/>
        </w:tabs>
        <w:spacing w:line="540" w:lineRule="exact"/>
        <w:ind w:firstLine="470" w:firstLineChars="196"/>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（6）由于承包人遗漏招标文件指定的工程量，实施时，如果该工程量减少，按新增综合单价原则进行调减；如果该工程量增加，则按零单价结算。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10.5承包人的合理化建议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监理人审查承包人合理化建议的期限：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发包人审批承包人合理化建议的期限：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承包人提出的合理化建议降低了合同价格或者提高了工程经济效益的奖励的方法和金额为：</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 暂估价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暂估价材料和工程设备的明细详见附件11：《</w:t>
      </w:r>
      <w:r>
        <w:rPr>
          <w:rFonts w:hint="eastAsia" w:asciiTheme="minorEastAsia" w:hAnsiTheme="minorEastAsia" w:eastAsiaTheme="minorEastAsia" w:cstheme="minorEastAsia"/>
          <w:kern w:val="2"/>
          <w:sz w:val="24"/>
          <w:highlight w:val="none"/>
          <w:lang w:bidi="ar"/>
        </w:rPr>
        <w:t>暂估价一览表》</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10.7.1 依法必须招标的暂估价项目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对于依法必须招标的暂估价项目的确认和批准采取第</w:t>
      </w:r>
      <w:r>
        <w:rPr>
          <w:rFonts w:hint="eastAsia" w:asciiTheme="minorEastAsia" w:hAnsiTheme="minorEastAsia" w:eastAsiaTheme="minorEastAsia" w:cstheme="minorEastAsia"/>
          <w:kern w:val="2"/>
          <w:sz w:val="24"/>
          <w:highlight w:val="none"/>
          <w:u w:val="single"/>
          <w:lang w:bidi="ar"/>
        </w:rPr>
        <w:t xml:space="preserve"> 1</w:t>
      </w:r>
      <w:r>
        <w:rPr>
          <w:rFonts w:hint="eastAsia" w:asciiTheme="minorEastAsia" w:hAnsiTheme="minorEastAsia" w:eastAsiaTheme="minorEastAsia" w:cstheme="minorEastAsia"/>
          <w:kern w:val="2"/>
          <w:sz w:val="24"/>
          <w:highlight w:val="none"/>
          <w:lang w:bidi="ar"/>
        </w:rPr>
        <w:t>种方式确定。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10.7.2 不属于依法必须招标的暂估价项目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对于不属于依法必须招标的暂估价项目的确认和批准采取第</w:t>
      </w:r>
      <w:r>
        <w:rPr>
          <w:rFonts w:hint="eastAsia" w:asciiTheme="minorEastAsia" w:hAnsiTheme="minorEastAsia" w:eastAsiaTheme="minorEastAsia" w:cstheme="minorEastAsia"/>
          <w:kern w:val="2"/>
          <w:sz w:val="24"/>
          <w:highlight w:val="none"/>
          <w:u w:val="single"/>
          <w:lang w:bidi="ar"/>
        </w:rPr>
        <w:t>2</w:t>
      </w:r>
      <w:r>
        <w:rPr>
          <w:rFonts w:hint="eastAsia" w:asciiTheme="minorEastAsia" w:hAnsiTheme="minorEastAsia" w:eastAsiaTheme="minorEastAsia" w:cstheme="minorEastAsia"/>
          <w:kern w:val="2"/>
          <w:sz w:val="24"/>
          <w:highlight w:val="none"/>
          <w:lang w:bidi="ar"/>
        </w:rPr>
        <w:t>种方式确定。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第3种方式：</w:t>
      </w:r>
      <w:r>
        <w:rPr>
          <w:rFonts w:hint="eastAsia" w:asciiTheme="minorEastAsia" w:hAnsiTheme="minorEastAsia" w:eastAsiaTheme="minorEastAsia" w:cstheme="minorEastAsia"/>
          <w:sz w:val="24"/>
          <w:highlight w:val="none"/>
          <w:lang w:bidi="ar"/>
        </w:rPr>
        <w:t>承包人直接实施的暂估价项目</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承包人直接实施的暂估价项目的约定：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10.8 暂列金额</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合同当事人关于暂列金额使用的约定：</w:t>
      </w:r>
      <w:r>
        <w:rPr>
          <w:rFonts w:hint="eastAsia" w:asciiTheme="minorEastAsia" w:hAnsiTheme="minorEastAsia" w:eastAsiaTheme="minorEastAsia" w:cstheme="minorEastAsia"/>
          <w:kern w:val="2"/>
          <w:sz w:val="24"/>
          <w:highlight w:val="none"/>
          <w:u w:val="single"/>
          <w:lang w:bidi="ar"/>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暂列金是采购人自行确定设立的，承包商无权使用此笔费用。此费用按实际发生经采购人签证后确定全部使用、部分使用或不使用。暂列金不计入工程款付款的基数。</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11. 价格调整</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11.1 市场价格波动引起的调整</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市场价格波动是否调整合同价格的约定：</w:t>
      </w:r>
      <w:r>
        <w:rPr>
          <w:rFonts w:hint="eastAsia" w:asciiTheme="minorEastAsia" w:hAnsiTheme="minorEastAsia" w:eastAsiaTheme="minorEastAsia" w:cstheme="minorEastAsia"/>
          <w:kern w:val="2"/>
          <w:sz w:val="24"/>
          <w:highlight w:val="none"/>
          <w:u w:val="single"/>
          <w:lang w:bidi="ar"/>
        </w:rPr>
        <w:t xml:space="preserve"> 否</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12. 合同价格、计量与支付</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12.1 合同价格形式:</w:t>
      </w:r>
      <w:r>
        <w:rPr>
          <w:rFonts w:hint="eastAsia" w:asciiTheme="minorEastAsia" w:hAnsiTheme="minorEastAsia" w:eastAsiaTheme="minorEastAsia" w:cstheme="minorEastAsia"/>
          <w:kern w:val="2"/>
          <w:sz w:val="24"/>
          <w:highlight w:val="none"/>
          <w:u w:val="single"/>
          <w:lang w:bidi="ar"/>
        </w:rPr>
        <w:t>固定单价合同</w:t>
      </w:r>
      <w:r>
        <w:rPr>
          <w:rFonts w:hint="eastAsia" w:asciiTheme="minorEastAsia" w:hAnsiTheme="minorEastAsia" w:eastAsiaTheme="minorEastAsia" w:cstheme="minorEastAsia"/>
          <w:kern w:val="2"/>
          <w:sz w:val="24"/>
          <w:highlight w:val="none"/>
          <w:lang w:bidi="ar"/>
        </w:rPr>
        <w:t>。</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综合单价包含的风险范围：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（1）本工程所有建筑材料的材料价格涨跌风险。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（2）实际施工期间本工程招标文件供应商须知第16条相关条款规定以外的风险及其他应考虑到的风险。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风险费用的计算方法：</w:t>
      </w:r>
      <w:r>
        <w:rPr>
          <w:rFonts w:hint="eastAsia" w:asciiTheme="minorEastAsia" w:hAnsiTheme="minorEastAsia" w:eastAsiaTheme="minorEastAsia" w:cstheme="minorEastAsia"/>
          <w:kern w:val="2"/>
          <w:highlight w:val="none"/>
          <w:u w:val="single"/>
          <w:lang w:bidi="ar"/>
        </w:rPr>
        <w:t>承包人在投标报价时已经充分考虑，竣工结算时不作任何调整</w:t>
      </w:r>
      <w:r>
        <w:rPr>
          <w:rFonts w:hint="eastAsia" w:asciiTheme="minorEastAsia" w:hAnsiTheme="minorEastAsia" w:eastAsiaTheme="minorEastAsia" w:cstheme="minorEastAsia"/>
          <w:kern w:val="2"/>
          <w:highlight w:val="none"/>
          <w:lang w:bidi="ar"/>
        </w:rPr>
        <w:t>。</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风险范围以外合同价格的调整方法：</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1）本工程以投标截止日前28天为基准值，其后国家的法律、法规、规章和政策发生变化影响工程造价，除一般的规费、税金可按照省级或行业建设主管部门或其授权的工程造价管理机构发布的规定实际征收及缴纳情况调整合同价款外，其余一律不作调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2）对任一招标工程量清单项目，当应予计算的实际工程量与招标工程量清单出现偏差，且偏差超过15%时，可进行调整。当工程量增加15%以上时，增加部分的工程量的综合单价应予调低；当工程量减少15%以上时，减少后剩余部分的工程量的综合单价应予调高。</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工程量偏差超过15%时的调整方法如下：</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①当Q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时：S=1.15Q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-1.15Q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②当Q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＜0.85Q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 xml:space="preserve"> 时：S=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式中S—调整后的某一分部分项工程费结算价；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Q</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—最终完成的工程量；</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Q</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—招标工程量清单中列出的工程量；</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—按照最终完成工程量重新调整后的综合单价；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—承包人在工程量清单中填报的综合单价。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的确定方法：</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①当P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×（1-L）×（1-15%）时，该类项目的综合单价：P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×（1-L）×（1-15%）调整；</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②当P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×（1+15%）时，该类项目的综合单价：P</w:t>
      </w:r>
      <w:r>
        <w:rPr>
          <w:rFonts w:hint="eastAsia" w:asciiTheme="minorEastAsia" w:hAnsiTheme="minorEastAsia" w:eastAsiaTheme="minorEastAsia" w:cstheme="minorEastAsia"/>
          <w:kern w:val="2"/>
          <w:highlight w:val="none"/>
          <w:vertAlign w:val="subscript"/>
          <w:lang w:bidi="ar"/>
        </w:rPr>
        <w:t>1</w:t>
      </w:r>
      <w:r>
        <w:rPr>
          <w:rFonts w:hint="eastAsia" w:asciiTheme="minorEastAsia" w:hAnsiTheme="minorEastAsia" w:eastAsiaTheme="minorEastAsia" w:cstheme="minorEastAsia"/>
          <w:kern w:val="2"/>
          <w:highlight w:val="none"/>
          <w:lang w:bidi="ar"/>
        </w:rPr>
        <w:t>按照P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×（1+15%）调整。</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式中P</w:t>
      </w:r>
      <w:r>
        <w:rPr>
          <w:rFonts w:hint="eastAsia" w:asciiTheme="minorEastAsia" w:hAnsiTheme="minorEastAsia" w:eastAsiaTheme="minorEastAsia" w:cstheme="minorEastAsia"/>
          <w:kern w:val="2"/>
          <w:highlight w:val="none"/>
          <w:vertAlign w:val="subscript"/>
          <w:lang w:bidi="ar"/>
        </w:rPr>
        <w:t>0</w:t>
      </w:r>
      <w:r>
        <w:rPr>
          <w:rFonts w:hint="eastAsia" w:asciiTheme="minorEastAsia" w:hAnsiTheme="minorEastAsia" w:eastAsiaTheme="minorEastAsia" w:cstheme="minorEastAsia"/>
          <w:kern w:val="2"/>
          <w:highlight w:val="none"/>
          <w:lang w:bidi="ar"/>
        </w:rPr>
        <w:t>—承包人在工程量清单中填报的综合单价；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P</w:t>
      </w:r>
      <w:r>
        <w:rPr>
          <w:rFonts w:hint="eastAsia" w:asciiTheme="minorEastAsia" w:hAnsiTheme="minorEastAsia" w:eastAsiaTheme="minorEastAsia" w:cstheme="minorEastAsia"/>
          <w:kern w:val="2"/>
          <w:highlight w:val="none"/>
          <w:vertAlign w:val="subscript"/>
          <w:lang w:bidi="ar"/>
        </w:rPr>
        <w:t>2</w:t>
      </w:r>
      <w:r>
        <w:rPr>
          <w:rFonts w:hint="eastAsia" w:asciiTheme="minorEastAsia" w:hAnsiTheme="minorEastAsia" w:eastAsiaTheme="minorEastAsia" w:cstheme="minorEastAsia"/>
          <w:kern w:val="2"/>
          <w:highlight w:val="none"/>
          <w:lang w:bidi="ar"/>
        </w:rPr>
        <w:t>—发包人招标控制价相应项目的综合单价；</w:t>
      </w:r>
    </w:p>
    <w:p>
      <w:pPr>
        <w:pStyle w:val="81"/>
        <w:widowControl w:val="0"/>
        <w:spacing w:before="0" w:beforeAutospacing="0" w:after="0" w:afterAutospacing="0"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 xml:space="preserve">     L—（1-中标价/招标控制价）×100%。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3）因工程变更造成施工方案变更，引起措施项目发生变化时，措施项目费的调整，合同有约定的，按合同执行。合同中没有约定的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（4）人工工资按江苏省住房和城乡建设厅发布的建设工程人工工资指导价调整，具体按如下办法执行：</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①江苏省住房和城乡建设厅各期人工工资指导价发布之日之后实际完成的工程量部分人工单价按照施工期间对应的人工工资指导价进行调整，并扣除原投标报价中人工单价相对于基准日人工工资指导价的让利部分。其结算人工工资单价价差调整公式应为（当P1≥P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P=Pn-P0-(P1-P0)</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式中：P——结算人工单价调整价差</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Pn——施工期间当期人工工资指导价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P0——合同中让利之后的人工工资单价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P1——基准日人工工资指导价（投标截止日前28天）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②江苏省住房和城乡建设厅各期人工工资指导价发布之日之后实际完成的工程量部分人工单价按照施工期间对应的人工工资指导价进行调整，如施工合同中有未确定让利幅度的人工工资单价，其结算人工工资单价价差调整公式应为：P=Pn-P1</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式中： P——人工单价调整价差</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Pn——施工期间当期人工工资指导价</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P1——基准日人工工资指导价（投标截止日前28天）</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③人工费调整公式应为：∑各分部分项工程及单项措施费工程中江苏省住房和城乡建设厅各期人工工资指导价发布之日之后实际完成的工程量×相应人工消耗量×P。</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④各期人工工资指导价调整价差部分不下浮，计入定额基价，原则上根据投标报价口径计取相关费用。</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因发包人原因造成工期延误的，延误期间发生的人工单价上涨差额由发包人承担；因承包人原因造成工期延误的，延误期间发生的人工单价上涨差额由承包人承担。</w:t>
      </w:r>
    </w:p>
    <w:p>
      <w:pPr>
        <w:pStyle w:val="81"/>
        <w:widowControl w:val="0"/>
        <w:snapToGrid w:val="0"/>
        <w:spacing w:before="0" w:beforeAutospacing="0" w:after="0" w:afterAutospacing="0" w:line="360" w:lineRule="auto"/>
        <w:ind w:firstLine="482"/>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highlight w:val="none"/>
          <w:lang w:bidi="ar"/>
        </w:rPr>
        <w:t>双方约定合同价款的其他调整因素：</w:t>
      </w:r>
      <w:r>
        <w:rPr>
          <w:rFonts w:hint="eastAsia" w:asciiTheme="minorEastAsia" w:hAnsiTheme="minorEastAsia" w:eastAsiaTheme="minorEastAsia" w:cstheme="minorEastAsia"/>
          <w:kern w:val="2"/>
          <w:highlight w:val="none"/>
          <w:u w:val="single"/>
          <w:lang w:bidi="ar"/>
        </w:rPr>
        <w:t xml:space="preserve">   无   </w:t>
      </w:r>
      <w:r>
        <w:rPr>
          <w:rFonts w:hint="eastAsia" w:asciiTheme="minorEastAsia" w:hAnsiTheme="minorEastAsia" w:eastAsiaTheme="minorEastAsia" w:cstheme="minorEastAsia"/>
          <w:kern w:val="2"/>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总价包含的风险范围：</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风险费用的计算方法：</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风险范围以外合同价格的调整方法：</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3、其他价格方式：</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 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12.2.1 计量原则</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工程量计算规则：</w:t>
      </w:r>
      <w:r>
        <w:rPr>
          <w:rFonts w:hint="eastAsia" w:asciiTheme="minorEastAsia" w:hAnsiTheme="minorEastAsia" w:eastAsiaTheme="minorEastAsia" w:cstheme="minorEastAsia"/>
          <w:kern w:val="2"/>
          <w:sz w:val="24"/>
          <w:highlight w:val="none"/>
          <w:u w:val="single"/>
          <w:lang w:bidi="ar"/>
        </w:rPr>
        <w:t>《建设工程工程量清单计价规范》（GB50500-2013）；《江苏省建设工程费用定额》（2014）；《江苏省建设工程量清单计价项目指引》、《江苏省建筑与装饰工程计价表》2014版；《江苏省安装工程计价定额》2014版及配套的费用定额以及现行工程所在地省市有关计价文件规定执行</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12.2.2 计量周期</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关于计量周期的约定：</w:t>
      </w:r>
      <w:r>
        <w:rPr>
          <w:rFonts w:hint="eastAsia" w:asciiTheme="minorEastAsia" w:hAnsiTheme="minorEastAsia" w:eastAsiaTheme="minorEastAsia" w:cstheme="minorEastAsia"/>
          <w:kern w:val="2"/>
          <w:sz w:val="24"/>
          <w:highlight w:val="none"/>
          <w:u w:val="single"/>
          <w:lang w:bidi="ar"/>
        </w:rPr>
        <w:t>按月计量，每月25日前提供本月已完工程量完成情况报告。</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12.2.3 单价合同的计量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关于单价合同计量的约定：</w:t>
      </w:r>
      <w:r>
        <w:rPr>
          <w:rFonts w:hint="eastAsia" w:asciiTheme="minorEastAsia" w:hAnsiTheme="minorEastAsia" w:eastAsiaTheme="minorEastAsia" w:cstheme="minorEastAsia"/>
          <w:kern w:val="2"/>
          <w:sz w:val="24"/>
          <w:highlight w:val="none"/>
          <w:u w:val="single"/>
          <w:lang w:bidi="ar"/>
        </w:rPr>
        <w:t>工程量按发承包双方在合同中约定应予计量且实际完成的工程量确定。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12.2.4 总价合同的计量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关于总价合同计量的约定：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12.2.5总价合同采用支付分解表计量支付的，是否适用第</w:t>
      </w:r>
      <w:r>
        <w:rPr>
          <w:rFonts w:hint="eastAsia" w:asciiTheme="minorEastAsia" w:hAnsiTheme="minorEastAsia" w:eastAsiaTheme="minorEastAsia" w:cstheme="minorEastAsia"/>
          <w:sz w:val="24"/>
          <w:highlight w:val="none"/>
          <w:lang w:bidi="ar"/>
        </w:rPr>
        <w:t xml:space="preserve">12.3.4 </w:t>
      </w:r>
      <w:r>
        <w:rPr>
          <w:rFonts w:hint="eastAsia" w:asciiTheme="minorEastAsia" w:hAnsiTheme="minorEastAsia" w:eastAsiaTheme="minorEastAsia" w:cstheme="minorEastAsia"/>
          <w:kern w:val="2"/>
          <w:sz w:val="24"/>
          <w:highlight w:val="none"/>
          <w:lang w:bidi="ar"/>
        </w:rPr>
        <w:t>项</w:t>
      </w:r>
      <w:r>
        <w:rPr>
          <w:rFonts w:hint="eastAsia" w:asciiTheme="minorEastAsia" w:hAnsiTheme="minorEastAsia" w:eastAsiaTheme="minorEastAsia" w:cstheme="minorEastAsia"/>
          <w:sz w:val="24"/>
          <w:highlight w:val="none"/>
          <w:lang w:bidi="ar"/>
        </w:rPr>
        <w:t>〔总价合同的计量〕</w:t>
      </w:r>
      <w:r>
        <w:rPr>
          <w:rFonts w:hint="eastAsia" w:asciiTheme="minorEastAsia" w:hAnsiTheme="minorEastAsia" w:eastAsiaTheme="minorEastAsia" w:cstheme="minorEastAsia"/>
          <w:kern w:val="2"/>
          <w:sz w:val="24"/>
          <w:highlight w:val="none"/>
          <w:lang w:bidi="ar"/>
        </w:rPr>
        <w:t>约定进行计量：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12.2.6 其他价格形式合同的计量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其他价格形式的计量方式和程序：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 工程进度款支付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12.3.1 付款周期</w:t>
      </w:r>
    </w:p>
    <w:p>
      <w:pPr>
        <w:spacing w:line="360" w:lineRule="auto"/>
        <w:ind w:firstLine="480" w:firstLineChars="200"/>
        <w:jc w:val="left"/>
        <w:rPr>
          <w:rFonts w:asciiTheme="minorEastAsia" w:hAnsiTheme="minorEastAsia" w:eastAsiaTheme="minorEastAsia" w:cstheme="minorEastAsia"/>
          <w:kern w:val="2"/>
          <w:sz w:val="24"/>
          <w:highlight w:val="none"/>
          <w:lang w:bidi="ar"/>
        </w:rPr>
      </w:pPr>
      <w:r>
        <w:rPr>
          <w:rFonts w:hint="eastAsia" w:asciiTheme="minorEastAsia" w:hAnsiTheme="minorEastAsia" w:eastAsiaTheme="minorEastAsia" w:cstheme="minorEastAsia"/>
          <w:kern w:val="2"/>
          <w:sz w:val="24"/>
          <w:highlight w:val="none"/>
          <w:lang w:bidi="ar"/>
        </w:rPr>
        <w:t>（1）本项目履约保证金为合同总价的10%，承包人须在合同签订前缴纳，验收合格后无息返还。乙方交纳履约保证金且合同签订生效后，材料及设备进场且经采购人确认，市财政局核拨费用后，支付合同价（扣除暂列金）的30%作为预付款；经安装调试运行验收合格后且审计结束后15日（收到审计报告及乙方正式合法有效税务发票），市财政局核拨费用后，付至审定价的97%；余款3%作为质量保修金，质保满且无质量问题并经甲方书面确认后15日内无息返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履约保证金在工程竣工验收合格后按实际履约情况退还（无息）。</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（2）承包人必须保证发包人支付的工程款项全部用于本工程的建设, 承包人必须在申请每笔工程款的同时向发包人提供上述工程款的详细分配方案，并保证按上述方案足额按时分配。不按照此原则处理，承包人按当期工程款的20%向发包人支付违约金。</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（3）承包人不得因拖欠材料商、分包商工程款而影响工程进度或质量，否则承包人除承担违约责任外，并同意发包人直接向材料商、分包商支付欠款，且所支付欠款从承包人的工程款中扣除。</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（4）承包人同意按合同规定向发包人承担应承担的各项违约金，同意发包人在应付的工程款中抵扣，但发包人应以工程联系单的形式通知承包人。</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（5）所有工程付款必须经总监理工程师和发包人项目负责人签发付款证书后发包人才予以支付。</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（6）实际完成工作量小于合同价时，以实际工作量为付款基数。</w:t>
      </w:r>
    </w:p>
    <w:p>
      <w:pPr>
        <w:spacing w:line="360" w:lineRule="auto"/>
        <w:ind w:firstLine="480" w:firstLineChars="200"/>
        <w:jc w:val="left"/>
        <w:rPr>
          <w:rFonts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kern w:val="2"/>
          <w:sz w:val="24"/>
          <w:highlight w:val="none"/>
          <w:lang w:bidi="ar"/>
        </w:rPr>
        <w:t>（7）本工程以发包方指定的审价机构的审计结果作为工程款结算和支付依据，如南通市政府财政或审计部门在检查或审计过程中发现审价机构的审计结果有误，则以南通市政府财政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12.3.2 进度付款申请单的编制</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关于进度付款申请单编制的约定：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 xml:space="preserve">按通用条款执行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12.3.3 进度付款申请单的提交</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（1）单价合同进度付款申请单提交的约定：</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 xml:space="preserve"> 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（2）总价合同进度付款申请单提交的约定：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（3）其他价格形式合同进度付款申请单提交的约定：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12.3.4 进度款审核和支付</w:t>
      </w:r>
    </w:p>
    <w:p>
      <w:pPr>
        <w:spacing w:line="360" w:lineRule="auto"/>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（1）监理人审查并报送发包人的期限：</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发包人完成审批并签发进度款支付证书的期限：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（2）发包人支付进度款的期限：</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b/>
          <w:sz w:val="24"/>
          <w:highlight w:val="none"/>
          <w:u w:val="single"/>
          <w:lang w:bidi="ar"/>
        </w:rPr>
        <w:t>按通用条款执行</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line="480" w:lineRule="exact"/>
        <w:ind w:firstLine="600" w:firstLineChars="2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发包人逾期支付进度款的违约金的计算方式：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480" w:lineRule="exact"/>
        <w:ind w:firstLine="600" w:firstLineChars="2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12.3.5 支付分解表的编制</w:t>
      </w:r>
    </w:p>
    <w:p>
      <w:pPr>
        <w:spacing w:line="48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2、总价合同支付分解表的编制与审批：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3、单价合同的总价项目支付分解表的编制与审批：</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13. 验收和工程试车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13.1 分部分项工程验收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13.1.2监理人不能按时进行验收时，应提前</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小时提交书面延期要求。</w:t>
      </w:r>
    </w:p>
    <w:p>
      <w:pPr>
        <w:spacing w:line="540" w:lineRule="exact"/>
        <w:ind w:firstLine="480" w:firstLineChars="20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kern w:val="2"/>
          <w:sz w:val="24"/>
          <w:highlight w:val="none"/>
          <w:lang w:bidi="ar"/>
        </w:rPr>
        <w:t>关于延期最长不得超过：</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小时。</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 竣工验收</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13.2.2竣工验收程序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关于竣工验收程序的约定：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（3）竣工验收合格的，发包人应签发工程接收证书，时间以接管单位的接收日期为准。</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发包人不按照本项约定组织竣工验收、颁发工程接收证书的违约金的计算方法：</w:t>
      </w:r>
      <w:r>
        <w:rPr>
          <w:rFonts w:hint="eastAsia" w:asciiTheme="minorEastAsia" w:hAnsiTheme="minorEastAsia" w:eastAsiaTheme="minorEastAsia" w:cstheme="minorEastAsia"/>
          <w:kern w:val="2"/>
          <w:sz w:val="24"/>
          <w:highlight w:val="none"/>
          <w:u w:val="single"/>
          <w:lang w:bidi="ar"/>
        </w:rPr>
        <w:t xml:space="preserve">  发包人不支付违约金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13.2.5移交、接收全部与部分工程</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承包人向发包人移交工程的期限：</w:t>
      </w:r>
      <w:r>
        <w:rPr>
          <w:rFonts w:hint="eastAsia" w:asciiTheme="minorEastAsia" w:hAnsiTheme="minorEastAsia" w:eastAsiaTheme="minorEastAsia" w:cstheme="minorEastAsia"/>
          <w:sz w:val="24"/>
          <w:highlight w:val="none"/>
          <w:u w:val="single"/>
          <w:lang w:bidi="ar"/>
        </w:rPr>
        <w:t>以接管单位的接收日期为准。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发包人未按本合同约定接收全部或部分工程的，违约金的计算方法为：</w:t>
      </w:r>
      <w:r>
        <w:rPr>
          <w:rFonts w:hint="eastAsia" w:asciiTheme="minorEastAsia" w:hAnsiTheme="minorEastAsia" w:eastAsiaTheme="minorEastAsia" w:cstheme="minorEastAsia"/>
          <w:kern w:val="2"/>
          <w:sz w:val="24"/>
          <w:highlight w:val="none"/>
          <w:u w:val="single"/>
          <w:lang w:bidi="ar"/>
        </w:rPr>
        <w:t xml:space="preserve"> 发包人不支付违约金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承包人未按时移交工程的，违约金的计算方法为：</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13.3 工程试车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13.3.1 试车程序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工程试车内容：</w:t>
      </w:r>
      <w:r>
        <w:rPr>
          <w:rFonts w:hint="eastAsia" w:asciiTheme="minorEastAsia" w:hAnsiTheme="minorEastAsia" w:eastAsiaTheme="minorEastAsia" w:cstheme="minorEastAsia"/>
          <w:kern w:val="2"/>
          <w:sz w:val="24"/>
          <w:highlight w:val="none"/>
          <w:u w:val="single"/>
          <w:lang w:bidi="ar"/>
        </w:rPr>
        <w:t xml:space="preserve">  /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（1）单机无负荷试车费用由           /          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（2）无负荷联动试车费用由            /         承担。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13.3.3 投料试车</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关于投料试车相关事项的约定：           /                </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13.6 竣工退场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13.6.1 竣工退场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承包人完成竣工退场的期限：</w:t>
      </w:r>
      <w:r>
        <w:rPr>
          <w:rFonts w:hint="eastAsia" w:asciiTheme="minorEastAsia" w:hAnsiTheme="minorEastAsia" w:eastAsiaTheme="minorEastAsia" w:cstheme="minorEastAsia"/>
          <w:kern w:val="2"/>
          <w:sz w:val="24"/>
          <w:highlight w:val="none"/>
          <w:u w:val="single"/>
          <w:lang w:bidi="ar"/>
        </w:rPr>
        <w:t>承包人在工程竣工后七天内拆除现场所有临时设施，包括所有的机械设备、材料、建筑垃圾全部清运出现场，清理标准应征得发包人认可。否则如发生相关费用，承包人同意由发包人在工程竣工结算价款中扣除，并按2000元/天向发包人支付违约金。</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14. 竣工结算</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14.1 竣工结算申请</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承包人提交竣工结算申请单的期限：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竣工结算申请单应包括的内容：</w:t>
      </w:r>
      <w:r>
        <w:rPr>
          <w:rFonts w:hint="eastAsia" w:asciiTheme="minorEastAsia" w:hAnsiTheme="minorEastAsia" w:eastAsiaTheme="minorEastAsia" w:cstheme="minorEastAsia"/>
          <w:kern w:val="2"/>
          <w:sz w:val="24"/>
          <w:highlight w:val="none"/>
          <w:u w:val="single"/>
          <w:lang w:bidi="ar"/>
        </w:rPr>
        <w:t>承包人在工程竣工后一个月内提供经监理工程师审查通过的三套完整的竣工图和竣工结算及其他资料，承包人提供的所有资料必须满足工程备案要求，送档案馆存档，否则按每迟一日向发包人支付合同价万分之二的违约金，同时发包人可拒绝递交审计或延期审计，由此带来的一切后果由承包人承担。A施工中没有设计变更，施工后由承包人在发包人提供的施工图纸上加盖竣工图章，提交发包人；B施工中对原设计中变更较多，原施工图难于作为竣工图，应由承包人组织重新绘制竣工图，并承担相应费用。并经发包人确认后报南通市审计局审计。工程竣工验收合格后28天内，承包人应向发包人递交完整的符合审计要求的结算资料，若承包人原因不能提交结算资料的，发包人有权拒绝或延期审计并拒付工程款。</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14.2 竣工结算审核</w:t>
      </w:r>
    </w:p>
    <w:p>
      <w:pPr>
        <w:spacing w:line="360" w:lineRule="auto"/>
        <w:ind w:firstLine="480" w:firstLineChars="20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发包人审批竣工付款申请单的期限：</w:t>
      </w:r>
      <w:r>
        <w:rPr>
          <w:rFonts w:hint="eastAsia" w:asciiTheme="minorEastAsia" w:hAnsiTheme="minorEastAsia" w:eastAsiaTheme="minorEastAsia" w:cstheme="minorEastAsia"/>
          <w:kern w:val="2"/>
          <w:sz w:val="24"/>
          <w:highlight w:val="none"/>
          <w:u w:val="single"/>
          <w:lang w:bidi="ar"/>
        </w:rPr>
        <w:t>发包人和发包人委托的审价单位应在收到承包人提交的工程结算资料齐全后6个月内完成全部工程结算的审价工作。如承包人结算资料不完整，从发包人要求承包人进行提交补充资料之日起十五个工作日内，承包人仍未能按要求提交完整资料的，则审价时间顺延。如发现送审的结算书中有遗漏项目，承包人应通过发包人补送遗漏项目结算资料，依约审核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发包人完成竣工付款的期限：</w:t>
      </w:r>
      <w:r>
        <w:rPr>
          <w:rFonts w:hint="eastAsia" w:asciiTheme="minorEastAsia" w:hAnsiTheme="minorEastAsia" w:eastAsiaTheme="minorEastAsia" w:cstheme="minorEastAsia"/>
          <w:kern w:val="2"/>
          <w:sz w:val="24"/>
          <w:highlight w:val="none"/>
          <w:u w:val="single"/>
          <w:lang w:bidi="ar"/>
        </w:rPr>
        <w:t xml:space="preserve">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关于竣工付款证书异议部分复核的方式和程序：</w:t>
      </w:r>
      <w:r>
        <w:rPr>
          <w:rFonts w:hint="eastAsia" w:asciiTheme="minorEastAsia" w:hAnsiTheme="minorEastAsia" w:eastAsiaTheme="minorEastAsia" w:cstheme="minorEastAsia"/>
          <w:kern w:val="2"/>
          <w:sz w:val="24"/>
          <w:highlight w:val="none"/>
          <w:u w:val="single"/>
          <w:lang w:bidi="ar"/>
        </w:rPr>
        <w:t xml:space="preserve">在审计期间，承包人应积极配合审计工作，如承包人无正当理由不积极配合，则审计机构将出具的最终审计结果送达承包人，承包人在收到最终审计结果7个工作日内未书面提出异议，则视为承包人确认审价结果。 </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14.4 最终结清</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14.4.1 最终结清申请单</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承包人提交最终结清申请单的份数：</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承包人提交最终结算申请单的期限：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14.4.2 最终结清证书和支付</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（1）发包人完成最终结清申请单的审批并颁发最终结清证书的期限：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（2）发包人完成支付的期限：</w:t>
      </w:r>
      <w:r>
        <w:rPr>
          <w:rFonts w:hint="eastAsia" w:asciiTheme="minorEastAsia" w:hAnsiTheme="minorEastAsia" w:eastAsiaTheme="minorEastAsia" w:cstheme="minorEastAsia"/>
          <w:kern w:val="2"/>
          <w:sz w:val="24"/>
          <w:highlight w:val="none"/>
          <w:u w:val="single"/>
          <w:lang w:bidi="ar"/>
        </w:rPr>
        <w:t xml:space="preserve"> 按通用条款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15. 缺陷责任期与保修</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15.2缺陷责任期</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缺陷责任期的具体期限：</w:t>
      </w:r>
      <w:r>
        <w:rPr>
          <w:rFonts w:hint="eastAsia" w:asciiTheme="minorEastAsia" w:hAnsiTheme="minorEastAsia" w:eastAsiaTheme="minorEastAsia" w:cstheme="minorEastAsia"/>
          <w:kern w:val="2"/>
          <w:sz w:val="24"/>
          <w:highlight w:val="none"/>
          <w:u w:val="single"/>
          <w:lang w:bidi="ar"/>
        </w:rPr>
        <w:t xml:space="preserve"> 24个月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15.3 质量保证金</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关于是否扣留质量保证金的约定：</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15.3.1 承包人提供质量保证金的方式</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质量保证金采用以下第</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sz w:val="24"/>
          <w:highlight w:val="none"/>
          <w:u w:val="single"/>
          <w:lang w:bidi="ar"/>
        </w:rPr>
        <w:t>（2）</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种方式：</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（1）质量保证金保函，保证金额为：</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 xml:space="preserve">；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u w:val="single"/>
          <w:lang w:bidi="ar"/>
        </w:rPr>
        <w:t xml:space="preserve">  结算价3  </w:t>
      </w:r>
      <w:r>
        <w:rPr>
          <w:rFonts w:hint="eastAsia" w:asciiTheme="minorEastAsia" w:hAnsiTheme="minorEastAsia" w:eastAsiaTheme="minorEastAsia" w:cstheme="minorEastAsia"/>
          <w:sz w:val="24"/>
          <w:highlight w:val="none"/>
          <w:lang w:bidi="ar"/>
        </w:rPr>
        <w:t>%的工程款；</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（3）其他方式:</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 xml:space="preserve">15.3.2 质量保证金的扣留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质量保证金的扣留采取以下第</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sz w:val="24"/>
          <w:highlight w:val="none"/>
          <w:u w:val="single"/>
          <w:lang w:bidi="ar"/>
        </w:rPr>
        <w:t>（2）</w:t>
      </w:r>
      <w:r>
        <w:rPr>
          <w:rFonts w:hint="eastAsia" w:asciiTheme="minorEastAsia" w:hAnsiTheme="minorEastAsia" w:eastAsiaTheme="minorEastAsia" w:cstheme="minorEastAsia"/>
          <w:kern w:val="2"/>
          <w:sz w:val="24"/>
          <w:highlight w:val="none"/>
          <w:lang w:bidi="ar"/>
        </w:rPr>
        <w:t xml:space="preserve">种方式： </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（1）在支付工程进度款时逐次扣留，在此情形下，质量保证金的计算基数不包括预付款的支付、扣回以及价格调整的金额；</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（2）工程竣工结算时一次性扣留质量保证金；</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（3）其他扣留方式:</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关于质量保证金的补充约定：</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15.4保修</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15.4.1 保修责任</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工程保修期为：</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15.4.3 修复通知</w:t>
      </w:r>
    </w:p>
    <w:p>
      <w:pPr>
        <w:spacing w:line="540" w:lineRule="exact"/>
        <w:ind w:firstLine="468" w:firstLineChars="195"/>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承包人收到保修通知并到达工程现场的合理时间：</w:t>
      </w:r>
      <w:r>
        <w:rPr>
          <w:rFonts w:hint="eastAsia" w:asciiTheme="minorEastAsia" w:hAnsiTheme="minorEastAsia" w:eastAsiaTheme="minorEastAsia" w:cstheme="minorEastAsia"/>
          <w:sz w:val="24"/>
          <w:highlight w:val="none"/>
          <w:u w:val="single"/>
          <w:lang w:bidi="ar"/>
        </w:rPr>
        <w:t xml:space="preserve"> 2小时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16. 违约</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 发包人违约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16.1.1发包人违约的情形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发包人违约的其他情形：</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left="1200" w:hanging="1200" w:hangingChars="5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    16.1.2 发包人违约的责任</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发包人违约责任的承担方式和计算方法：</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bidi="ar"/>
        </w:rPr>
        <w:t>（1）因发包人原因未能在计划开工日期前7天内下达开工通知的违约责任：</w:t>
      </w:r>
      <w:r>
        <w:rPr>
          <w:rFonts w:hint="eastAsia" w:asciiTheme="minorEastAsia" w:hAnsiTheme="minorEastAsia" w:eastAsiaTheme="minorEastAsia" w:cstheme="minorEastAsia"/>
          <w:sz w:val="24"/>
          <w:highlight w:val="none"/>
          <w:u w:val="single"/>
          <w:lang w:bidi="ar"/>
        </w:rPr>
        <w:t xml:space="preserve">  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（2）因发包人原因未能按合同约定支付合同价款的违约责任：</w:t>
      </w:r>
      <w:r>
        <w:rPr>
          <w:rFonts w:hint="eastAsia" w:asciiTheme="minorEastAsia" w:hAnsiTheme="minorEastAsia" w:eastAsiaTheme="minorEastAsia" w:cstheme="minorEastAsia"/>
          <w:sz w:val="24"/>
          <w:highlight w:val="none"/>
          <w:u w:val="single"/>
          <w:lang w:bidi="ar"/>
        </w:rPr>
        <w:t>免</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（3）发包人违反第10.1款〔变更的范围〕第（2）项约定，自行实施被取消的工作或转由他人实施的违约责任：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（5）因发包人违反合同约定造成暂停施工的违约责任：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（6）发包人无正当理由没有在约定期限内发出复工指示，导致承包人无法复工的违约责任：</w:t>
      </w:r>
      <w:r>
        <w:rPr>
          <w:rFonts w:hint="eastAsia" w:asciiTheme="minorEastAsia" w:hAnsiTheme="minorEastAsia" w:eastAsiaTheme="minorEastAsia" w:cstheme="minorEastAsia"/>
          <w:sz w:val="24"/>
          <w:highlight w:val="none"/>
          <w:u w:val="single"/>
          <w:lang w:bidi="ar"/>
        </w:rPr>
        <w:t xml:space="preserve">免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（7）其他：</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16.1.3 因发包人违约解除合同</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承包人按16.1.1项〔发包人违约的情形〕约定暂停施工满</w:t>
      </w:r>
      <w:r>
        <w:rPr>
          <w:rFonts w:hint="eastAsia" w:asciiTheme="minorEastAsia" w:hAnsiTheme="minorEastAsia" w:eastAsiaTheme="minorEastAsia" w:cstheme="minorEastAsia"/>
          <w:sz w:val="24"/>
          <w:highlight w:val="none"/>
          <w:u w:val="single"/>
          <w:lang w:bidi="ar"/>
        </w:rPr>
        <w:t xml:space="preserve"> / </w:t>
      </w:r>
      <w:r>
        <w:rPr>
          <w:rFonts w:hint="eastAsia" w:asciiTheme="minorEastAsia" w:hAnsiTheme="minorEastAsia" w:eastAsiaTheme="minorEastAsia" w:cstheme="minorEastAsia"/>
          <w:sz w:val="24"/>
          <w:highlight w:val="none"/>
          <w:lang w:bidi="ar"/>
        </w:rPr>
        <w:t>天后发包人仍不纠正其违约行为并致使合同目的不能实现的，承包人有权解除合同，但发包人不承担违约责任和任何费用。</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16.2 承包人违约</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16.2.1 承包人违约的情形</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承包人违约的其他情形：</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（1）因承包人自身的原因，未能兑现其投标时承诺条件或工程质量较差，或其工期进度严重脱节的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（2）承包人（含承包人的相关人员）在工程实施中不守法经营，被纪检部门查实存在违纪行为的或被司法机关查实认定有犯罪行为的。；</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16.2.2承包人违约的责任</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承包人违约责任的承担方式和计算方法：</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（1）承包人将本工程转包或违法分包的，一经发现，取消承包人的施工资格，已完工程量不予结算，</w:t>
      </w:r>
      <w:r>
        <w:rPr>
          <w:rFonts w:hint="eastAsia" w:asciiTheme="minorEastAsia" w:hAnsiTheme="minorEastAsia" w:eastAsiaTheme="minorEastAsia" w:cstheme="minorEastAsia"/>
          <w:kern w:val="2"/>
          <w:sz w:val="24"/>
          <w:highlight w:val="none"/>
          <w:u w:val="single"/>
          <w:lang w:bidi="ar"/>
        </w:rPr>
        <w:t>同时发包人将依照《建筑市场诚信行为信息管理办法》（建市[2007]9号）的要求，视情节可登录全国建筑市场诚信信息平台予以公布；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（2）承包人采购和使用不合格材料和工程设备的，除责令整改外，</w:t>
      </w:r>
      <w:r>
        <w:rPr>
          <w:rFonts w:hint="eastAsia" w:asciiTheme="minorEastAsia" w:hAnsiTheme="minorEastAsia" w:eastAsiaTheme="minorEastAsia" w:cstheme="minorEastAsia"/>
          <w:kern w:val="2"/>
          <w:sz w:val="24"/>
          <w:highlight w:val="none"/>
          <w:u w:val="single"/>
          <w:lang w:bidi="ar"/>
        </w:rPr>
        <w:t>发包人将依照《全国建筑市场注册执业人员不良行为记录认定标准》（建办市[2011]38号），视情节可报送注册执业人员不良行为信息</w:t>
      </w:r>
      <w:r>
        <w:rPr>
          <w:rFonts w:hint="eastAsia" w:asciiTheme="minorEastAsia" w:hAnsiTheme="minorEastAsia" w:eastAsiaTheme="minorEastAsia" w:cstheme="minorEastAsia"/>
          <w:sz w:val="24"/>
          <w:highlight w:val="none"/>
          <w:u w:val="single"/>
          <w:lang w:bidi="ar"/>
        </w:rPr>
        <w:t>；</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（3）因承包人自身的原因，未能兑现其投标时承诺条件或工程质量较差，或其工期进度严重脱节时，发包人报市建设行政主管部门同意后有权终止合同，并且，已完成的合格产品有效工程量只按50%计量结算。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bidi="ar"/>
        </w:rPr>
        <w:t>（4）承包人在工程实施中必须守法经营。如承包人（含承包人的相关人员）被纪检部门查实存在违纪行为的，发包人将扣减承包人合同额的1%作为违约金；如果承包人（含承包人的相关人员）被司法机关查实认定有犯罪行为的，甲方将扣减乙方合同额的2%作为违约金。</w:t>
      </w:r>
      <w:r>
        <w:rPr>
          <w:rFonts w:hint="eastAsia" w:asciiTheme="minorEastAsia" w:hAnsiTheme="minorEastAsia" w:eastAsiaTheme="minorEastAsia" w:cstheme="minorEastAsia"/>
          <w:kern w:val="2"/>
          <w:sz w:val="24"/>
          <w:highlight w:val="none"/>
          <w:u w:val="single"/>
          <w:lang w:bidi="ar"/>
        </w:rPr>
        <w:t>同时发包人将依照《建筑市场诚信行为信息管理办法》（建市[2007]9号）的要求，视情节可登录全国建筑市场诚信信息平台予以公布；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w:t>
      </w:r>
      <w:r>
        <w:rPr>
          <w:rFonts w:hint="eastAsia" w:asciiTheme="minorEastAsia" w:hAnsiTheme="minorEastAsia" w:eastAsiaTheme="minorEastAsia" w:cstheme="minorEastAsia"/>
          <w:sz w:val="24"/>
          <w:highlight w:val="none"/>
          <w:u w:val="single"/>
          <w:lang w:bidi="ar"/>
        </w:rPr>
        <w:t>因承包人履行本合同的行为引发其与第三人发生纠纷，导致发包人受牵连被诉讼的，视为承包人对发包人的违约，发包人因此所受的损失，包括但不限于诉讼费、仲裁费、执行费、律师费等直接损失，由承包人承担，发包人有权在承包人的结余工程款、履约保证金中直接扣除。如工程款不够扣除的，作为承包人对发包人的债务，承包人应当在损失发生后的30日内支付给发包人。</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16.2.3 因承包人违约解除合同</w:t>
      </w:r>
    </w:p>
    <w:p>
      <w:pPr>
        <w:spacing w:before="120"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关于承包人违约解除合同的特别约定：</w:t>
      </w:r>
      <w:r>
        <w:rPr>
          <w:rFonts w:hint="eastAsia" w:asciiTheme="minorEastAsia" w:hAnsiTheme="minorEastAsia" w:eastAsiaTheme="minorEastAsia" w:cstheme="minorEastAsia"/>
          <w:kern w:val="2"/>
          <w:sz w:val="24"/>
          <w:highlight w:val="none"/>
          <w:u w:val="single"/>
          <w:lang w:bidi="ar"/>
        </w:rPr>
        <w:t>因承包人自身的原因，未能兑现其投标时承诺条件或工程质量较差，或其工期进度严重脱节的</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sz w:val="24"/>
          <w:highlight w:val="none"/>
          <w:lang w:bidi="ar"/>
        </w:rPr>
        <w:t>。</w:t>
      </w:r>
    </w:p>
    <w:p>
      <w:pPr>
        <w:spacing w:before="120"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 xml:space="preserve">17. 不可抗力 </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17.1 不可抗力的确认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除通用合同条款约定的不可抗力事件之外，视为不可抗力的其他情形：</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 xml:space="preserve">/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17.4 因不可抗力解除合同</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合同解除后，发包人应在商定或确定发包人应支付款项后</w:t>
      </w:r>
      <w:r>
        <w:rPr>
          <w:rFonts w:hint="eastAsia" w:asciiTheme="minorEastAsia" w:hAnsiTheme="minorEastAsia" w:eastAsiaTheme="minorEastAsia" w:cstheme="minorEastAsia"/>
          <w:kern w:val="2"/>
          <w:sz w:val="24"/>
          <w:highlight w:val="none"/>
          <w:u w:val="single"/>
          <w:lang w:bidi="ar"/>
        </w:rPr>
        <w:t xml:space="preserve"> 另行商议</w:t>
      </w:r>
      <w:r>
        <w:rPr>
          <w:rFonts w:hint="eastAsia" w:asciiTheme="minorEastAsia" w:hAnsiTheme="minorEastAsia" w:eastAsiaTheme="minorEastAsia" w:cstheme="minorEastAsia"/>
          <w:kern w:val="2"/>
          <w:sz w:val="24"/>
          <w:highlight w:val="none"/>
          <w:lang w:bidi="ar"/>
        </w:rPr>
        <w:t>天内完成款项的支付。</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18. 保险</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18.1 工程保险</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关于工程保险的特别约定：</w:t>
      </w:r>
      <w:r>
        <w:rPr>
          <w:rFonts w:hint="eastAsia" w:asciiTheme="minorEastAsia" w:hAnsiTheme="minorEastAsia" w:eastAsiaTheme="minorEastAsia" w:cstheme="minorEastAsia"/>
          <w:sz w:val="24"/>
          <w:highlight w:val="none"/>
          <w:u w:val="single"/>
          <w:lang w:bidi="ar"/>
        </w:rPr>
        <w:t xml:space="preserve"> </w:t>
      </w:r>
      <w:r>
        <w:rPr>
          <w:rFonts w:hint="eastAsia" w:asciiTheme="minorEastAsia" w:hAnsiTheme="minorEastAsia" w:eastAsiaTheme="minorEastAsia" w:cstheme="minorEastAsia"/>
          <w:kern w:val="2"/>
          <w:sz w:val="24"/>
          <w:highlight w:val="none"/>
          <w:u w:val="single"/>
          <w:lang w:bidi="ar"/>
        </w:rPr>
        <w:t>建筑工程一切险或安装工程一切险，由承包人投保，费用已在合同价中如不办理，一切责任由承包人自行负责</w:t>
      </w:r>
      <w:r>
        <w:rPr>
          <w:rFonts w:hint="eastAsia" w:asciiTheme="minorEastAsia" w:hAnsiTheme="minorEastAsia" w:eastAsiaTheme="minorEastAsia" w:cstheme="minorEastAsia"/>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18.3 其他保险</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关于其他保险的约定：</w:t>
      </w:r>
      <w:r>
        <w:rPr>
          <w:rFonts w:hint="eastAsia" w:asciiTheme="minorEastAsia" w:hAnsiTheme="minorEastAsia" w:eastAsiaTheme="minorEastAsia" w:cstheme="minorEastAsia"/>
          <w:kern w:val="2"/>
          <w:sz w:val="24"/>
          <w:highlight w:val="none"/>
          <w:u w:val="single"/>
          <w:lang w:bidi="ar"/>
        </w:rPr>
        <w:t>承包人要为其施工现场的全部人员办理意外伤害保险并支付保险费，包括其员工及为履行合同聘请的第三方的人员</w:t>
      </w:r>
      <w:r>
        <w:rPr>
          <w:rFonts w:hint="eastAsia" w:asciiTheme="minorEastAsia" w:hAnsiTheme="minorEastAsia" w:eastAsiaTheme="minorEastAsia" w:cstheme="minorEastAsia"/>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承包人是否应为其施工设备等办理财产保险：</w:t>
      </w:r>
      <w:r>
        <w:rPr>
          <w:rFonts w:hint="eastAsia" w:asciiTheme="minorEastAsia" w:hAnsiTheme="minorEastAsia" w:eastAsiaTheme="minorEastAsia" w:cstheme="minorEastAsia"/>
          <w:kern w:val="2"/>
          <w:sz w:val="24"/>
          <w:highlight w:val="none"/>
          <w:u w:val="single"/>
          <w:lang w:bidi="ar"/>
        </w:rPr>
        <w:t xml:space="preserve"> 是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18.7 通知义务</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关于变更保险合同时的通知义务的约定：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20. 争议解决</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20.3 争议评审</w:t>
      </w:r>
    </w:p>
    <w:p>
      <w:pPr>
        <w:spacing w:line="540" w:lineRule="exact"/>
        <w:ind w:left="149" w:leftChars="71" w:firstLine="360" w:firstLineChars="15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合同当事人是否同意将工程争议提交争议评审小组决定：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 xml:space="preserve">。  </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20.3.1 争议评审小组的确定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lang w:bidi="ar"/>
        </w:rPr>
        <w:t>争议评审小组成员的确定：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选定争议评审员的期限：</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争议评审小组成员的报酬承担方式：</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其他事项的约定：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autoSpaceDE w:val="0"/>
        <w:autoSpaceDN w:val="0"/>
        <w:adjustRightInd w:val="0"/>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20.3.2 争议评审小组的决定</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合同当事人关于本项的约定：</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20.4仲裁或诉讼</w:t>
      </w:r>
    </w:p>
    <w:p>
      <w:pPr>
        <w:spacing w:after="120" w:line="5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因合同及合同有关事项发生的争议，按下列第</w:t>
      </w:r>
      <w:r>
        <w:rPr>
          <w:rFonts w:hint="eastAsia" w:asciiTheme="minorEastAsia" w:hAnsiTheme="minorEastAsia" w:eastAsiaTheme="minorEastAsia" w:cstheme="minorEastAsia"/>
          <w:kern w:val="2"/>
          <w:sz w:val="24"/>
          <w:highlight w:val="none"/>
          <w:u w:val="single"/>
          <w:lang w:bidi="ar"/>
        </w:rPr>
        <w:t xml:space="preserve"> （1） </w:t>
      </w:r>
      <w:r>
        <w:rPr>
          <w:rFonts w:hint="eastAsia" w:asciiTheme="minorEastAsia" w:hAnsiTheme="minorEastAsia" w:eastAsiaTheme="minorEastAsia" w:cstheme="minorEastAsia"/>
          <w:kern w:val="2"/>
          <w:sz w:val="24"/>
          <w:highlight w:val="none"/>
          <w:lang w:bidi="ar"/>
        </w:rPr>
        <w:t>种方式解决：</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（1）向</w:t>
      </w:r>
      <w:r>
        <w:rPr>
          <w:rFonts w:hint="eastAsia" w:asciiTheme="minorEastAsia" w:hAnsiTheme="minorEastAsia" w:eastAsiaTheme="minorEastAsia" w:cstheme="minorEastAsia"/>
          <w:kern w:val="2"/>
          <w:sz w:val="24"/>
          <w:highlight w:val="none"/>
          <w:u w:val="single"/>
          <w:lang w:bidi="ar"/>
        </w:rPr>
        <w:t xml:space="preserve">  南通  </w:t>
      </w:r>
      <w:r>
        <w:rPr>
          <w:rFonts w:hint="eastAsia" w:asciiTheme="minorEastAsia" w:hAnsiTheme="minorEastAsia" w:eastAsiaTheme="minorEastAsia" w:cstheme="minorEastAsia"/>
          <w:kern w:val="2"/>
          <w:sz w:val="24"/>
          <w:highlight w:val="none"/>
          <w:lang w:bidi="ar"/>
        </w:rPr>
        <w:t>仲裁委员会申请仲裁；</w:t>
      </w:r>
    </w:p>
    <w:p>
      <w:pPr>
        <w:spacing w:line="54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（2）向</w:t>
      </w:r>
      <w:r>
        <w:rPr>
          <w:rFonts w:hint="eastAsia" w:asciiTheme="minorEastAsia" w:hAnsiTheme="minorEastAsia" w:eastAsiaTheme="minorEastAsia" w:cstheme="minorEastAsia"/>
          <w:kern w:val="2"/>
          <w:sz w:val="24"/>
          <w:highlight w:val="none"/>
          <w:u w:val="single"/>
          <w:lang w:bidi="ar"/>
        </w:rPr>
        <w:t xml:space="preserve">         /          </w:t>
      </w:r>
      <w:r>
        <w:rPr>
          <w:rFonts w:hint="eastAsia" w:asciiTheme="minorEastAsia" w:hAnsiTheme="minorEastAsia" w:eastAsiaTheme="minorEastAsia" w:cstheme="minorEastAsia"/>
          <w:kern w:val="2"/>
          <w:sz w:val="24"/>
          <w:highlight w:val="none"/>
          <w:lang w:bidi="ar"/>
        </w:rPr>
        <w:t>人民法院起诉。</w:t>
      </w:r>
    </w:p>
    <w:p>
      <w:pPr>
        <w:pStyle w:val="6"/>
        <w:widowControl/>
        <w:spacing w:line="540" w:lineRule="exact"/>
        <w:rPr>
          <w:rFonts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21补充条款</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21.1无论发包人是否给予了批准或同意，承包人应对现场作业、施工方法及所施工工程的完备性、稳定性和安全性承担全部责任，负责完成对工程的稳定、完整、安全、可靠及有效运行所必需的全部工作。</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21.2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21.3竣工验收前，承包人需提供完整的竣工验收资料，竣工验收后一个月内提供完整的竣工结算资料，承包人提供的所有资料必须满足工程备案要求。工程结算必须按规范编制，并经监理初审及发包人确认后报审计部门审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21.4在履行合同过程中，承包人不得转包，应遵守国家或地方的法律、法规、法令，或任何对工程有管辖权的部门的规章，并按要求支付有关费用。一经发现，取消承包资格，已完成的工程量不予结算。</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21.5承包人在施工过程中必须文明、安全、规范施工，保持环境整洁，减少扰民影响，并就工地围墙、照明、防护、标志、警告信号和门卫等做出具体安排，若有违章行为按规定处罚，一切责任自负。</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21.6承包人须自行踏勘施工现场，施工现场范围内的建筑垃圾及渣土由承包人负责清理并达到具备施工条件。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21.7本工程施工期间涉及环保、消防、城市卫生、市政、居委会、派出所等相关部门收取的费用，以及夜间施工、保护周边地下管线和架空线的安全的费用等，承包人均应综合考虑在投标报价中，竣工结算时一律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21.8承包人应充分考虑工程实施范围内外的单位、个人和其他可能出现的阻挠施工所发生的费用，发包人不再承担此类费用。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21.9施工过程中所需的垂直运输费、脚手架费用等措施费用由各承包人自行考虑，其费用列入投标报价，工程结算时不作调整。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21.10发生下列情况，承包人不向发包人收取任何费用：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①承包人为了加快工程进度和保证进度和保证工程正常进行，采取的各种措施；</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fldChar w:fldCharType="begin"/>
      </w:r>
      <w:r>
        <w:rPr>
          <w:rFonts w:hint="eastAsia" w:asciiTheme="minorEastAsia" w:hAnsiTheme="minorEastAsia" w:eastAsiaTheme="minorEastAsia" w:cstheme="minorEastAsia"/>
          <w:kern w:val="2"/>
          <w:sz w:val="24"/>
          <w:highlight w:val="none"/>
          <w:u w:val="single"/>
          <w:lang w:bidi="ar"/>
        </w:rPr>
        <w:instrText xml:space="preserve"> = 2 \* GB3 </w:instrText>
      </w:r>
      <w:r>
        <w:rPr>
          <w:rFonts w:hint="eastAsia" w:asciiTheme="minorEastAsia" w:hAnsiTheme="minorEastAsia" w:eastAsiaTheme="minorEastAsia" w:cstheme="minorEastAsia"/>
          <w:kern w:val="2"/>
          <w:sz w:val="24"/>
          <w:highlight w:val="none"/>
          <w:u w:val="single"/>
          <w:lang w:bidi="ar"/>
        </w:rPr>
        <w:fldChar w:fldCharType="separate"/>
      </w:r>
      <w:r>
        <w:rPr>
          <w:rFonts w:hint="eastAsia" w:asciiTheme="minorEastAsia" w:hAnsiTheme="minorEastAsia" w:eastAsiaTheme="minorEastAsia" w:cstheme="minorEastAsia"/>
          <w:kern w:val="2"/>
          <w:sz w:val="24"/>
          <w:highlight w:val="none"/>
          <w:u w:val="single"/>
          <w:lang w:bidi="ar"/>
        </w:rPr>
        <w:t>②</w:t>
      </w:r>
      <w:r>
        <w:rPr>
          <w:rFonts w:hint="eastAsia" w:asciiTheme="minorEastAsia" w:hAnsiTheme="minorEastAsia" w:eastAsiaTheme="minorEastAsia" w:cstheme="minorEastAsia"/>
          <w:kern w:val="2"/>
          <w:sz w:val="24"/>
          <w:highlight w:val="none"/>
          <w:u w:val="single"/>
          <w:lang w:bidi="ar"/>
        </w:rPr>
        <w:fldChar w:fldCharType="end"/>
      </w:r>
      <w:r>
        <w:rPr>
          <w:rFonts w:hint="eastAsia" w:asciiTheme="minorEastAsia" w:hAnsiTheme="minorEastAsia" w:eastAsiaTheme="minorEastAsia" w:cstheme="minorEastAsia"/>
          <w:kern w:val="2"/>
          <w:sz w:val="24"/>
          <w:highlight w:val="none"/>
          <w:u w:val="single"/>
          <w:lang w:bidi="ar"/>
        </w:rPr>
        <w:t>施工期间清理所有建筑垃圾（包括地上、地下障碍物）。</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21.11本工程实行监理制度。开工令以总监理工程师签发的开工令为准。为配合监理工作，特设以下规定：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(一)质量控制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1、质量管理、技术管理和质量保证组织机构建立不全或未建立的，应向发包人缴纳违约金2000元。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2、专职管理人员和特种作业人员无证上岗的或有证不在岗，每人每天分别按2000元、100元缴纳违约金。</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3、未经发包人、监理单位考察审查同意，总包单位擅自安排分包单位进场施工的，每次缴纳违约金2000元，并责令分包单位退场。</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4、项目组织机构人员不准时参加监理例会或中途退场者，每人每次缴纳违约金1000元。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5、施工组织设计、专项施工方案未报监理审批而擅自施工的每次缴纳违约金2000元。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6、进场的工程材料、构配件和设备未报监理验收或验收不合格擅自使用的，每次缴违约金2000元；未经监理部验收或验收不合格的检验批、工序、隐蔽工程等，承包人进入下道工序施工的，每次缴纳违约金2000元。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出现质量缺陷或竣工预验收、竣工验收中存在的问题，承包人不按监理通知要求进行整改并不及时回复，进入后道工序的，每次缴违约金2000元；对出现重大质量隐患，承包人未按监理暂停令进行整改或整改不力的，缴纳违约金2000元，并重新整改。</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8、监理例会上提出的质量问题、旁站过程中对出现的质量问题，要求承包人及时整改，而未整改或整改不力，缴纳违约金1000元。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9、送检的材料、构配件等未通知监理见证取样、封样、送样的，则缴纳违约金1000元。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10、在分项（工序）施工前，施工技术负责人依据方案、交底以及规范标准，组织分项（工序）样板施工，在施工部位注明工序名称、施工责任人、技术交底人，操作班组长、施工日期等。样板完成请监理、发包人及业主现场派驻人员共同验收，样板未通过不得进行工序施工。未执行样板制度则缴纳违约金2000元/项（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(二)进度控制</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1、承包人编制的进度计划中应明确各阶段的控制分界点，关键线路，劳动力动态变化图等。若每天记录的实际施工人数小于计划人数时，则每人每天向发包人支付违约金100元。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2、实际进度滞后计划进度时，承包人应在接到监理通知单后，落实纠偏调整措施并认真实施，否则向发包人支付违约金2000元；实际进度严重滞后进度计划时，则按照合同有关规定执行。</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3、承包人必须按合同规定的期限、程序，提出工程延期的申请，否则不同意延期。</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4、按照监理的要求提交周、月进度计划，否则承包人向发包人支付违约金，分别为200、500元。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5、监理例会上提出的进度问题，承包人未重视或处理，则缴纳违约金1000元。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（三）安全控制及文明施工管理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1、承包人未编制或编制未报监理部审批而实施的安全施工组织设计或安全技术措施、安全防范措施、应急救援预案、临时用电方案、专项安全施工方案等，每项每次缴纳违约金1000元。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2、未对全体员工进行安全生产教育培训和安全技术交底，经检查每人每次缴纳违约金100元；无双方签字确认的安全技术交底，每人每次缴纳违约金100元。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监理通知单和监理例会提出的安全隐患，承包人未进行整改或整改不力，每次每项承包人向发包人支付违约金1000元；对出现重大安全隐患，承包人未按监理暂停令进行整改或整改不力的，承包人向发包人支付违约金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4、对施工现场场容场貌、环境保护、防火、保安、施工区环境卫生、食堂卫生、厕所卫生管理未按照规定要求进行管理或管理不力，每项每次承包人向发包人支付违约金1000元。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进场的工人不戴安全帽，每人每次缴纳违约金50元，不正确系好帽带每人每次缴纳违约金100元；不正确使用安全网，张设缺扣的，每口缴纳违约金200元；超高不正确使用安全带每人缴纳违约金50元；楼梯口、电梯口、预留洞口、坑、井、通道口以及阳台、楼板、屋面等临边的防护，不符合安全规定要求的，承包人向发包人支付违约金500元/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6、对于发包人或监理单位向承包人发出的书面通知，项目经理应无条件的签收并执行，否则，承包人向发包人支付违约金2000元/次。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7、楼层内应设置消防用水，确保安全施工。若发包人、监理单位随机检查发现消防用水不符合规范要求，承包人向发包人支付违约金1000元/次。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8、在施工过程中若发生一次死亡事故，承包人安全保证金不予退还。发生重伤事故，承包人向发包人支付违约金 2000元/次。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9、安全台帐按江苏省最新版式统一建立，若发包人、监理单位随机检查发现未及时建立，或资料不齐全，不符合规范要求，承包人向发包人支付违约金1000元/次。</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四）未尽事宜：发包人委托监理对承包人的施工进行全过程监理。承包人在工程实施过程中必须服从监理人员的监督。如因承包人违反施工工艺顺序、使用不合格材料，工程实体质量及安全文明生产不符合相关规定，所投入的施工机械、人员不满足工程进度的需要，引起发包人和监理单位发出整改通知书的，视同违约，处罚如下：</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(1)如承包人接到第一次整改通知书，未按通知书规定的时间、内容、质量标准整改到位，至发包人或监理单位发出第二次整改通知书的，每次每处承包人支付给发包人违约金人民币2000元。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如承包人接到第二次整改通知书，仍未按通知书规定的时间、内容、标准整改到位，至使发包人或监理单位发出局部或全部停工令的，每次每处局部停工令承包人支付给发包人违约金人民币2000元，每次全部停工令承包人支付给发包人违约金人民币2000元。</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(3)如承包人接到发包人或监理单位局部或全部停工令，未按照停工令规定的时间、内容、质量标准整改到位，承包人按照合同价的3%支付发包人违约金。</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21.12廉政规定：承包人在投标过程和今后的施工过程中必须严格遵守国家廉政纪律，不得向发包人及相关单位的有关人员请客送礼，一旦发现有违纪行为取消中标资格。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21.13民工工资:</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1、承包人不得使用未成年人，按国家和部门规定发放劳动防护用品，因违反此类规定导致的罚款和赔偿由承包方负责。</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承包人应按时支付民工工资，材料款，如因承包人（含劳务分包人）不按时支付民工工资产生任何纠纷、上访、事故、影响正常办公等，均由承包人承担全部责任和赔偿，发包人暂停拨付工程款、耽误的工期不顺延，剩余的工程款将优先支付承包人民工工资，并每次处承包人合同总价1%的违约金给发包人。须重点检查劳务分包人员工资发放情况，并做好工资发放情况登记工作。</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3、承包人应配合公安部门做好外来人口登记及检查，发现可疑情况应向有关部门报告。发包人不承担因此引起的法律责任和经济责任。</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21.14重新检验：监理单位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21.15资料：分包单位提供完整技术竣工资料交承包人，纳入竣工资料管理。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21.16若在工程结算审计过程中发现承包人投标文件中的暂列金额或暂定价或暂估费用与招标文件中的暂列金额或暂定价或暂估费用不一致的，则均按招标文件中的暂列金额或暂定价或暂估费用扣减。</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21.17工程结算约定：</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①安全文明施工措施费，结算时按南通市建设工程造价管理处核定为准。</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②施工用水用电，审计中直接扣除。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③工程结算中发现承包人擅自改变了暂定价部分材料及项目数量及单价，则少计或漏计部分按招标文件规定扣除，多计部分按承包人投标报价扣除。</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④工程最终结算价以发包人指定的审计机构的最终审定价为准。发包人委托监理初审、审计机构终审，审计审定价与承包人编制的经监理初审后送审结算总价相差超过3%以上（含3%），超过部分的审核费用由承包人按核减额的10%负担，超过5%以上（含5%），除承担审核费用外，每超过1%，倒扣合同总价的1%。</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⑤下列费用在竣工结算时不作任何调整：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b因施工场地狭小而发生的一切费用。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c本工程的水源、电源已接至本工程范围内，再接至施工场地相关事宜由承包人自行安排所需费用。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d承包人对工程周边的有关群众工作，工程实施范围内外的单位、个人和其他出现阻挠施工所发生的机械台班停置费、二次机械进退场费、人员窝工、处理周边群众纠纷等费用和损失。</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f承包人为了加快工程进度和保证工程正常进行，采取的与经审核通过的施工组织设计所述不同的其他各种措施费用。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g不可竞争费用。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21.18本工程临时设施费用已列入本合同价中，工程结算时不作调整。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21.19下列项目由承包人负责，其费用作为措施项目费已列入合同价，工程结算时不作调整：</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(1)本工程所有材料、设备的场地租用及二次搬运费用；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(2)施工临时用地、道路、便道等修建费用及拆除、恢复原地面标高（须经监理及采购人认可）费用；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(3)施工期内因居民干扰所引起的各项费用（包括停工、窝工所引起的费用）；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 xml:space="preserve">(4)施工过程中对地下管线、建筑物的保护费用； </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(5)各类大型机械的进退场费、安拆费用及闲置费用；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(6) 现场垃圾清运费及环境保护费用；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(7) 现场的安全防护费用；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(8)施工围堰费用。</w:t>
      </w:r>
    </w:p>
    <w:p>
      <w:pPr>
        <w:spacing w:line="540" w:lineRule="exact"/>
        <w:ind w:firstLine="480" w:firstLineChars="200"/>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kern w:val="2"/>
          <w:sz w:val="24"/>
          <w:highlight w:val="none"/>
          <w:u w:val="single"/>
          <w:lang w:bidi="ar"/>
        </w:rPr>
        <w:t>21.20考虑到本工程工期较紧，并且施工中可能会受到季节、气候等的影响。承包已认真了解施工现场情况，充分考虑施工过程中可能出现的不利因素[如因赶工投入的模板、脚手支撑等措施费（含外聘专家咨询费），不同专业交叉作业、成品保护费、临时停电、停水、天气变化、材料到位、道路维护等等]，其所有费用已列入合同价中，工程结算时不作调整。</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21.21本工程所用的材料（除甲供材外）均由供应商负责采购，由承包人和材料供应商签订供货合同，并承担全部责任。采购的材料品牌、品名、型号、规格、材质等必须经发包人及监理书面认可。材料必须到发包人认可的质检部门送检，合格后方可使用。检测费用包含在合同价中。</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21.22本项目物业配合费500元需由成交供应商支付给南通市图书馆物业，其费用由供应商综合考虑，计入投标报价中，且不得单列，工程结算不作调整。</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21.23如工程量清单中的项目特征、工作内容或工程量与图纸之间出现任何歧义、不一致或矛盾时，应以工程量清单中的描述为准。</w:t>
      </w:r>
    </w:p>
    <w:p>
      <w:pPr>
        <w:spacing w:line="540" w:lineRule="exact"/>
        <w:ind w:firstLine="480" w:firstLineChars="200"/>
        <w:jc w:val="left"/>
        <w:rPr>
          <w:rFonts w:asciiTheme="minorEastAsia" w:hAnsiTheme="minorEastAsia" w:eastAsiaTheme="minorEastAsia" w:cstheme="minorEastAsia"/>
          <w:kern w:val="2"/>
          <w:sz w:val="24"/>
          <w:highlight w:val="none"/>
          <w:u w:val="single"/>
          <w:lang w:bidi="ar"/>
        </w:rPr>
      </w:pPr>
      <w:r>
        <w:rPr>
          <w:rFonts w:hint="eastAsia" w:asciiTheme="minorEastAsia" w:hAnsiTheme="minorEastAsia" w:eastAsiaTheme="minorEastAsia" w:cstheme="minorEastAsia"/>
          <w:kern w:val="2"/>
          <w:sz w:val="24"/>
          <w:highlight w:val="none"/>
          <w:u w:val="single"/>
          <w:lang w:bidi="ar"/>
        </w:rPr>
        <w:t>21.24因施工地点为办公区域，需合理安排施工时间和施工内容，不得影响正常办公。主要施工时间为法定节假日、双休日（遇有重要会议或活动需停止噪声、吊装等有影响作业），工作时间在确保不影响正常办公的前提下、征得采购人同意，可以进行作业。请供应商充分考虑以上因素对工期的影响。</w:t>
      </w:r>
    </w:p>
    <w:p>
      <w:pPr>
        <w:spacing w:after="120" w:line="540" w:lineRule="exac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2"/>
          <w:sz w:val="24"/>
          <w:highlight w:val="none"/>
          <w:lang w:bidi="ar"/>
        </w:rPr>
        <w:br w:type="page"/>
      </w:r>
      <w:r>
        <w:rPr>
          <w:rFonts w:hint="eastAsia" w:asciiTheme="minorEastAsia" w:hAnsiTheme="minorEastAsia" w:eastAsiaTheme="minorEastAsia" w:cstheme="minorEastAsia"/>
          <w:b/>
          <w:kern w:val="2"/>
          <w:sz w:val="24"/>
          <w:highlight w:val="none"/>
          <w:lang w:bidi="ar"/>
        </w:rPr>
        <w:t>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协议书附件：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附件1：承包人承揽工程项目一览表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专用合同条款附件：</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附件2：发包人供应材料设备一览表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附件3：工程质量保修书</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附件4：主要建设工程文件目录</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附件5：承包人主要施工管理人员表</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附件6：预付款担保格式（如有预付款）</w:t>
      </w:r>
    </w:p>
    <w:p>
      <w:pPr>
        <w:spacing w:line="54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lang w:bidi="ar"/>
        </w:rPr>
        <w:t>附件7：暂估价一览表</w:t>
      </w:r>
    </w:p>
    <w:p>
      <w:pPr>
        <w:rPr>
          <w:rFonts w:asciiTheme="minorEastAsia" w:hAnsiTheme="minorEastAsia" w:eastAsiaTheme="minorEastAsia" w:cstheme="minorEastAsia"/>
          <w:b/>
          <w:kern w:val="2"/>
          <w:sz w:val="24"/>
          <w:highlight w:val="none"/>
          <w:lang w:bidi="ar"/>
        </w:rPr>
        <w:sectPr>
          <w:footerReference r:id="rId9" w:type="default"/>
          <w:pgSz w:w="11906" w:h="16838"/>
          <w:pgMar w:top="1304" w:right="1361" w:bottom="1304" w:left="1361" w:header="851" w:footer="992" w:gutter="0"/>
          <w:pgNumType w:start="1"/>
          <w:cols w:space="720" w:num="1"/>
          <w:docGrid w:type="lines" w:linePitch="312" w:charSpace="0"/>
        </w:sectPr>
      </w:pPr>
    </w:p>
    <w:p>
      <w:pPr>
        <w:spacing w:before="156" w:beforeLines="50" w:after="156" w:afterLines="50" w:line="440" w:lineRule="exact"/>
        <w:jc w:val="left"/>
        <w:rPr>
          <w:rFonts w:ascii="宋体" w:hAnsi="宋体" w:eastAsia="宋体" w:cs="宋体"/>
          <w:sz w:val="24"/>
          <w:highlight w:val="none"/>
        </w:rPr>
      </w:pPr>
      <w:r>
        <w:rPr>
          <w:rFonts w:hint="eastAsia" w:ascii="宋体" w:hAnsi="宋体" w:eastAsia="宋体" w:cs="宋体"/>
          <w:kern w:val="2"/>
          <w:sz w:val="24"/>
          <w:highlight w:val="none"/>
          <w:lang w:bidi="ar"/>
        </w:rPr>
        <w:t>附件1：</w:t>
      </w:r>
    </w:p>
    <w:p>
      <w:pPr>
        <w:spacing w:before="156" w:beforeLines="50" w:after="156"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承包人承揽工程项目一览表</w:t>
      </w:r>
    </w:p>
    <w:tbl>
      <w:tblPr>
        <w:tblStyle w:val="88"/>
        <w:tblW w:w="141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9"/>
        <w:gridCol w:w="1789"/>
        <w:gridCol w:w="1376"/>
        <w:gridCol w:w="2339"/>
        <w:gridCol w:w="825"/>
        <w:gridCol w:w="1514"/>
        <w:gridCol w:w="2064"/>
        <w:gridCol w:w="1375"/>
        <w:gridCol w:w="826"/>
        <w:gridCol w:w="8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39"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单位工程名称</w:t>
            </w:r>
          </w:p>
        </w:tc>
        <w:tc>
          <w:tcPr>
            <w:tcW w:w="178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建设规模</w:t>
            </w:r>
          </w:p>
        </w:tc>
        <w:tc>
          <w:tcPr>
            <w:tcW w:w="137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建筑面积(平方米)</w:t>
            </w:r>
          </w:p>
        </w:tc>
        <w:tc>
          <w:tcPr>
            <w:tcW w:w="233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结构形式</w:t>
            </w:r>
          </w:p>
        </w:tc>
        <w:tc>
          <w:tcPr>
            <w:tcW w:w="82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层数</w:t>
            </w:r>
          </w:p>
        </w:tc>
        <w:tc>
          <w:tcPr>
            <w:tcW w:w="1514"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生产能力</w:t>
            </w:r>
          </w:p>
        </w:tc>
        <w:tc>
          <w:tcPr>
            <w:tcW w:w="2064"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设备安装内容</w:t>
            </w:r>
          </w:p>
        </w:tc>
        <w:tc>
          <w:tcPr>
            <w:tcW w:w="137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合同价格（元）</w:t>
            </w:r>
          </w:p>
        </w:tc>
        <w:tc>
          <w:tcPr>
            <w:tcW w:w="82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开工日期</w:t>
            </w:r>
          </w:p>
        </w:tc>
        <w:tc>
          <w:tcPr>
            <w:tcW w:w="825"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39" w:type="dxa"/>
            <w:tcBorders>
              <w:top w:val="single" w:color="auto" w:sz="6" w:space="0"/>
              <w:left w:val="single" w:color="auto" w:sz="12"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789"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6"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339"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514"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2064"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375"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6" w:type="dxa"/>
            <w:tcBorders>
              <w:top w:val="single" w:color="auto" w:sz="6" w:space="0"/>
              <w:left w:val="single" w:color="auto" w:sz="6" w:space="0"/>
              <w:bottom w:val="single" w:color="auto" w:sz="12"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25" w:type="dxa"/>
            <w:tcBorders>
              <w:top w:val="single" w:color="auto" w:sz="6" w:space="0"/>
              <w:left w:val="single" w:color="auto" w:sz="6" w:space="0"/>
              <w:bottom w:val="single" w:color="auto" w:sz="12"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bl>
    <w:p>
      <w:pPr>
        <w:rPr>
          <w:rFonts w:ascii="宋体" w:hAnsi="宋体" w:eastAsia="宋体" w:cs="宋体"/>
          <w:b/>
          <w:kern w:val="2"/>
          <w:sz w:val="24"/>
          <w:highlight w:val="none"/>
          <w:lang w:bidi="ar"/>
        </w:rPr>
        <w:sectPr>
          <w:pgSz w:w="16838" w:h="11906" w:orient="landscape"/>
          <w:pgMar w:top="1361" w:right="1361" w:bottom="1304" w:left="1361" w:header="851" w:footer="992" w:gutter="0"/>
          <w:cols w:space="720" w:num="1"/>
          <w:docGrid w:type="lines" w:linePitch="312" w:charSpace="0"/>
        </w:sectPr>
      </w:pPr>
    </w:p>
    <w:p>
      <w:pPr>
        <w:spacing w:line="440" w:lineRule="exact"/>
        <w:rPr>
          <w:rFonts w:ascii="宋体" w:hAnsi="宋体" w:eastAsia="宋体" w:cs="宋体"/>
          <w:sz w:val="24"/>
          <w:highlight w:val="none"/>
        </w:rPr>
      </w:pPr>
      <w:r>
        <w:rPr>
          <w:rFonts w:hint="eastAsia" w:ascii="宋体" w:hAnsi="宋体" w:eastAsia="宋体" w:cs="宋体"/>
          <w:kern w:val="2"/>
          <w:sz w:val="24"/>
          <w:highlight w:val="none"/>
          <w:lang w:bidi="ar"/>
        </w:rPr>
        <w:t>附件2：</w:t>
      </w: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发包人供应材料设备一览表</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5"/>
        <w:gridCol w:w="997"/>
        <w:gridCol w:w="1108"/>
        <w:gridCol w:w="735"/>
        <w:gridCol w:w="665"/>
        <w:gridCol w:w="816"/>
        <w:gridCol w:w="775"/>
        <w:gridCol w:w="665"/>
        <w:gridCol w:w="1162"/>
        <w:gridCol w:w="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5"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997"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 xml:space="preserve">  材料、</w:t>
            </w:r>
          </w:p>
          <w:p>
            <w:pPr>
              <w:pStyle w:val="81"/>
              <w:keepNext/>
              <w:widowControl w:val="0"/>
              <w:spacing w:before="0" w:beforeAutospacing="0" w:after="120" w:afterAutospacing="0" w:line="440" w:lineRule="exact"/>
              <w:ind w:right="63"/>
              <w:jc w:val="both"/>
              <w:rPr>
                <w:rFonts w:cs="宋体"/>
                <w:highlight w:val="none"/>
              </w:rPr>
            </w:pPr>
            <w:r>
              <w:rPr>
                <w:rFonts w:hint="eastAsia" w:cs="宋体"/>
                <w:kern w:val="2"/>
                <w:highlight w:val="none"/>
                <w:lang w:bidi="ar"/>
              </w:rPr>
              <w:t>设备品种</w:t>
            </w:r>
          </w:p>
        </w:tc>
        <w:tc>
          <w:tcPr>
            <w:tcW w:w="1108"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规格型号</w:t>
            </w:r>
          </w:p>
        </w:tc>
        <w:tc>
          <w:tcPr>
            <w:tcW w:w="73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66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816"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77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质量等级</w:t>
            </w:r>
          </w:p>
        </w:tc>
        <w:tc>
          <w:tcPr>
            <w:tcW w:w="665"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供应时间</w:t>
            </w:r>
          </w:p>
        </w:tc>
        <w:tc>
          <w:tcPr>
            <w:tcW w:w="1162"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送达地点</w:t>
            </w:r>
          </w:p>
        </w:tc>
        <w:tc>
          <w:tcPr>
            <w:tcW w:w="775"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997"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1108"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3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81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66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1162"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宋体"/>
                <w:sz w:val="24"/>
                <w:highlight w:val="none"/>
              </w:rPr>
            </w:pPr>
          </w:p>
        </w:tc>
        <w:tc>
          <w:tcPr>
            <w:tcW w:w="77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eastAsia="宋体" w:cs="宋体"/>
                <w:sz w:val="24"/>
                <w:highlight w:val="none"/>
              </w:rPr>
            </w:pPr>
          </w:p>
        </w:tc>
      </w:tr>
    </w:tbl>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 xml:space="preserve">附件3：    </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工程质量保修书</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发包人（全称）：</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承包人（全称）：</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w:t>
      </w:r>
    </w:p>
    <w:p>
      <w:pPr>
        <w:spacing w:line="540" w:lineRule="exact"/>
        <w:rPr>
          <w:rFonts w:ascii="宋体" w:hAnsi="宋体" w:eastAsia="宋体" w:cs="宋体"/>
          <w:sz w:val="24"/>
          <w:highlight w:val="none"/>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发包人和承包人根据《中华人民共和国建筑法》和《建设工程质量管理条例》，经协商一致就</w:t>
      </w:r>
      <w:r>
        <w:rPr>
          <w:rFonts w:hint="eastAsia" w:ascii="宋体" w:hAnsi="宋体" w:eastAsia="宋体" w:cs="宋体"/>
          <w:kern w:val="2"/>
          <w:sz w:val="24"/>
          <w:highlight w:val="none"/>
          <w:u w:val="single"/>
          <w:lang w:bidi="ar"/>
        </w:rPr>
        <w:t xml:space="preserve">南通市图书馆及综合服务中心档案库房恒温恒湿机组改造项目施工 </w:t>
      </w:r>
      <w:r>
        <w:rPr>
          <w:rFonts w:hint="eastAsia" w:ascii="宋体" w:hAnsi="宋体" w:eastAsia="宋体" w:cs="宋体"/>
          <w:kern w:val="2"/>
          <w:sz w:val="24"/>
          <w:highlight w:val="none"/>
          <w:lang w:bidi="ar"/>
        </w:rPr>
        <w:t>（工程全称）签订工程质量保修书。</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一、工程质量保修范围和内容</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承包人在质量保修期内，按照有关法律规定和合同约定，承担工程质量保修责任。</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w:t>
      </w:r>
    </w:p>
    <w:p>
      <w:pPr>
        <w:spacing w:line="540" w:lineRule="exact"/>
        <w:rPr>
          <w:rFonts w:ascii="宋体" w:hAnsi="宋体" w:eastAsia="宋体" w:cs="宋体"/>
          <w:sz w:val="24"/>
          <w:highlight w:val="none"/>
        </w:rPr>
      </w:pPr>
      <w:r>
        <w:rPr>
          <w:rFonts w:hint="eastAsia" w:ascii="宋体" w:hAnsi="宋体" w:eastAsia="宋体" w:cs="宋体"/>
          <w:b/>
          <w:kern w:val="2"/>
          <w:sz w:val="24"/>
          <w:highlight w:val="none"/>
          <w:lang w:bidi="ar"/>
        </w:rPr>
        <w:t>　　</w:t>
      </w:r>
      <w:r>
        <w:rPr>
          <w:rFonts w:hint="eastAsia" w:ascii="宋体" w:hAnsi="宋体" w:eastAsia="宋体" w:cs="宋体"/>
          <w:kern w:val="2"/>
          <w:sz w:val="24"/>
          <w:highlight w:val="none"/>
          <w:lang w:bidi="ar"/>
        </w:rPr>
        <w:t>二、质量保修期</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根据《建设工程质量管理条例》及有关规定，工程的质量保修期如下：</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1．地基基础工程和主体结构工程为设计文件规定的工程合理使用年限；</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2．屋面防水工程、有防水要求的卫生间、房间和外墙面的防渗为</w:t>
      </w:r>
      <w:r>
        <w:rPr>
          <w:rFonts w:hint="eastAsia" w:ascii="宋体" w:hAnsi="宋体" w:eastAsia="宋体" w:cs="宋体"/>
          <w:kern w:val="2"/>
          <w:sz w:val="24"/>
          <w:highlight w:val="none"/>
          <w:u w:val="single"/>
          <w:lang w:bidi="ar"/>
        </w:rPr>
        <w:t xml:space="preserve">   5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3．装修工程为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4．电气管线、给排水管道、设备安装工程为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5．供热与供冷系统为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个采暖期、供冷期；</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6．住宅小区内的给排水设施、道路等配套工程为</w:t>
      </w:r>
      <w:r>
        <w:rPr>
          <w:rFonts w:hint="eastAsia" w:ascii="宋体" w:hAnsi="宋体" w:eastAsia="宋体" w:cs="宋体"/>
          <w:kern w:val="2"/>
          <w:sz w:val="24"/>
          <w:highlight w:val="none"/>
          <w:u w:val="single"/>
          <w:lang w:bidi="ar"/>
        </w:rPr>
        <w:t xml:space="preserve">  2  </w:t>
      </w:r>
      <w:r>
        <w:rPr>
          <w:rFonts w:hint="eastAsia" w:ascii="宋体" w:hAnsi="宋体" w:eastAsia="宋体" w:cs="宋体"/>
          <w:kern w:val="2"/>
          <w:sz w:val="24"/>
          <w:highlight w:val="none"/>
          <w:lang w:bidi="ar"/>
        </w:rPr>
        <w:t>年；</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7．其他项目保修期限约定如下：</w:t>
      </w:r>
      <w:r>
        <w:rPr>
          <w:rFonts w:hint="eastAsia" w:ascii="宋体" w:hAnsi="宋体" w:eastAsia="宋体" w:cs="宋体"/>
          <w:kern w:val="2"/>
          <w:sz w:val="24"/>
          <w:highlight w:val="none"/>
          <w:u w:val="single"/>
          <w:lang w:bidi="ar"/>
        </w:rPr>
        <w:t xml:space="preserve"> 本项目（含设备）及未列明项目的质保期暂定5年</w:t>
      </w:r>
      <w:bookmarkStart w:id="99" w:name="OLE_LINK4"/>
      <w:r>
        <w:rPr>
          <w:rFonts w:hint="eastAsia" w:ascii="宋体" w:hAnsi="宋体" w:eastAsia="宋体" w:cs="宋体"/>
          <w:kern w:val="2"/>
          <w:sz w:val="24"/>
          <w:highlight w:val="none"/>
          <w:u w:val="single"/>
          <w:lang w:bidi="ar"/>
        </w:rPr>
        <w:t>（具体以承包人商务技术文件中承诺为准）</w:t>
      </w:r>
      <w:bookmarkEnd w:id="99"/>
      <w:r>
        <w:rPr>
          <w:rFonts w:hint="eastAsia" w:ascii="宋体" w:hAnsi="宋体" w:eastAsia="宋体" w:cs="宋体"/>
          <w:kern w:val="2"/>
          <w:sz w:val="24"/>
          <w:highlight w:val="none"/>
          <w:lang w:bidi="ar"/>
        </w:rPr>
        <w:t>。</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质量保修期自工程竣工验收合格之日起计算。</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三、缺陷责任期</w:t>
      </w:r>
    </w:p>
    <w:p>
      <w:pPr>
        <w:spacing w:line="540" w:lineRule="exact"/>
        <w:ind w:firstLine="480" w:firstLineChars="200"/>
        <w:rPr>
          <w:rFonts w:ascii="宋体" w:hAnsi="宋体" w:eastAsia="宋体" w:cs="宋体"/>
          <w:sz w:val="24"/>
          <w:highlight w:val="none"/>
        </w:rPr>
      </w:pPr>
      <w:r>
        <w:rPr>
          <w:rFonts w:hint="eastAsia" w:ascii="宋体" w:hAnsi="宋体" w:eastAsia="宋体" w:cs="宋体"/>
          <w:kern w:val="2"/>
          <w:sz w:val="24"/>
          <w:highlight w:val="none"/>
          <w:lang w:bidi="ar"/>
        </w:rPr>
        <w:t>工程缺陷责任期为</w:t>
      </w:r>
      <w:r>
        <w:rPr>
          <w:rFonts w:hint="eastAsia" w:ascii="宋体" w:hAnsi="宋体" w:eastAsia="宋体" w:cs="宋体"/>
          <w:kern w:val="2"/>
          <w:sz w:val="24"/>
          <w:highlight w:val="none"/>
          <w:u w:val="single"/>
          <w:lang w:bidi="ar"/>
        </w:rPr>
        <w:t xml:space="preserve"> 24 </w:t>
      </w:r>
      <w:r>
        <w:rPr>
          <w:rFonts w:hint="eastAsia" w:ascii="宋体" w:hAnsi="宋体" w:eastAsia="宋体" w:cs="宋体"/>
          <w:kern w:val="2"/>
          <w:sz w:val="24"/>
          <w:highlight w:val="none"/>
          <w:lang w:bidi="ar"/>
        </w:rPr>
        <w:t>个月，缺陷责任期自工程实际竣工之日起计算。单位工程先于全部工程进行验收，单位工程缺陷责任期自单位工程验收合格之日起算。</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xml:space="preserve">    四、质量保修责任</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1．属于保修范围、内容的项目，承包人应当在接到保修通知之日起48小时内派人保修。承包人不在约定期限内派人保修的，发包人可以委托他人修理。</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2．发生紧急事故需抢修的，承包人在接到事故通知后，应当立即到达事故现场抢修。</w:t>
      </w:r>
    </w:p>
    <w:p>
      <w:pPr>
        <w:spacing w:line="540" w:lineRule="exact"/>
        <w:ind w:left="105" w:leftChars="50" w:firstLine="489" w:firstLineChars="204"/>
        <w:rPr>
          <w:rFonts w:ascii="宋体" w:hAnsi="宋体" w:eastAsia="宋体" w:cs="宋体"/>
          <w:sz w:val="24"/>
          <w:highlight w:val="none"/>
        </w:rPr>
      </w:pPr>
      <w:r>
        <w:rPr>
          <w:rFonts w:hint="eastAsia" w:ascii="宋体" w:hAnsi="宋体" w:eastAsia="宋体" w:cs="宋体"/>
          <w:kern w:val="2"/>
          <w:sz w:val="24"/>
          <w:highlight w:val="none"/>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ascii="宋体" w:hAnsi="宋体" w:eastAsia="宋体" w:cs="宋体"/>
          <w:sz w:val="24"/>
          <w:highlight w:val="none"/>
        </w:rPr>
      </w:pPr>
      <w:r>
        <w:rPr>
          <w:rFonts w:hint="eastAsia" w:ascii="宋体" w:hAnsi="宋体" w:eastAsia="宋体" w:cs="宋体"/>
          <w:kern w:val="2"/>
          <w:sz w:val="24"/>
          <w:highlight w:val="none"/>
          <w:lang w:bidi="ar"/>
        </w:rPr>
        <w:t>4．质量保修完成后，由发包人组织验收。</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五、保修费用</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保修费用由造成质量缺陷的责任方承担。</w:t>
      </w:r>
    </w:p>
    <w:p>
      <w:pPr>
        <w:spacing w:line="540" w:lineRule="exact"/>
        <w:ind w:firstLine="600"/>
        <w:jc w:val="left"/>
        <w:rPr>
          <w:rFonts w:ascii="宋体" w:hAnsi="宋体" w:eastAsia="宋体" w:cs="宋体"/>
          <w:sz w:val="24"/>
          <w:highlight w:val="none"/>
        </w:rPr>
      </w:pPr>
      <w:r>
        <w:rPr>
          <w:rFonts w:hint="eastAsia" w:ascii="宋体" w:hAnsi="宋体" w:eastAsia="宋体" w:cs="宋体"/>
          <w:b/>
          <w:kern w:val="2"/>
          <w:sz w:val="24"/>
          <w:highlight w:val="none"/>
          <w:lang w:bidi="ar"/>
        </w:rPr>
        <w:t>六</w:t>
      </w:r>
      <w:r>
        <w:rPr>
          <w:rFonts w:hint="eastAsia" w:ascii="宋体" w:hAnsi="宋体" w:eastAsia="宋体" w:cs="宋体"/>
          <w:kern w:val="2"/>
          <w:sz w:val="24"/>
          <w:highlight w:val="none"/>
          <w:lang w:bidi="ar"/>
        </w:rPr>
        <w:t>、双方约定的其他工程质量保修事项：</w:t>
      </w:r>
      <w:r>
        <w:rPr>
          <w:rFonts w:hint="eastAsia" w:ascii="宋体" w:hAnsi="宋体" w:eastAsia="宋体" w:cs="宋体"/>
          <w:kern w:val="2"/>
          <w:sz w:val="24"/>
          <w:highlight w:val="none"/>
          <w:u w:val="single"/>
          <w:lang w:bidi="ar"/>
        </w:rPr>
        <w:t xml:space="preserve">          /         </w:t>
      </w:r>
      <w:r>
        <w:rPr>
          <w:rFonts w:hint="eastAsia" w:ascii="宋体" w:hAnsi="宋体" w:eastAsia="宋体" w:cs="宋体"/>
          <w:kern w:val="2"/>
          <w:sz w:val="24"/>
          <w:highlight w:val="none"/>
          <w:lang w:bidi="ar"/>
        </w:rPr>
        <w:t>。</w:t>
      </w:r>
    </w:p>
    <w:p>
      <w:pPr>
        <w:spacing w:line="540" w:lineRule="exact"/>
        <w:ind w:firstLine="456" w:firstLineChars="190"/>
        <w:rPr>
          <w:rFonts w:ascii="宋体" w:hAnsi="宋体" w:eastAsia="宋体" w:cs="宋体"/>
          <w:sz w:val="24"/>
          <w:highlight w:val="none"/>
        </w:rPr>
      </w:pPr>
      <w:r>
        <w:rPr>
          <w:rFonts w:hint="eastAsia" w:ascii="宋体" w:hAnsi="宋体" w:eastAsia="宋体" w:cs="宋体"/>
          <w:kern w:val="2"/>
          <w:sz w:val="24"/>
          <w:highlight w:val="none"/>
          <w:lang w:bidi="ar"/>
        </w:rPr>
        <w:t>工程质量保修书由发包人、承包人在工程竣工验收前共同签署，作为施工合同附件，其有效期限至保修期满。</w:t>
      </w:r>
    </w:p>
    <w:p>
      <w:pPr>
        <w:spacing w:line="540" w:lineRule="exact"/>
        <w:ind w:firstLine="420"/>
        <w:rPr>
          <w:rFonts w:ascii="宋体" w:hAnsi="宋体" w:eastAsia="宋体" w:cs="宋体"/>
          <w:sz w:val="24"/>
          <w:highlight w:val="none"/>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发包人(公章)：</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承包人(公章)：</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地  址：</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地  址：</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法定代表人(签字)：</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法定代表人(签字)：</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委托代理人(签字)：</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委托代理人(签字)：</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电  话：</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电  话：</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传  真：</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传  真：</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开户银行：</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开户银行：</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账  号：</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账  号：</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邮政编码：</w:t>
      </w:r>
      <w:r>
        <w:rPr>
          <w:rFonts w:hint="eastAsia" w:ascii="宋体" w:hAnsi="宋体" w:eastAsia="宋体" w:cs="宋体"/>
          <w:kern w:val="2"/>
          <w:sz w:val="24"/>
          <w:highlight w:val="none"/>
          <w:u w:val="single"/>
          <w:lang w:bidi="ar"/>
        </w:rPr>
        <w:t xml:space="preserve">                </w:t>
      </w:r>
      <w:r>
        <w:rPr>
          <w:rFonts w:hint="eastAsia" w:ascii="宋体" w:hAnsi="宋体" w:eastAsia="宋体" w:cs="宋体"/>
          <w:kern w:val="2"/>
          <w:sz w:val="24"/>
          <w:highlight w:val="none"/>
          <w:lang w:bidi="ar"/>
        </w:rPr>
        <w:t xml:space="preserve"> 邮政编码：</w:t>
      </w:r>
      <w:r>
        <w:rPr>
          <w:rFonts w:hint="eastAsia" w:ascii="宋体" w:hAnsi="宋体" w:eastAsia="宋体" w:cs="宋体"/>
          <w:kern w:val="2"/>
          <w:sz w:val="24"/>
          <w:highlight w:val="none"/>
          <w:u w:val="single"/>
          <w:lang w:bidi="ar"/>
        </w:rPr>
        <w:t xml:space="preserve">                </w:t>
      </w:r>
    </w:p>
    <w:p>
      <w:pPr>
        <w:spacing w:line="540" w:lineRule="exact"/>
        <w:rPr>
          <w:rFonts w:ascii="宋体" w:hAnsi="宋体" w:eastAsia="宋体" w:cs="宋体"/>
          <w:sz w:val="24"/>
          <w:highlight w:val="none"/>
        </w:rPr>
      </w:pPr>
      <w:r>
        <w:rPr>
          <w:rFonts w:hint="eastAsia" w:ascii="宋体" w:hAnsi="宋体" w:eastAsia="宋体" w:cs="宋体"/>
          <w:b/>
          <w:kern w:val="2"/>
          <w:sz w:val="24"/>
          <w:highlight w:val="none"/>
          <w:lang w:bidi="ar"/>
        </w:rPr>
        <w:br w:type="page"/>
      </w:r>
      <w:r>
        <w:rPr>
          <w:rFonts w:hint="eastAsia" w:ascii="宋体" w:hAnsi="宋体" w:eastAsia="宋体" w:cs="宋体"/>
          <w:kern w:val="2"/>
          <w:sz w:val="24"/>
          <w:highlight w:val="none"/>
          <w:lang w:bidi="ar"/>
        </w:rPr>
        <w:t>附件4：</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主要建设工程文件目录</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7"/>
        <w:gridCol w:w="1181"/>
        <w:gridCol w:w="1341"/>
        <w:gridCol w:w="1150"/>
        <w:gridCol w:w="1342"/>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07"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文件名称</w:t>
            </w:r>
          </w:p>
        </w:tc>
        <w:tc>
          <w:tcPr>
            <w:tcW w:w="1181"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套数</w:t>
            </w:r>
          </w:p>
        </w:tc>
        <w:tc>
          <w:tcPr>
            <w:tcW w:w="1341"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费用（元）</w:t>
            </w:r>
          </w:p>
        </w:tc>
        <w:tc>
          <w:tcPr>
            <w:tcW w:w="1150"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质量</w:t>
            </w:r>
          </w:p>
        </w:tc>
        <w:tc>
          <w:tcPr>
            <w:tcW w:w="1342" w:type="dxa"/>
            <w:tcBorders>
              <w:top w:val="single" w:color="auto" w:sz="12" w:space="0"/>
              <w:left w:val="single" w:color="auto" w:sz="6" w:space="0"/>
              <w:bottom w:val="double" w:color="auto" w:sz="6" w:space="0"/>
              <w:right w:val="single" w:color="auto" w:sz="6" w:space="0"/>
            </w:tcBorders>
          </w:tcPr>
          <w:p>
            <w:pPr>
              <w:spacing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移交时间</w:t>
            </w:r>
          </w:p>
        </w:tc>
        <w:tc>
          <w:tcPr>
            <w:tcW w:w="1542" w:type="dxa"/>
            <w:tcBorders>
              <w:top w:val="single" w:color="auto" w:sz="12" w:space="0"/>
              <w:left w:val="single" w:color="auto" w:sz="6" w:space="0"/>
              <w:bottom w:val="double" w:color="auto" w:sz="6" w:space="0"/>
              <w:right w:val="single" w:color="auto" w:sz="12" w:space="0"/>
            </w:tcBorders>
          </w:tcPr>
          <w:p>
            <w:pPr>
              <w:spacing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doub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doub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doub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nil"/>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8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1"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150"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542"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6"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6" w:space="0"/>
              <w:right w:val="single" w:color="auto" w:sz="12" w:space="0"/>
            </w:tcBorders>
          </w:tcPr>
          <w:p>
            <w:pPr>
              <w:spacing w:line="540" w:lineRule="exact"/>
              <w:rPr>
                <w:rFonts w:ascii="宋体" w:hAnsi="宋体" w:eastAsia="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7" w:type="dxa"/>
            <w:tcBorders>
              <w:top w:val="single" w:color="auto" w:sz="6" w:space="0"/>
              <w:left w:val="single" w:color="auto" w:sz="12"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181"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341"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150"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342" w:type="dxa"/>
            <w:tcBorders>
              <w:top w:val="single" w:color="auto" w:sz="6" w:space="0"/>
              <w:left w:val="single" w:color="auto" w:sz="6" w:space="0"/>
              <w:bottom w:val="single" w:color="auto" w:sz="12" w:space="0"/>
              <w:right w:val="single" w:color="auto" w:sz="6" w:space="0"/>
            </w:tcBorders>
          </w:tcPr>
          <w:p>
            <w:pPr>
              <w:spacing w:line="540" w:lineRule="exact"/>
              <w:rPr>
                <w:rFonts w:ascii="宋体" w:hAnsi="宋体" w:eastAsia="宋体" w:cs="宋体"/>
                <w:sz w:val="24"/>
                <w:highlight w:val="none"/>
              </w:rPr>
            </w:pPr>
          </w:p>
        </w:tc>
        <w:tc>
          <w:tcPr>
            <w:tcW w:w="1542" w:type="dxa"/>
            <w:tcBorders>
              <w:top w:val="single" w:color="auto" w:sz="6" w:space="0"/>
              <w:left w:val="single" w:color="auto" w:sz="6" w:space="0"/>
              <w:bottom w:val="single" w:color="auto" w:sz="12" w:space="0"/>
              <w:right w:val="single" w:color="auto" w:sz="12" w:space="0"/>
            </w:tcBorders>
          </w:tcPr>
          <w:p>
            <w:pPr>
              <w:spacing w:line="540" w:lineRule="exact"/>
              <w:rPr>
                <w:rFonts w:ascii="宋体" w:hAnsi="宋体" w:eastAsia="宋体" w:cs="宋体"/>
                <w:sz w:val="24"/>
                <w:highlight w:val="none"/>
              </w:rPr>
            </w:pPr>
          </w:p>
        </w:tc>
      </w:tr>
    </w:tbl>
    <w:p>
      <w:pPr>
        <w:spacing w:line="540" w:lineRule="exact"/>
        <w:rPr>
          <w:rFonts w:ascii="宋体" w:hAnsi="宋体" w:eastAsia="宋体" w:cs="宋体"/>
          <w:sz w:val="24"/>
          <w:highlight w:val="none"/>
        </w:rPr>
      </w:pPr>
    </w:p>
    <w:p>
      <w:pPr>
        <w:spacing w:line="540" w:lineRule="exact"/>
        <w:rPr>
          <w:rFonts w:ascii="宋体" w:hAnsi="宋体" w:eastAsia="宋体" w:cs="宋体"/>
          <w:kern w:val="2"/>
          <w:sz w:val="24"/>
          <w:highlight w:val="none"/>
          <w:lang w:bidi="ar"/>
        </w:rPr>
      </w:pPr>
    </w:p>
    <w:p>
      <w:pPr>
        <w:spacing w:line="540" w:lineRule="exact"/>
        <w:rPr>
          <w:rFonts w:ascii="宋体" w:hAnsi="宋体" w:eastAsia="宋体" w:cs="宋体"/>
          <w:kern w:val="2"/>
          <w:sz w:val="24"/>
          <w:highlight w:val="none"/>
          <w:lang w:bidi="ar"/>
        </w:rPr>
      </w:pPr>
    </w:p>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附件5：</w:t>
      </w:r>
    </w:p>
    <w:p>
      <w:pPr>
        <w:spacing w:before="120" w:beforeLines="50" w:after="120" w:afterLines="50" w:line="5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承包人主要施工管理人员表</w:t>
      </w:r>
    </w:p>
    <w:tbl>
      <w:tblPr>
        <w:tblStyle w:val="88"/>
        <w:tblW w:w="83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8"/>
        <w:gridCol w:w="36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12" w:space="0"/>
              <w:left w:val="single" w:color="auto" w:sz="12"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名    称</w:t>
            </w:r>
          </w:p>
        </w:tc>
        <w:tc>
          <w:tcPr>
            <w:tcW w:w="1209"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姓名</w:t>
            </w:r>
          </w:p>
        </w:tc>
        <w:tc>
          <w:tcPr>
            <w:tcW w:w="967"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职务</w:t>
            </w:r>
          </w:p>
        </w:tc>
        <w:tc>
          <w:tcPr>
            <w:tcW w:w="968" w:type="dxa"/>
            <w:tcBorders>
              <w:top w:val="single" w:color="auto" w:sz="12" w:space="0"/>
              <w:left w:val="single" w:color="auto" w:sz="6" w:space="0"/>
              <w:bottom w:val="doub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职称</w:t>
            </w:r>
          </w:p>
        </w:tc>
        <w:tc>
          <w:tcPr>
            <w:tcW w:w="3624" w:type="dxa"/>
            <w:tcBorders>
              <w:top w:val="single" w:color="auto" w:sz="12" w:space="0"/>
              <w:left w:val="single" w:color="auto" w:sz="6" w:space="0"/>
              <w:bottom w:val="doub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tcBorders>
              <w:top w:val="double" w:color="auto" w:sz="6" w:space="0"/>
              <w:left w:val="single" w:color="auto" w:sz="12"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nil"/>
              <w:left w:val="single" w:color="auto" w:sz="12"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项目主管</w:t>
            </w:r>
          </w:p>
        </w:tc>
        <w:tc>
          <w:tcPr>
            <w:tcW w:w="1209"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nil"/>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nil"/>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tcBorders>
              <w:top w:val="single" w:color="auto" w:sz="6" w:space="0"/>
              <w:left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其他人员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left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left w:val="single" w:color="auto" w:sz="12"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tcBorders>
              <w:top w:val="single" w:color="auto" w:sz="6" w:space="0"/>
              <w:left w:val="single" w:color="auto" w:sz="12"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项目经理</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项目副经理（如有）</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技术负责人</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质量员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施工员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tcBorders>
              <w:top w:val="single" w:color="auto" w:sz="6" w:space="0"/>
              <w:left w:val="single" w:color="auto" w:sz="12"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安全员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tcBorders>
              <w:top w:val="single" w:color="auto" w:sz="6" w:space="0"/>
              <w:left w:val="single" w:color="auto" w:sz="12" w:space="0"/>
              <w:bottom w:val="single" w:color="auto" w:sz="12"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r>
              <w:rPr>
                <w:rFonts w:hint="eastAsia" w:cs="宋体"/>
                <w:kern w:val="2"/>
                <w:highlight w:val="none"/>
                <w:lang w:bidi="ar"/>
              </w:rPr>
              <w:t>其他人员</w:t>
            </w: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top w:val="single" w:color="auto" w:sz="6" w:space="0"/>
              <w:left w:val="single" w:color="auto" w:sz="12" w:space="0"/>
              <w:bottom w:val="single" w:color="auto" w:sz="12" w:space="0"/>
              <w:right w:val="single" w:color="auto" w:sz="6" w:space="0"/>
            </w:tcBorders>
            <w:vAlign w:val="center"/>
          </w:tcPr>
          <w:p>
            <w:pPr>
              <w:rPr>
                <w:rFonts w:ascii="宋体" w:hAnsi="宋体" w:eastAsia="宋体" w:cs="宋体"/>
                <w:sz w:val="24"/>
                <w:highlight w:val="none"/>
              </w:rPr>
            </w:pPr>
          </w:p>
        </w:tc>
        <w:tc>
          <w:tcPr>
            <w:tcW w:w="1209"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nil"/>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nil"/>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tcBorders>
              <w:top w:val="single" w:color="auto" w:sz="6" w:space="0"/>
              <w:left w:val="single" w:color="auto" w:sz="12" w:space="0"/>
              <w:bottom w:val="single" w:color="auto" w:sz="12" w:space="0"/>
              <w:right w:val="single" w:color="auto" w:sz="6" w:space="0"/>
            </w:tcBorders>
            <w:vAlign w:val="center"/>
          </w:tcPr>
          <w:p>
            <w:pPr>
              <w:rPr>
                <w:rFonts w:ascii="宋体" w:hAnsi="宋体" w:eastAsia="宋体" w:cs="宋体"/>
                <w:sz w:val="24"/>
                <w:highlight w:val="none"/>
              </w:rPr>
            </w:pPr>
          </w:p>
        </w:tc>
        <w:tc>
          <w:tcPr>
            <w:tcW w:w="1209"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7"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c>
          <w:tcPr>
            <w:tcW w:w="3624" w:type="dxa"/>
            <w:tcBorders>
              <w:top w:val="single" w:color="auto" w:sz="6" w:space="0"/>
              <w:left w:val="single" w:color="auto" w:sz="6" w:space="0"/>
              <w:bottom w:val="single" w:color="auto" w:sz="6" w:space="0"/>
              <w:right w:val="single" w:color="auto" w:sz="12" w:space="0"/>
            </w:tcBorders>
            <w:vAlign w:val="center"/>
          </w:tcPr>
          <w:p>
            <w:pPr>
              <w:pStyle w:val="81"/>
              <w:keepNext/>
              <w:widowControl w:val="0"/>
              <w:spacing w:before="0" w:beforeAutospacing="0" w:after="120" w:afterAutospacing="0" w:line="540" w:lineRule="exact"/>
              <w:ind w:left="63" w:right="63"/>
              <w:jc w:val="both"/>
              <w:rPr>
                <w:rFonts w:cs="宋体"/>
                <w:highlight w:val="none"/>
              </w:rPr>
            </w:pPr>
          </w:p>
        </w:tc>
      </w:tr>
    </w:tbl>
    <w:p>
      <w:pPr>
        <w:spacing w:line="540" w:lineRule="exact"/>
        <w:rPr>
          <w:rFonts w:ascii="宋体" w:hAnsi="宋体" w:eastAsia="宋体" w:cs="宋体"/>
          <w:sz w:val="24"/>
          <w:highlight w:val="none"/>
        </w:rPr>
      </w:pPr>
      <w:r>
        <w:rPr>
          <w:rFonts w:hint="eastAsia" w:ascii="宋体" w:hAnsi="宋体" w:eastAsia="宋体" w:cs="宋体"/>
          <w:kern w:val="2"/>
          <w:sz w:val="24"/>
          <w:highlight w:val="none"/>
          <w:lang w:bidi="ar"/>
        </w:rPr>
        <w:t xml:space="preserve"> </w:t>
      </w: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附件6 ：</w:t>
      </w:r>
    </w:p>
    <w:p>
      <w:pPr>
        <w:widowControl/>
        <w:jc w:val="center"/>
        <w:rPr>
          <w:rFonts w:ascii="宋体" w:hAnsi="宋体" w:eastAsia="宋体" w:cs="宋体"/>
          <w:sz w:val="24"/>
          <w:highlight w:val="none"/>
        </w:rPr>
      </w:pPr>
      <w:r>
        <w:rPr>
          <w:rFonts w:hint="eastAsia" w:ascii="宋体" w:hAnsi="宋体" w:eastAsia="宋体" w:cs="宋体"/>
          <w:b/>
          <w:sz w:val="24"/>
          <w:highlight w:val="none"/>
          <w:lang w:bidi="ar"/>
        </w:rPr>
        <w:t>开工预付款银行保函</w:t>
      </w:r>
    </w:p>
    <w:p>
      <w:pPr>
        <w:widowControl/>
        <w:spacing w:line="400" w:lineRule="exact"/>
        <w:jc w:val="lef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kern w:val="2"/>
          <w:sz w:val="24"/>
          <w:highlight w:val="none"/>
          <w:lang w:bidi="ar"/>
        </w:rPr>
        <w:t>致：</w:t>
      </w:r>
      <w:r>
        <w:rPr>
          <w:rFonts w:hint="eastAsia" w:ascii="宋体" w:hAnsi="宋体" w:eastAsia="宋体" w:cs="宋体"/>
          <w:sz w:val="24"/>
          <w:highlight w:val="none"/>
          <w:u w:val="single"/>
          <w:lang w:bidi="ar"/>
        </w:rPr>
        <w:t xml:space="preserve">南通市机关事务管理局 </w:t>
      </w:r>
    </w:p>
    <w:p>
      <w:pPr>
        <w:widowControl/>
        <w:spacing w:line="400" w:lineRule="exact"/>
        <w:ind w:firstLine="480"/>
        <w:jc w:val="left"/>
        <w:rPr>
          <w:rFonts w:ascii="宋体" w:hAnsi="宋体" w:eastAsia="宋体" w:cs="宋体"/>
          <w:sz w:val="24"/>
          <w:highlight w:val="none"/>
          <w:u w:val="single"/>
        </w:rPr>
      </w:pPr>
      <w:r>
        <w:rPr>
          <w:rFonts w:hint="eastAsia" w:ascii="宋体" w:hAnsi="宋体" w:eastAsia="宋体" w:cs="宋体"/>
          <w:kern w:val="2"/>
          <w:sz w:val="24"/>
          <w:highlight w:val="none"/>
          <w:lang w:bidi="ar"/>
        </w:rPr>
        <w:t>根据</w:t>
      </w:r>
      <w:r>
        <w:rPr>
          <w:rFonts w:hint="eastAsia" w:ascii="宋体" w:hAnsi="宋体" w:eastAsia="宋体" w:cs="宋体"/>
          <w:sz w:val="24"/>
          <w:highlight w:val="none"/>
          <w:u w:val="single"/>
          <w:lang w:bidi="ar"/>
        </w:rPr>
        <w:t>（承包人全称）</w:t>
      </w:r>
      <w:r>
        <w:rPr>
          <w:rFonts w:hint="eastAsia" w:ascii="宋体" w:hAnsi="宋体" w:eastAsia="宋体" w:cs="宋体"/>
          <w:kern w:val="2"/>
          <w:sz w:val="24"/>
          <w:highlight w:val="none"/>
          <w:lang w:bidi="ar"/>
        </w:rPr>
        <w:t>（以下简称“承包人”）与</w:t>
      </w:r>
      <w:r>
        <w:rPr>
          <w:rFonts w:hint="eastAsia" w:ascii="宋体" w:hAnsi="宋体" w:eastAsia="宋体" w:cs="宋体"/>
          <w:sz w:val="24"/>
          <w:highlight w:val="none"/>
          <w:u w:val="single"/>
          <w:lang w:bidi="ar"/>
        </w:rPr>
        <w:t>南通市机关事务管理局下</w:t>
      </w:r>
      <w:r>
        <w:rPr>
          <w:rFonts w:hint="eastAsia" w:ascii="宋体" w:hAnsi="宋体" w:eastAsia="宋体" w:cs="宋体"/>
          <w:kern w:val="2"/>
          <w:sz w:val="24"/>
          <w:highlight w:val="none"/>
          <w:lang w:bidi="ar"/>
        </w:rPr>
        <w:t>（以下简称“业主”）签订的</w:t>
      </w:r>
      <w:r>
        <w:rPr>
          <w:rFonts w:hint="eastAsia" w:ascii="宋体" w:hAnsi="宋体" w:eastAsia="宋体" w:cs="宋体"/>
          <w:b/>
          <w:kern w:val="2"/>
          <w:sz w:val="24"/>
          <w:highlight w:val="none"/>
          <w:u w:val="single"/>
          <w:lang w:bidi="ar"/>
        </w:rPr>
        <w:t>南通市图书馆及综合服务中心档案库房恒温恒湿机组改造项目</w:t>
      </w:r>
      <w:r>
        <w:rPr>
          <w:rFonts w:hint="eastAsia" w:ascii="宋体" w:hAnsi="宋体" w:eastAsia="宋体" w:cs="宋体"/>
          <w:kern w:val="2"/>
          <w:sz w:val="24"/>
          <w:highlight w:val="none"/>
          <w:lang w:bidi="ar"/>
        </w:rPr>
        <w:t>规定，承包人按</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的金额提交一份开工预付款银行保函（以下简称“保函”）作为担保，承包人即有权得到业主支付的一笔相等金额的开工预付款。我行愿意出具保函为承包人担保，担保金额为人民币（大写）</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元</w:t>
      </w:r>
      <w:r>
        <w:rPr>
          <w:rFonts w:hint="eastAsia" w:ascii="宋体" w:hAnsi="宋体" w:eastAsia="宋体" w:cs="宋体"/>
          <w:sz w:val="24"/>
          <w:highlight w:val="none"/>
          <w:lang w:bidi="ar"/>
        </w:rPr>
        <w:t>（￥</w:t>
      </w:r>
      <w:r>
        <w:rPr>
          <w:rFonts w:hint="eastAsia" w:ascii="宋体" w:hAnsi="宋体" w:eastAsia="宋体" w:cs="宋体"/>
          <w:sz w:val="24"/>
          <w:highlight w:val="none"/>
          <w:u w:val="single"/>
          <w:lang w:bidi="ar"/>
        </w:rPr>
        <w:t xml:space="preserve">        </w:t>
      </w:r>
      <w:r>
        <w:rPr>
          <w:rFonts w:hint="eastAsia" w:ascii="宋体" w:hAnsi="宋体" w:eastAsia="宋体" w:cs="宋体"/>
          <w:kern w:val="2"/>
          <w:sz w:val="24"/>
          <w:highlight w:val="none"/>
          <w:lang w:bidi="ar"/>
        </w:rPr>
        <w:t>元</w:t>
      </w:r>
      <w:r>
        <w:rPr>
          <w:rFonts w:hint="eastAsia" w:ascii="宋体" w:hAnsi="宋体" w:eastAsia="宋体" w:cs="宋体"/>
          <w:sz w:val="24"/>
          <w:highlight w:val="none"/>
          <w:lang w:bidi="ar"/>
        </w:rPr>
        <w:t>）。</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本保函的义务是：我行在接到业主提出的因承包人未能履行合同规定的义务而要求收回开工预付款的书面通知和付款凭证后的</w:t>
      </w:r>
      <w:r>
        <w:rPr>
          <w:rFonts w:hint="eastAsia" w:ascii="宋体" w:hAnsi="宋体" w:eastAsia="宋体" w:cs="宋体"/>
          <w:sz w:val="24"/>
          <w:highlight w:val="none"/>
          <w:u w:val="single"/>
          <w:lang w:bidi="ar"/>
        </w:rPr>
        <w:t xml:space="preserve"> 2 </w:t>
      </w:r>
      <w:r>
        <w:rPr>
          <w:rFonts w:hint="eastAsia" w:ascii="宋体" w:hAnsi="宋体" w:eastAsia="宋体" w:cs="宋体"/>
          <w:kern w:val="2"/>
          <w:sz w:val="24"/>
          <w:highlight w:val="none"/>
          <w:lang w:bidi="ar"/>
        </w:rPr>
        <w:t>天内，在担保金的限额内向业主支付该款项，无须业主出具证明或陈述理由。</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在向我行提出要求前，我行将不坚持要求业主应首先向承包人索还上述款项。我们还同意，任何对合同条款所作的修改或补充都不能免除我行按本保函所应承担的义务。</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的担保金额，在任何时候应不超过开工预付款的金额减去承包人已偿还的金额。此偿还的金额是通过监理工程师按月向承包人签发的多次中期支付证书来扣除的，该中期支付证书中的数额必须经业主审核同意。承包人根据监理工程师签发的中期支付证书向银行出具的单据是我行减少本保函担保金额的证明。</w:t>
      </w:r>
    </w:p>
    <w:p>
      <w:pPr>
        <w:widowControl/>
        <w:spacing w:line="400" w:lineRule="exact"/>
        <w:ind w:firstLine="480"/>
        <w:jc w:val="left"/>
        <w:rPr>
          <w:rFonts w:ascii="宋体" w:hAnsi="宋体" w:eastAsia="宋体" w:cs="宋体"/>
          <w:sz w:val="24"/>
          <w:highlight w:val="none"/>
        </w:rPr>
      </w:pPr>
      <w:r>
        <w:rPr>
          <w:rFonts w:hint="eastAsia" w:ascii="宋体" w:hAnsi="宋体" w:eastAsia="宋体" w:cs="宋体"/>
          <w:kern w:val="2"/>
          <w:sz w:val="24"/>
          <w:highlight w:val="none"/>
          <w:lang w:bidi="ar"/>
        </w:rPr>
        <w:t>本保函自上述开工预付款支付给承包人之日起生效，在收到监理工程师签发的支付证书（副本）说明上述开工预付款已完全偿还时失效，并退回我行。</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担  保  银  行：</w:t>
      </w:r>
      <w:r>
        <w:rPr>
          <w:rFonts w:hint="eastAsia" w:ascii="宋体" w:hAnsi="宋体" w:eastAsia="宋体" w:cs="宋体"/>
          <w:sz w:val="24"/>
          <w:highlight w:val="none"/>
          <w:u w:val="single"/>
          <w:lang w:bidi="ar"/>
        </w:rPr>
        <w:t xml:space="preserve">  （银行全称）（盖章）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法 定 代 表 人：</w:t>
      </w:r>
      <w:r>
        <w:rPr>
          <w:rFonts w:hint="eastAsia" w:ascii="宋体" w:hAnsi="宋体" w:eastAsia="宋体" w:cs="宋体"/>
          <w:sz w:val="24"/>
          <w:highlight w:val="none"/>
          <w:u w:val="single"/>
          <w:lang w:bidi="ar"/>
        </w:rPr>
        <w:t xml:space="preserve">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或其授权的代理人：</w:t>
      </w:r>
      <w:r>
        <w:rPr>
          <w:rFonts w:hint="eastAsia" w:ascii="宋体" w:hAnsi="宋体" w:eastAsia="宋体" w:cs="宋体"/>
          <w:sz w:val="24"/>
          <w:highlight w:val="none"/>
          <w:u w:val="single"/>
          <w:lang w:bidi="ar"/>
        </w:rPr>
        <w:t xml:space="preserve">        （职务）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xml:space="preserve">               </w:t>
      </w:r>
      <w:r>
        <w:rPr>
          <w:rFonts w:hint="eastAsia" w:ascii="宋体" w:hAnsi="宋体" w:eastAsia="宋体" w:cs="宋体"/>
          <w:sz w:val="24"/>
          <w:highlight w:val="none"/>
          <w:u w:val="single"/>
          <w:lang w:bidi="ar"/>
        </w:rPr>
        <w:t xml:space="preserve">    （姓名）       </w:t>
      </w:r>
    </w:p>
    <w:p>
      <w:pPr>
        <w:widowControl/>
        <w:spacing w:before="100" w:beforeAutospacing="1" w:after="100" w:afterAutospacing="1" w:line="400" w:lineRule="exact"/>
        <w:jc w:val="lef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sz w:val="24"/>
          <w:highlight w:val="none"/>
          <w:u w:val="single"/>
          <w:lang w:bidi="ar"/>
        </w:rPr>
        <w:t>         （签字） </w:t>
      </w:r>
    </w:p>
    <w:p>
      <w:pPr>
        <w:widowControl/>
        <w:spacing w:before="100" w:beforeAutospacing="1" w:after="100" w:afterAutospacing="1" w:line="400" w:lineRule="exact"/>
        <w:jc w:val="right"/>
        <w:rPr>
          <w:rFonts w:ascii="宋体" w:hAnsi="宋体" w:eastAsia="宋体" w:cs="宋体"/>
          <w:sz w:val="24"/>
          <w:highlight w:val="none"/>
        </w:rPr>
      </w:pPr>
      <w:r>
        <w:rPr>
          <w:rFonts w:hint="eastAsia" w:ascii="宋体" w:hAnsi="宋体" w:eastAsia="宋体" w:cs="宋体"/>
          <w:sz w:val="24"/>
          <w:highlight w:val="none"/>
          <w:lang w:bidi="ar"/>
        </w:rPr>
        <w:t> </w:t>
      </w:r>
      <w:r>
        <w:rPr>
          <w:rFonts w:hint="eastAsia" w:ascii="宋体" w:hAnsi="宋体" w:eastAsia="宋体" w:cs="宋体"/>
          <w:sz w:val="24"/>
          <w:highlight w:val="none"/>
          <w:u w:val="single"/>
          <w:lang w:bidi="ar"/>
        </w:rPr>
        <w:t>    </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bidi="ar"/>
        </w:rPr>
        <w:t>   </w:t>
      </w:r>
      <w:r>
        <w:rPr>
          <w:rFonts w:hint="eastAsia" w:ascii="宋体" w:hAnsi="宋体" w:eastAsia="宋体" w:cs="宋体"/>
          <w:sz w:val="24"/>
          <w:highlight w:val="none"/>
          <w:lang w:bidi="ar"/>
        </w:rPr>
        <w:t>日 </w:t>
      </w:r>
    </w:p>
    <w:p>
      <w:pPr>
        <w:spacing w:line="460" w:lineRule="exact"/>
        <w:rPr>
          <w:rFonts w:ascii="宋体" w:hAnsi="宋体" w:eastAsia="宋体" w:cs="宋体"/>
          <w:sz w:val="24"/>
          <w:highlight w:val="none"/>
        </w:rPr>
      </w:pPr>
      <w:r>
        <w:rPr>
          <w:rFonts w:hint="eastAsia" w:ascii="宋体" w:hAnsi="宋体" w:eastAsia="宋体" w:cs="宋体"/>
          <w:b/>
          <w:kern w:val="2"/>
          <w:sz w:val="24"/>
          <w:highlight w:val="none"/>
          <w:lang w:bidi="ar"/>
        </w:rPr>
        <w:br w:type="page"/>
      </w:r>
      <w:r>
        <w:rPr>
          <w:rFonts w:hint="eastAsia" w:ascii="宋体" w:hAnsi="宋体" w:eastAsia="宋体" w:cs="宋体"/>
          <w:kern w:val="2"/>
          <w:sz w:val="24"/>
          <w:highlight w:val="none"/>
          <w:lang w:bidi="ar"/>
        </w:rPr>
        <w:t>附件7：</w:t>
      </w: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11-1：材料暂估价表</w:t>
      </w:r>
    </w:p>
    <w:tbl>
      <w:tblPr>
        <w:tblStyle w:val="88"/>
        <w:tblW w:w="9074"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before="120" w:beforeLines="50" w:after="120" w:afterLines="50" w:line="440" w:lineRule="exact"/>
        <w:rPr>
          <w:rFonts w:ascii="宋体" w:hAnsi="宋体" w:eastAsia="宋体" w:cs="宋体"/>
          <w:sz w:val="24"/>
          <w:highlight w:val="none"/>
        </w:rPr>
      </w:pPr>
    </w:p>
    <w:p>
      <w:pPr>
        <w:spacing w:before="120" w:beforeLines="50" w:after="120" w:afterLines="50" w:line="440" w:lineRule="exact"/>
        <w:jc w:val="center"/>
        <w:rPr>
          <w:rFonts w:ascii="宋体" w:hAnsi="宋体" w:eastAsia="宋体" w:cs="宋体"/>
          <w:kern w:val="2"/>
          <w:sz w:val="24"/>
          <w:highlight w:val="none"/>
          <w:lang w:bidi="ar"/>
        </w:rPr>
      </w:pP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t>11-2：工程设备暂估价表</w:t>
      </w:r>
    </w:p>
    <w:tbl>
      <w:tblPr>
        <w:tblStyle w:val="88"/>
        <w:tblW w:w="9074"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851"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77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352"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41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702"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line="440" w:lineRule="exact"/>
        <w:rPr>
          <w:rFonts w:ascii="宋体" w:hAnsi="宋体" w:eastAsia="宋体" w:cs="宋体"/>
          <w:sz w:val="24"/>
          <w:highlight w:val="none"/>
        </w:rPr>
      </w:pPr>
    </w:p>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kern w:val="2"/>
          <w:sz w:val="24"/>
          <w:highlight w:val="none"/>
          <w:lang w:bidi="ar"/>
        </w:rPr>
        <w:br w:type="page"/>
      </w:r>
      <w:r>
        <w:rPr>
          <w:rFonts w:hint="eastAsia" w:ascii="宋体" w:hAnsi="宋体" w:eastAsia="宋体" w:cs="宋体"/>
          <w:kern w:val="2"/>
          <w:sz w:val="24"/>
          <w:highlight w:val="none"/>
          <w:lang w:bidi="ar"/>
        </w:rPr>
        <w:t>11-3：专业工程暂估价表</w:t>
      </w:r>
    </w:p>
    <w:tbl>
      <w:tblPr>
        <w:tblStyle w:val="8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专业工程名称</w:t>
            </w:r>
          </w:p>
        </w:tc>
        <w:tc>
          <w:tcPr>
            <w:tcW w:w="4678" w:type="dxa"/>
            <w:tcBorders>
              <w:top w:val="single" w:color="auto" w:sz="12" w:space="0"/>
              <w:left w:val="single" w:color="auto" w:sz="6" w:space="0"/>
              <w:bottom w:val="doub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工程内容</w:t>
            </w:r>
          </w:p>
        </w:tc>
        <w:tc>
          <w:tcPr>
            <w:tcW w:w="1276" w:type="dxa"/>
            <w:tcBorders>
              <w:top w:val="single" w:color="auto" w:sz="12" w:space="0"/>
              <w:left w:val="single" w:color="auto" w:sz="6" w:space="0"/>
              <w:bottom w:val="doub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r>
              <w:rPr>
                <w:rFonts w:hint="eastAsia" w:cs="宋体"/>
                <w:kern w:val="2"/>
                <w:highlight w:val="none"/>
                <w:lang w:bidi="ar"/>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doub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doub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nil"/>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nil"/>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6"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6"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984"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4678" w:type="dxa"/>
            <w:tcBorders>
              <w:top w:val="single" w:color="auto" w:sz="6" w:space="0"/>
              <w:left w:val="single" w:color="auto" w:sz="6" w:space="0"/>
              <w:bottom w:val="single" w:color="auto" w:sz="12" w:space="0"/>
              <w:right w:val="single" w:color="auto" w:sz="6" w:space="0"/>
            </w:tcBorders>
          </w:tcPr>
          <w:p>
            <w:pPr>
              <w:pStyle w:val="81"/>
              <w:keepNext/>
              <w:widowControl w:val="0"/>
              <w:spacing w:before="0" w:beforeAutospacing="0" w:after="120" w:afterAutospacing="0" w:line="440" w:lineRule="exact"/>
              <w:ind w:left="63" w:right="63"/>
              <w:jc w:val="both"/>
              <w:rPr>
                <w:rFonts w:cs="宋体"/>
                <w:highlight w:val="none"/>
              </w:rPr>
            </w:pPr>
          </w:p>
        </w:tc>
        <w:tc>
          <w:tcPr>
            <w:tcW w:w="1276" w:type="dxa"/>
            <w:tcBorders>
              <w:top w:val="single" w:color="auto" w:sz="6" w:space="0"/>
              <w:left w:val="single" w:color="auto" w:sz="6" w:space="0"/>
              <w:bottom w:val="single" w:color="auto" w:sz="12" w:space="0"/>
              <w:right w:val="single" w:color="auto" w:sz="12" w:space="0"/>
            </w:tcBorders>
          </w:tcPr>
          <w:p>
            <w:pPr>
              <w:pStyle w:val="81"/>
              <w:keepNext/>
              <w:widowControl w:val="0"/>
              <w:spacing w:before="0" w:beforeAutospacing="0" w:after="120" w:afterAutospacing="0" w:line="440" w:lineRule="exact"/>
              <w:ind w:left="63" w:right="63"/>
              <w:jc w:val="both"/>
              <w:rPr>
                <w:rFonts w:cs="宋体"/>
                <w:highlight w:val="none"/>
              </w:rPr>
            </w:pPr>
          </w:p>
        </w:tc>
      </w:tr>
    </w:tbl>
    <w:p>
      <w:pPr>
        <w:spacing w:before="120" w:beforeLines="50" w:after="120" w:afterLines="50" w:line="440" w:lineRule="exact"/>
        <w:jc w:val="center"/>
        <w:rPr>
          <w:rFonts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11-3：专业工程暂估价表</w:t>
      </w:r>
    </w:p>
    <w:tbl>
      <w:tblPr>
        <w:tblStyle w:val="8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序号</w:t>
            </w:r>
          </w:p>
        </w:tc>
        <w:tc>
          <w:tcPr>
            <w:tcW w:w="1984"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专业工程名称</w:t>
            </w:r>
          </w:p>
        </w:tc>
        <w:tc>
          <w:tcPr>
            <w:tcW w:w="4678"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工程内容</w:t>
            </w:r>
          </w:p>
        </w:tc>
        <w:tc>
          <w:tcPr>
            <w:tcW w:w="1276" w:type="dxa"/>
            <w:tcBorders>
              <w:top w:val="single" w:color="auto" w:sz="12" w:space="0"/>
              <w:bottom w:val="double" w:color="auto" w:sz="6" w:space="0"/>
            </w:tcBorders>
          </w:tcPr>
          <w:p>
            <w:pPr>
              <w:pStyle w:val="34"/>
              <w:keepNext/>
              <w:spacing w:line="440" w:lineRule="exact"/>
              <w:ind w:left="63" w:right="63"/>
              <w:rPr>
                <w:rFonts w:ascii="宋体" w:hAnsi="宋体" w:cs="宋体"/>
                <w:sz w:val="24"/>
                <w:szCs w:val="24"/>
                <w:highlight w:val="none"/>
              </w:rPr>
            </w:pPr>
            <w:r>
              <w:rPr>
                <w:rFonts w:hint="eastAsia" w:ascii="宋体" w:hAnsi="宋体" w:cs="宋体"/>
                <w:sz w:val="24"/>
                <w:szCs w:val="24"/>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1984"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4678"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c>
          <w:tcPr>
            <w:tcW w:w="1276" w:type="dxa"/>
            <w:tcBorders>
              <w:top w:val="double" w:color="auto" w:sz="6" w:space="0"/>
              <w:bottom w:val="single" w:color="auto" w:sz="6" w:space="0"/>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4"/>
              <w:keepNext/>
              <w:spacing w:line="440" w:lineRule="exact"/>
              <w:ind w:left="63" w:right="63"/>
              <w:rPr>
                <w:rFonts w:ascii="宋体" w:hAnsi="宋体" w:cs="宋体"/>
                <w:sz w:val="24"/>
                <w:szCs w:val="24"/>
                <w:highlight w:val="none"/>
              </w:rPr>
            </w:pPr>
          </w:p>
        </w:tc>
        <w:tc>
          <w:tcPr>
            <w:tcW w:w="1984" w:type="dxa"/>
            <w:tcBorders>
              <w:top w:val="nil"/>
            </w:tcBorders>
          </w:tcPr>
          <w:p>
            <w:pPr>
              <w:pStyle w:val="34"/>
              <w:keepNext/>
              <w:spacing w:line="440" w:lineRule="exact"/>
              <w:ind w:left="63" w:right="63"/>
              <w:rPr>
                <w:rFonts w:ascii="宋体" w:hAnsi="宋体" w:cs="宋体"/>
                <w:sz w:val="24"/>
                <w:szCs w:val="24"/>
                <w:highlight w:val="none"/>
              </w:rPr>
            </w:pPr>
          </w:p>
        </w:tc>
        <w:tc>
          <w:tcPr>
            <w:tcW w:w="4678" w:type="dxa"/>
            <w:tcBorders>
              <w:top w:val="nil"/>
            </w:tcBorders>
          </w:tcPr>
          <w:p>
            <w:pPr>
              <w:pStyle w:val="34"/>
              <w:keepNext/>
              <w:spacing w:line="440" w:lineRule="exact"/>
              <w:ind w:left="63" w:right="63"/>
              <w:rPr>
                <w:rFonts w:ascii="宋体" w:hAnsi="宋体" w:cs="宋体"/>
                <w:sz w:val="24"/>
                <w:szCs w:val="24"/>
                <w:highlight w:val="none"/>
              </w:rPr>
            </w:pPr>
          </w:p>
        </w:tc>
        <w:tc>
          <w:tcPr>
            <w:tcW w:w="1276" w:type="dxa"/>
            <w:tcBorders>
              <w:top w:val="nil"/>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34"/>
              <w:keepNext/>
              <w:spacing w:line="440" w:lineRule="exact"/>
              <w:ind w:left="63" w:right="63"/>
              <w:rPr>
                <w:rFonts w:ascii="宋体" w:hAnsi="宋体" w:cs="宋体"/>
                <w:sz w:val="24"/>
                <w:szCs w:val="24"/>
                <w:highlight w:val="none"/>
              </w:rPr>
            </w:pPr>
          </w:p>
        </w:tc>
        <w:tc>
          <w:tcPr>
            <w:tcW w:w="1984" w:type="dxa"/>
            <w:tcBorders>
              <w:top w:val="nil"/>
            </w:tcBorders>
          </w:tcPr>
          <w:p>
            <w:pPr>
              <w:pStyle w:val="34"/>
              <w:keepNext/>
              <w:spacing w:line="440" w:lineRule="exact"/>
              <w:ind w:left="63" w:right="63"/>
              <w:rPr>
                <w:rFonts w:ascii="宋体" w:hAnsi="宋体" w:cs="宋体"/>
                <w:sz w:val="24"/>
                <w:szCs w:val="24"/>
                <w:highlight w:val="none"/>
              </w:rPr>
            </w:pPr>
          </w:p>
        </w:tc>
        <w:tc>
          <w:tcPr>
            <w:tcW w:w="4678" w:type="dxa"/>
            <w:tcBorders>
              <w:top w:val="nil"/>
            </w:tcBorders>
          </w:tcPr>
          <w:p>
            <w:pPr>
              <w:pStyle w:val="34"/>
              <w:keepNext/>
              <w:spacing w:line="440" w:lineRule="exact"/>
              <w:ind w:left="63" w:right="63"/>
              <w:rPr>
                <w:rFonts w:ascii="宋体" w:hAnsi="宋体" w:cs="宋体"/>
                <w:sz w:val="24"/>
                <w:szCs w:val="24"/>
                <w:highlight w:val="none"/>
              </w:rPr>
            </w:pPr>
          </w:p>
        </w:tc>
        <w:tc>
          <w:tcPr>
            <w:tcW w:w="1276" w:type="dxa"/>
            <w:tcBorders>
              <w:top w:val="nil"/>
            </w:tcBorders>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34"/>
              <w:keepNext/>
              <w:spacing w:line="440" w:lineRule="exact"/>
              <w:ind w:left="63" w:right="63"/>
              <w:rPr>
                <w:rFonts w:ascii="宋体" w:hAnsi="宋体" w:cs="宋体"/>
                <w:sz w:val="24"/>
                <w:szCs w:val="24"/>
                <w:highlight w:val="none"/>
              </w:rPr>
            </w:pPr>
          </w:p>
        </w:tc>
        <w:tc>
          <w:tcPr>
            <w:tcW w:w="1984" w:type="dxa"/>
          </w:tcPr>
          <w:p>
            <w:pPr>
              <w:pStyle w:val="34"/>
              <w:keepNext/>
              <w:spacing w:line="440" w:lineRule="exact"/>
              <w:ind w:left="63" w:right="63"/>
              <w:rPr>
                <w:rFonts w:ascii="宋体" w:hAnsi="宋体" w:cs="宋体"/>
                <w:sz w:val="24"/>
                <w:szCs w:val="24"/>
                <w:highlight w:val="none"/>
              </w:rPr>
            </w:pPr>
          </w:p>
        </w:tc>
        <w:tc>
          <w:tcPr>
            <w:tcW w:w="4678" w:type="dxa"/>
          </w:tcPr>
          <w:p>
            <w:pPr>
              <w:pStyle w:val="34"/>
              <w:keepNext/>
              <w:spacing w:line="440" w:lineRule="exact"/>
              <w:ind w:left="63" w:right="63"/>
              <w:rPr>
                <w:rFonts w:ascii="宋体" w:hAnsi="宋体" w:cs="宋体"/>
                <w:sz w:val="24"/>
                <w:szCs w:val="24"/>
                <w:highlight w:val="none"/>
              </w:rPr>
            </w:pPr>
          </w:p>
        </w:tc>
        <w:tc>
          <w:tcPr>
            <w:tcW w:w="1276" w:type="dxa"/>
          </w:tcPr>
          <w:p>
            <w:pPr>
              <w:pStyle w:val="34"/>
              <w:keepNext/>
              <w:spacing w:line="440" w:lineRule="exact"/>
              <w:ind w:left="63" w:right="63"/>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34"/>
              <w:keepNext/>
              <w:spacing w:line="440" w:lineRule="exact"/>
              <w:ind w:left="5250" w:right="63"/>
              <w:rPr>
                <w:rFonts w:ascii="宋体" w:hAnsi="宋体" w:cs="宋体"/>
                <w:sz w:val="24"/>
                <w:szCs w:val="24"/>
                <w:highlight w:val="none"/>
              </w:rPr>
            </w:pPr>
            <w:r>
              <w:rPr>
                <w:rFonts w:hint="eastAsia" w:ascii="宋体" w:hAnsi="宋体" w:cs="宋体"/>
                <w:sz w:val="24"/>
                <w:szCs w:val="24"/>
                <w:highlight w:val="none"/>
              </w:rPr>
              <w:t>小计：</w:t>
            </w:r>
          </w:p>
        </w:tc>
      </w:tr>
    </w:tbl>
    <w:p>
      <w:pPr>
        <w:rPr>
          <w:rFonts w:ascii="宋体" w:hAnsi="宋体" w:eastAsia="宋体" w:cs="宋体"/>
          <w:sz w:val="24"/>
          <w:highlight w:val="none"/>
        </w:rPr>
      </w:pPr>
    </w:p>
    <w:p>
      <w:pPr>
        <w:pStyle w:val="693"/>
        <w:spacing w:line="460" w:lineRule="exact"/>
        <w:rPr>
          <w:rFonts w:ascii="宋体" w:hAnsi="宋体" w:eastAsia="宋体" w:cs="宋体"/>
          <w:sz w:val="24"/>
          <w:highlight w:val="none"/>
        </w:rPr>
        <w:sectPr>
          <w:footerReference r:id="rId10" w:type="default"/>
          <w:pgSz w:w="11910" w:h="16840"/>
          <w:pgMar w:top="1140" w:right="1460" w:bottom="280" w:left="1680" w:header="720" w:footer="720" w:gutter="0"/>
          <w:cols w:space="1701" w:num="1"/>
          <w:docGrid w:linePitch="360" w:charSpace="0"/>
        </w:sectPr>
      </w:pP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第六部分  响应文件组成</w:t>
      </w:r>
    </w:p>
    <w:p>
      <w:pPr>
        <w:widowControl/>
        <w:snapToGrid w:val="0"/>
        <w:spacing w:line="360" w:lineRule="auto"/>
        <w:ind w:firstLine="472" w:firstLineChars="196"/>
        <w:jc w:val="left"/>
        <w:rPr>
          <w:rFonts w:asciiTheme="minorEastAsia" w:hAnsiTheme="minorEastAsia" w:eastAsiaTheme="minorEastAsia" w:cstheme="minorEastAsia"/>
          <w:b/>
          <w:bCs/>
          <w:snapToGrid/>
          <w:kern w:val="2"/>
          <w:sz w:val="24"/>
          <w:highlight w:val="none"/>
        </w:rPr>
      </w:pPr>
    </w:p>
    <w:p>
      <w:pPr>
        <w:widowControl/>
        <w:snapToGrid w:val="0"/>
        <w:spacing w:line="360" w:lineRule="auto"/>
        <w:ind w:firstLine="472" w:firstLineChars="196"/>
        <w:jc w:val="left"/>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
          <w:bCs/>
          <w:snapToGrid/>
          <w:kern w:val="2"/>
          <w:sz w:val="24"/>
          <w:highlight w:val="none"/>
        </w:rPr>
        <w:t>响应文件由资格审查文件、商务技术响应文件、报价响应文件三部分组成。请供应商根据本磋商文件的要求分别制作、密封响应的材料。</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（一）资格审查文件（单独密封，不能出现报价响应文件的内容）</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1.响应供应商符合《政府采购法》第二十二条规定条件的承诺函（格式见附件7）；</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2.法定代表人身份证明书（格式见附件8）；法定代表人授权委托书原件，磋商代表本人身份证复印件（格式见附件9）；</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3.磋商公告资格要求提供相应的佐证材料：</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3.1提供营业执照副本复印件加盖公章；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3.2提供诚信承诺书（格式见附件10）；</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3.3机电工程施工总承包三级及以上资质或建筑机电安装工程专业三级及以上资质（须在有效期内）；</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3.4安全生产许可证复印件加盖公章；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3.5项目经理具备机电工程专业二级及以上注册建造师证书；安全生产考核合格证（B证）；且无在建项目诚信承诺书；</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3.6企业与拟派项目负责人签订的有效劳动合同及养老保险缴纳证明材料（供应商为其缴纳的响应截止时间前三个月任意一个月（不含响应截止时间当月）的养老保险缴纳证明材料（若为响应截止时间当月新开办企业，则无需提供））① 劳动合同书复印件并加盖公章；② 养老保险缴纳证明材料复印件并加盖公章。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4.其它需要提交的资格审查证明材料（以下满足其一即可）：</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4.1中小企业声明函（格式见附件11）</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4.2残疾人福利性单位声明函（格式见附件12）</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4.3监狱和戒毒企业证明材料（格式见附件13）</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注：上述“资格审查内容”中1-4条供应商必须逐条响应，否则作无效响应处理。</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拟派项目负责人须根据《住房和城乡建设部办公厅关于全面实行一级建造师电子注册证书的通知》(建办市(2021)40号)、《省住房和城乡建设厅关于我省二级建造师、二级造价工程师、二级注册建筑师、二级注册结构工程师注册证书电子证照换发的公告》((2023)第 26号)的规定文件要求执行，其他省份二级建造师注册证书按当地相关规定执行，否则不予认可。</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以上材料如为复印件均需加盖投标供应商公章。</w:t>
      </w:r>
    </w:p>
    <w:p>
      <w:pPr>
        <w:snapToGrid w:val="0"/>
        <w:spacing w:line="360" w:lineRule="auto"/>
        <w:ind w:firstLine="496" w:firstLineChars="206"/>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（二）商务技术响应文件（单独密封，不能出现报价响应文件的内容）</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1、合同条款偏离表（格式见附件）；</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2、采购需求偏离表（格式见附件）；</w:t>
      </w:r>
    </w:p>
    <w:p>
      <w:pPr>
        <w:snapToGrid w:val="0"/>
        <w:spacing w:line="360" w:lineRule="auto"/>
        <w:ind w:firstLine="470" w:firstLineChars="196"/>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3、商务技术评分标准中须提供的相关得分佐证材料；</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4、供应商认为需要提交的其他商务技术材料。</w:t>
      </w:r>
    </w:p>
    <w:p>
      <w:pPr>
        <w:widowControl/>
        <w:snapToGrid w:val="0"/>
        <w:spacing w:line="360" w:lineRule="auto"/>
        <w:ind w:firstLine="482"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（三）报价响应文件（单独装订密封）</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1、磋商响应报价总表；</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2、推荐品牌表</w:t>
      </w:r>
    </w:p>
    <w:p>
      <w:pPr>
        <w:snapToGrid w:val="0"/>
        <w:spacing w:line="360" w:lineRule="auto"/>
        <w:ind w:firstLine="494" w:firstLineChars="206"/>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3、已标价工程量清单（应用预算软件编制并打印）。</w:t>
      </w:r>
    </w:p>
    <w:p>
      <w:pPr>
        <w:snapToGrid w:val="0"/>
        <w:spacing w:line="360" w:lineRule="auto"/>
        <w:ind w:firstLine="494" w:firstLineChars="206"/>
        <w:outlineLvl w:val="1"/>
        <w:rPr>
          <w:rFonts w:asciiTheme="minorEastAsia" w:hAnsiTheme="minorEastAsia" w:eastAsiaTheme="minorEastAsia" w:cstheme="minorEastAsia"/>
          <w:sz w:val="24"/>
          <w:highlight w:val="none"/>
        </w:rPr>
      </w:pPr>
    </w:p>
    <w:p>
      <w:pPr>
        <w:widowControl/>
        <w:snapToGrid w:val="0"/>
        <w:spacing w:line="360" w:lineRule="auto"/>
        <w:jc w:val="left"/>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Cs/>
          <w:sz w:val="24"/>
          <w:highlight w:val="none"/>
        </w:rPr>
        <w:br w:type="page"/>
      </w:r>
      <w:r>
        <w:rPr>
          <w:rFonts w:hint="eastAsia" w:asciiTheme="minorEastAsia" w:hAnsiTheme="minorEastAsia" w:eastAsiaTheme="minorEastAsia" w:cstheme="minorEastAsia"/>
          <w:b/>
          <w:bCs/>
          <w:snapToGrid/>
          <w:kern w:val="2"/>
          <w:sz w:val="28"/>
          <w:szCs w:val="28"/>
          <w:highlight w:val="none"/>
        </w:rPr>
        <w:t>附件：</w:t>
      </w:r>
    </w:p>
    <w:p>
      <w:pPr>
        <w:adjustRightInd w:val="0"/>
        <w:snapToGrid w:val="0"/>
        <w:spacing w:line="420" w:lineRule="exact"/>
        <w:jc w:val="center"/>
        <w:outlineLvl w:val="1"/>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（封面）</w:t>
      </w:r>
    </w:p>
    <w:p>
      <w:pPr>
        <w:spacing w:before="312" w:beforeLines="100" w:line="360" w:lineRule="exact"/>
        <w:jc w:val="center"/>
        <w:rPr>
          <w:rFonts w:asciiTheme="minorEastAsia" w:hAnsiTheme="minorEastAsia" w:eastAsiaTheme="minorEastAsia" w:cstheme="minorEastAsia"/>
          <w:w w:val="80"/>
          <w:kern w:val="44"/>
          <w:sz w:val="24"/>
          <w:highlight w:val="none"/>
        </w:rPr>
      </w:pPr>
    </w:p>
    <w:p>
      <w:pPr>
        <w:spacing w:line="36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32"/>
          <w:szCs w:val="32"/>
          <w:highlight w:val="none"/>
        </w:rPr>
        <w:t>南通市图书馆及综合服务中心档案库房恒温恒湿机组改造项目</w:t>
      </w: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z w:val="24"/>
          <w:highlight w:val="none"/>
        </w:rPr>
      </w:pPr>
    </w:p>
    <w:p>
      <w:pPr>
        <w:spacing w:line="360" w:lineRule="auto"/>
        <w:jc w:val="center"/>
        <w:rPr>
          <w:rFonts w:asciiTheme="minorEastAsia" w:hAnsiTheme="minorEastAsia" w:eastAsiaTheme="minorEastAsia" w:cstheme="minorEastAsia"/>
          <w:b/>
          <w:bCs/>
          <w:snapToGrid/>
          <w:kern w:val="2"/>
          <w:sz w:val="36"/>
          <w:szCs w:val="36"/>
          <w:highlight w:val="none"/>
        </w:rPr>
      </w:pPr>
      <w:r>
        <w:rPr>
          <w:rFonts w:hint="eastAsia" w:asciiTheme="minorEastAsia" w:hAnsiTheme="minorEastAsia" w:eastAsiaTheme="minorEastAsia" w:cstheme="minorEastAsia"/>
          <w:b/>
          <w:bCs/>
          <w:snapToGrid/>
          <w:kern w:val="2"/>
          <w:sz w:val="36"/>
          <w:szCs w:val="36"/>
          <w:highlight w:val="none"/>
        </w:rPr>
        <w:t>竞争性磋商响应文件</w:t>
      </w:r>
    </w:p>
    <w:p>
      <w:pPr>
        <w:spacing w:line="520" w:lineRule="exact"/>
        <w:jc w:val="center"/>
        <w:rPr>
          <w:rFonts w:asciiTheme="minorEastAsia" w:hAnsiTheme="minorEastAsia" w:eastAsiaTheme="minorEastAsia" w:cstheme="minorEastAsia"/>
          <w:sz w:val="24"/>
          <w:highlight w:val="none"/>
        </w:rPr>
      </w:pPr>
    </w:p>
    <w:p>
      <w:pPr>
        <w:spacing w:line="360" w:lineRule="auto"/>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对应竞争性磋商响应文件，相应填写：资格审查文件</w:t>
      </w:r>
    </w:p>
    <w:p>
      <w:pPr>
        <w:spacing w:line="360" w:lineRule="auto"/>
        <w:ind w:firstLine="6160" w:firstLineChars="22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商务技术响应文件</w:t>
      </w:r>
    </w:p>
    <w:p>
      <w:pPr>
        <w:spacing w:line="360" w:lineRule="auto"/>
        <w:ind w:firstLine="6160" w:firstLineChars="22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报价响应文件</w:t>
      </w:r>
    </w:p>
    <w:p>
      <w:pPr>
        <w:spacing w:line="360" w:lineRule="exac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spacing w:line="3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8"/>
          <w:szCs w:val="28"/>
          <w:highlight w:val="none"/>
        </w:rPr>
        <w:t xml:space="preserve">项目编号： </w:t>
      </w: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 w:val="24"/>
          <w:highlight w:val="none"/>
        </w:rPr>
      </w:pPr>
    </w:p>
    <w:p>
      <w:pPr>
        <w:spacing w:line="360" w:lineRule="exact"/>
        <w:jc w:val="center"/>
        <w:rPr>
          <w:rFonts w:asciiTheme="minorEastAsia" w:hAnsiTheme="minorEastAsia" w:eastAsiaTheme="minorEastAsia" w:cstheme="minorEastAsia"/>
          <w:sz w:val="30"/>
          <w:szCs w:val="30"/>
          <w:highlight w:val="none"/>
        </w:rPr>
      </w:pPr>
    </w:p>
    <w:p>
      <w:pPr>
        <w:adjustRightInd w:val="0"/>
        <w:snapToGrid w:val="0"/>
        <w:spacing w:line="480" w:lineRule="auto"/>
        <w:jc w:val="cente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供应商：供应商全称</w:t>
      </w:r>
    </w:p>
    <w:p>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sz w:val="30"/>
          <w:szCs w:val="30"/>
          <w:highlight w:val="none"/>
        </w:rPr>
        <w:t>二〇二六年  月  日</w:t>
      </w:r>
    </w:p>
    <w:p>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snapToGrid w:val="0"/>
        <w:spacing w:line="520" w:lineRule="exact"/>
        <w:jc w:val="center"/>
        <w:textAlignment w:val="baseline"/>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1、法定代表人身份证明</w:t>
      </w:r>
    </w:p>
    <w:p>
      <w:pPr>
        <w:snapToGrid w:val="0"/>
        <w:spacing w:line="520" w:lineRule="exact"/>
        <w:jc w:val="center"/>
        <w:textAlignment w:val="baseline"/>
        <w:rPr>
          <w:rFonts w:asciiTheme="minorEastAsia" w:hAnsiTheme="minorEastAsia" w:eastAsiaTheme="minorEastAsia" w:cstheme="minorEastAsia"/>
          <w:sz w:val="24"/>
          <w:highlight w:val="none"/>
        </w:rPr>
      </w:pPr>
    </w:p>
    <w:p>
      <w:pPr>
        <w:snapToGrid w:val="0"/>
        <w:spacing w:line="360" w:lineRule="auto"/>
        <w:ind w:firstLine="480" w:firstLineChars="200"/>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 ：</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color="000000"/>
        </w:rPr>
        <w:t>　　　　　</w:t>
      </w:r>
      <w:r>
        <w:rPr>
          <w:rFonts w:hint="eastAsia" w:asciiTheme="minorEastAsia" w:hAnsiTheme="minorEastAsia" w:eastAsiaTheme="minorEastAsia" w:cstheme="minorEastAsia"/>
          <w:sz w:val="24"/>
          <w:highlight w:val="none"/>
        </w:rPr>
        <w:t>（先生／女士）现任我单位</w:t>
      </w:r>
      <w:r>
        <w:rPr>
          <w:rFonts w:hint="eastAsia" w:asciiTheme="minorEastAsia" w:hAnsiTheme="minorEastAsia" w:eastAsiaTheme="minorEastAsia" w:cstheme="minorEastAsia"/>
          <w:sz w:val="24"/>
          <w:highlight w:val="none"/>
          <w:u w:val="single" w:color="000000"/>
        </w:rPr>
        <w:t>　　　　 　　　</w:t>
      </w:r>
      <w:r>
        <w:rPr>
          <w:rFonts w:hint="eastAsia" w:asciiTheme="minorEastAsia" w:hAnsiTheme="minorEastAsia" w:eastAsiaTheme="minorEastAsia" w:cstheme="minorEastAsia"/>
          <w:sz w:val="24"/>
          <w:highlight w:val="none"/>
        </w:rPr>
        <w:t>职务，为法定代表人，特此证明。</w:t>
      </w:r>
    </w:p>
    <w:p>
      <w:pPr>
        <w:snapToGrid w:val="0"/>
        <w:spacing w:line="360" w:lineRule="auto"/>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身份证号码：</w:t>
      </w:r>
    </w:p>
    <w:p>
      <w:pPr>
        <w:snapToGrid w:val="0"/>
        <w:spacing w:line="420" w:lineRule="exact"/>
        <w:ind w:firstLine="480" w:firstLineChars="200"/>
        <w:textAlignment w:val="baseline"/>
        <w:rPr>
          <w:rFonts w:asciiTheme="minorEastAsia" w:hAnsiTheme="minorEastAsia" w:eastAsiaTheme="minorEastAsia" w:cstheme="minorEastAsia"/>
          <w:sz w:val="24"/>
          <w:highlight w:val="none"/>
        </w:rPr>
      </w:pPr>
    </w:p>
    <w:p>
      <w:pPr>
        <w:snapToGrid w:val="0"/>
        <w:spacing w:line="420" w:lineRule="exact"/>
        <w:ind w:firstLine="480" w:firstLineChars="200"/>
        <w:textAlignment w:val="baseline"/>
        <w:rPr>
          <w:rFonts w:asciiTheme="minorEastAsia" w:hAnsiTheme="minorEastAsia" w:eastAsiaTheme="minorEastAsia" w:cstheme="minorEastAsia"/>
          <w:sz w:val="24"/>
          <w:highlight w:val="none"/>
          <w:u w:val="single"/>
        </w:rPr>
      </w:pPr>
    </w:p>
    <w:p>
      <w:pPr>
        <w:snapToGrid w:val="0"/>
        <w:spacing w:line="480" w:lineRule="auto"/>
        <w:ind w:right="79"/>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竞争性磋商响应供应商：（单位盖章）</w:t>
      </w:r>
    </w:p>
    <w:p>
      <w:pPr>
        <w:snapToGrid w:val="0"/>
        <w:spacing w:line="420" w:lineRule="exact"/>
        <w:ind w:right="960" w:firstLine="484" w:firstLineChars="202"/>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日期：</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年</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月</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w:t>
      </w:r>
    </w:p>
    <w:p>
      <w:pPr>
        <w:snapToGrid w:val="0"/>
        <w:spacing w:line="420" w:lineRule="exact"/>
        <w:ind w:firstLine="484" w:firstLineChars="202"/>
        <w:jc w:val="left"/>
        <w:textAlignment w:val="baseline"/>
        <w:rPr>
          <w:rFonts w:asciiTheme="minorEastAsia" w:hAnsiTheme="minorEastAsia" w:eastAsiaTheme="minorEastAsia" w:cstheme="minorEastAsia"/>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r>
              <w:rPr>
                <w:rFonts w:hint="eastAsia" w:asciiTheme="minorEastAsia" w:hAnsiTheme="minorEastAsia" w:eastAsiaTheme="minorEastAsia" w:cstheme="minorEastAsia"/>
                <w:b/>
                <w:bCs/>
                <w:kern w:val="2"/>
                <w:sz w:val="24"/>
                <w:highlight w:val="none"/>
              </w:rPr>
              <w:t>法定代表人身份证</w:t>
            </w:r>
            <w:r>
              <w:rPr>
                <w:rFonts w:hint="eastAsia" w:asciiTheme="minorEastAsia" w:hAnsiTheme="minorEastAsia" w:eastAsiaTheme="minorEastAsia" w:cstheme="minorEastAsia"/>
                <w:b/>
                <w:kern w:val="2"/>
                <w:sz w:val="24"/>
                <w:highlight w:val="none"/>
              </w:rPr>
              <w:t>（正、反面）</w:t>
            </w:r>
            <w:r>
              <w:rPr>
                <w:rFonts w:hint="eastAsia" w:asciiTheme="minorEastAsia" w:hAnsiTheme="minorEastAsia" w:eastAsiaTheme="minorEastAsia" w:cstheme="minorEastAsia"/>
                <w:b/>
                <w:bCs/>
                <w:kern w:val="2"/>
                <w:sz w:val="24"/>
                <w:highlight w:val="none"/>
              </w:rPr>
              <w:t>复印件或扫描件</w:t>
            </w: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tc>
      </w:tr>
    </w:tbl>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br w:type="textWrapping"/>
      </w:r>
    </w:p>
    <w:p>
      <w:pPr>
        <w:snapToGrid w:val="0"/>
        <w:spacing w:line="520" w:lineRule="exact"/>
        <w:jc w:val="center"/>
        <w:textAlignment w:val="baseline"/>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br w:type="page"/>
      </w: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8"/>
          <w:szCs w:val="28"/>
          <w:highlight w:val="none"/>
        </w:rPr>
        <w:t>授权委托书</w:t>
      </w:r>
    </w:p>
    <w:p>
      <w:pPr>
        <w:snapToGrid w:val="0"/>
        <w:spacing w:line="520" w:lineRule="exact"/>
        <w:jc w:val="center"/>
        <w:textAlignment w:val="baseline"/>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（如委托代理人参加磋商，须出示此证明）</w:t>
      </w:r>
    </w:p>
    <w:p>
      <w:pPr>
        <w:snapToGrid w:val="0"/>
        <w:spacing w:line="520" w:lineRule="exact"/>
        <w:jc w:val="center"/>
        <w:textAlignment w:val="baseline"/>
        <w:rPr>
          <w:rFonts w:asciiTheme="minorEastAsia" w:hAnsiTheme="minorEastAsia" w:eastAsiaTheme="minorEastAsia" w:cstheme="minorEastAsia"/>
          <w:bCs/>
          <w:sz w:val="24"/>
          <w:highlight w:val="none"/>
        </w:rPr>
      </w:pPr>
    </w:p>
    <w:p>
      <w:pPr>
        <w:snapToGrid w:val="0"/>
        <w:spacing w:line="360" w:lineRule="auto"/>
        <w:textAlignment w:val="baseline"/>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 ：</w:t>
      </w:r>
    </w:p>
    <w:p>
      <w:pPr>
        <w:snapToGrid w:val="0"/>
        <w:spacing w:line="360" w:lineRule="auto"/>
        <w:ind w:firstLine="484" w:firstLineChars="202"/>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本授权委托书声明：我</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（姓名）系</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（供应商名称）的法定代表人，现授权委托</w:t>
      </w:r>
      <w:r>
        <w:rPr>
          <w:rFonts w:hint="eastAsia" w:asciiTheme="minorEastAsia" w:hAnsiTheme="minorEastAsia" w:eastAsiaTheme="minorEastAsia" w:cstheme="minorEastAsia"/>
          <w:sz w:val="24"/>
          <w:highlight w:val="none"/>
          <w:u w:val="single" w:color="000000"/>
        </w:rPr>
        <w:t xml:space="preserve">　　     </w:t>
      </w:r>
      <w:r>
        <w:rPr>
          <w:rFonts w:hint="eastAsia" w:asciiTheme="minorEastAsia" w:hAnsiTheme="minorEastAsia" w:eastAsiaTheme="minorEastAsia" w:cstheme="minorEastAsia"/>
          <w:sz w:val="24"/>
          <w:highlight w:val="none"/>
        </w:rPr>
        <w:t>（姓名）为我公司代理人，以本公司的名义参加本项目的竞争性磋商响应活动。</w:t>
      </w: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在开标、评审磋商活动、合同谈判过程中所签署的一切文件和处理与之有关的一切事务，我均予以承认。</w:t>
      </w:r>
    </w:p>
    <w:p>
      <w:pPr>
        <w:snapToGrid w:val="0"/>
        <w:spacing w:line="360" w:lineRule="auto"/>
        <w:ind w:firstLine="484" w:firstLineChars="202"/>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无转委权。特此委托。</w:t>
      </w:r>
    </w:p>
    <w:p>
      <w:pPr>
        <w:pStyle w:val="34"/>
        <w:snapToGrid w:val="0"/>
        <w:spacing w:line="360" w:lineRule="auto"/>
        <w:textAlignment w:val="baseline"/>
        <w:rPr>
          <w:rFonts w:asciiTheme="minorEastAsia" w:hAnsiTheme="minorEastAsia" w:eastAsiaTheme="minorEastAsia" w:cstheme="minorEastAsia"/>
          <w:sz w:val="24"/>
          <w:szCs w:val="24"/>
          <w:highlight w:val="none"/>
        </w:rPr>
      </w:pP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w:t>
      </w: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身份证号：</w:t>
      </w:r>
    </w:p>
    <w:p>
      <w:pPr>
        <w:snapToGrid w:val="0"/>
        <w:spacing w:line="360" w:lineRule="auto"/>
        <w:ind w:firstLine="972" w:firstLineChars="405"/>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委托代理人</w:t>
      </w:r>
      <w:r>
        <w:rPr>
          <w:rFonts w:hint="eastAsia" w:asciiTheme="minorEastAsia" w:hAnsiTheme="minorEastAsia" w:eastAsiaTheme="minorEastAsia" w:cstheme="minorEastAsia"/>
          <w:sz w:val="24"/>
          <w:highlight w:val="none"/>
        </w:rPr>
        <w:t>签字：</w:t>
      </w:r>
    </w:p>
    <w:p>
      <w:pPr>
        <w:pStyle w:val="34"/>
        <w:rPr>
          <w:rFonts w:asciiTheme="minorEastAsia" w:hAnsiTheme="minorEastAsia" w:eastAsiaTheme="minorEastAsia" w:cstheme="minorEastAsia"/>
          <w:sz w:val="24"/>
          <w:szCs w:val="24"/>
          <w:highlight w:val="none"/>
        </w:rPr>
      </w:pPr>
    </w:p>
    <w:p>
      <w:pPr>
        <w:snapToGrid w:val="0"/>
        <w:spacing w:line="480" w:lineRule="auto"/>
        <w:ind w:right="79"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竞争性磋商响应供应商：（单位盖章）</w:t>
      </w:r>
    </w:p>
    <w:p>
      <w:pPr>
        <w:snapToGrid w:val="0"/>
        <w:spacing w:line="420" w:lineRule="exact"/>
        <w:ind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日期：</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年</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月</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日</w:t>
      </w:r>
    </w:p>
    <w:p>
      <w:pPr>
        <w:snapToGrid w:val="0"/>
        <w:spacing w:line="420" w:lineRule="exact"/>
        <w:ind w:firstLine="484" w:firstLineChars="202"/>
        <w:jc w:val="left"/>
        <w:textAlignment w:val="baseline"/>
        <w:rPr>
          <w:rFonts w:asciiTheme="minorEastAsia" w:hAnsiTheme="minorEastAsia" w:eastAsiaTheme="minorEastAsia" w:cstheme="minorEastAsia"/>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84" w:firstLineChars="202"/>
              <w:jc w:val="left"/>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r>
              <w:rPr>
                <w:rFonts w:hint="eastAsia" w:asciiTheme="minorEastAsia" w:hAnsiTheme="minorEastAsia" w:eastAsiaTheme="minorEastAsia" w:cstheme="minorEastAsia"/>
                <w:b/>
                <w:bCs/>
                <w:kern w:val="2"/>
                <w:sz w:val="24"/>
                <w:highlight w:val="none"/>
              </w:rPr>
              <w:t>委托代理人身份证</w:t>
            </w:r>
            <w:r>
              <w:rPr>
                <w:rFonts w:hint="eastAsia" w:asciiTheme="minorEastAsia" w:hAnsiTheme="minorEastAsia" w:eastAsiaTheme="minorEastAsia" w:cstheme="minorEastAsia"/>
                <w:b/>
                <w:kern w:val="2"/>
                <w:sz w:val="24"/>
                <w:highlight w:val="none"/>
              </w:rPr>
              <w:t>（正、反面）</w:t>
            </w:r>
            <w:r>
              <w:rPr>
                <w:rFonts w:hint="eastAsia" w:asciiTheme="minorEastAsia" w:hAnsiTheme="minorEastAsia" w:eastAsiaTheme="minorEastAsia" w:cstheme="minorEastAsia"/>
                <w:b/>
                <w:bCs/>
                <w:kern w:val="2"/>
                <w:sz w:val="24"/>
                <w:highlight w:val="none"/>
              </w:rPr>
              <w:t>复印件或扫描件</w:t>
            </w: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b/>
                <w:bCs/>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p>
            <w:pPr>
              <w:snapToGrid w:val="0"/>
              <w:spacing w:line="420" w:lineRule="exact"/>
              <w:jc w:val="center"/>
              <w:textAlignment w:val="baseline"/>
              <w:rPr>
                <w:rFonts w:asciiTheme="minorEastAsia" w:hAnsiTheme="minorEastAsia" w:eastAsiaTheme="minorEastAsia" w:cstheme="minorEastAsia"/>
                <w:kern w:val="2"/>
                <w:sz w:val="24"/>
                <w:highlight w:val="none"/>
              </w:rPr>
            </w:pPr>
          </w:p>
        </w:tc>
      </w:tr>
    </w:tbl>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center"/>
        <w:textAlignment w:val="baseline"/>
        <w:rPr>
          <w:rFonts w:asciiTheme="minorEastAsia" w:hAnsiTheme="minorEastAsia" w:eastAsiaTheme="minorEastAsia" w:cstheme="minorEastAsia"/>
          <w:sz w:val="24"/>
          <w:highlight w:val="none"/>
        </w:rPr>
      </w:pPr>
    </w:p>
    <w:p>
      <w:pPr>
        <w:snapToGrid w:val="0"/>
        <w:spacing w:line="420" w:lineRule="exact"/>
        <w:jc w:val="left"/>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注：如为委托代理人参加项目竞争性磋商响应，须将身份证原件带至竞争性磋商现场备查。</w:t>
      </w:r>
    </w:p>
    <w:p>
      <w:pPr>
        <w:jc w:val="center"/>
        <w:rPr>
          <w:rFonts w:asciiTheme="minorEastAsia" w:hAnsiTheme="minorEastAsia" w:eastAsiaTheme="minorEastAsia" w:cstheme="minorEastAsia"/>
          <w:b/>
          <w:snapToGrid/>
          <w:kern w:val="2"/>
          <w:sz w:val="28"/>
          <w:szCs w:val="28"/>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snapToGrid/>
          <w:kern w:val="2"/>
          <w:sz w:val="28"/>
          <w:szCs w:val="28"/>
          <w:highlight w:val="none"/>
        </w:rPr>
        <w:t>3、</w:t>
      </w:r>
      <w:bookmarkStart w:id="100" w:name="_Hlk129703696"/>
      <w:r>
        <w:rPr>
          <w:rFonts w:hint="eastAsia" w:asciiTheme="minorEastAsia" w:hAnsiTheme="minorEastAsia" w:eastAsiaTheme="minorEastAsia" w:cstheme="minorEastAsia"/>
          <w:b/>
          <w:snapToGrid/>
          <w:kern w:val="2"/>
          <w:sz w:val="28"/>
          <w:szCs w:val="28"/>
          <w:highlight w:val="none"/>
        </w:rPr>
        <w:t>投标人符合资格条件的声明函</w:t>
      </w:r>
      <w:bookmarkEnd w:id="100"/>
    </w:p>
    <w:p>
      <w:pPr>
        <w:spacing w:line="460" w:lineRule="exact"/>
        <w:rPr>
          <w:rFonts w:asciiTheme="minorEastAsia" w:hAnsiTheme="minorEastAsia" w:eastAsiaTheme="minorEastAsia" w:cstheme="minorEastAsia"/>
          <w:b/>
          <w:bCs/>
          <w:snapToGrid/>
          <w:kern w:val="2"/>
          <w:sz w:val="44"/>
          <w:szCs w:val="44"/>
          <w:highlight w:val="none"/>
        </w:rPr>
      </w:pPr>
    </w:p>
    <w:p>
      <w:pPr>
        <w:spacing w:line="460" w:lineRule="exact"/>
        <w:ind w:firstLine="480" w:firstLineChars="200"/>
        <w:rPr>
          <w:rFonts w:asciiTheme="minorEastAsia" w:hAnsiTheme="minorEastAsia" w:eastAsiaTheme="minorEastAsia" w:cstheme="minorEastAsia"/>
          <w:b/>
          <w:bCs/>
          <w:snapToGrid/>
          <w:kern w:val="2"/>
          <w:sz w:val="24"/>
          <w:highlight w:val="none"/>
        </w:rPr>
      </w:pPr>
      <w:r>
        <w:rPr>
          <w:rFonts w:hint="eastAsia" w:asciiTheme="minorEastAsia" w:hAnsiTheme="minorEastAsia" w:eastAsiaTheme="minorEastAsia" w:cstheme="minorEastAsia"/>
          <w:bCs/>
          <w:snapToGrid/>
          <w:kern w:val="2"/>
          <w:sz w:val="24"/>
          <w:highlight w:val="none"/>
        </w:rPr>
        <w:t>我单位参加</w:t>
      </w:r>
      <w:r>
        <w:rPr>
          <w:rFonts w:hint="eastAsia" w:asciiTheme="minorEastAsia" w:hAnsiTheme="minorEastAsia" w:eastAsiaTheme="minorEastAsia" w:cstheme="minorEastAsia"/>
          <w:bCs/>
          <w:snapToGrid/>
          <w:kern w:val="2"/>
          <w:sz w:val="24"/>
          <w:szCs w:val="21"/>
          <w:highlight w:val="none"/>
          <w:u w:val="single"/>
        </w:rPr>
        <w:t>________________ _</w:t>
      </w:r>
      <w:r>
        <w:rPr>
          <w:rFonts w:hint="eastAsia" w:asciiTheme="minorEastAsia" w:hAnsiTheme="minorEastAsia" w:eastAsiaTheme="minorEastAsia" w:cstheme="minorEastAsia"/>
          <w:bCs/>
          <w:snapToGrid/>
          <w:kern w:val="2"/>
          <w:sz w:val="24"/>
          <w:szCs w:val="21"/>
          <w:highlight w:val="none"/>
        </w:rPr>
        <w:t>（项目名称）投标活动。针对采购文件规定做出如下声明：</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Cs/>
          <w:snapToGrid/>
          <w:kern w:val="2"/>
          <w:sz w:val="24"/>
          <w:szCs w:val="21"/>
          <w:highlight w:val="none"/>
        </w:rPr>
        <w:t>1.我单位具有独立承担民事责任的能力；</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2.我单位具有良好的商业信誉和健全的财务会计制度；</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3.我单位具有履行合同所必需的设备和专业技术能力；</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4.我单位有依法缴纳税收和社会保障资金的良好记录；</w:t>
      </w:r>
    </w:p>
    <w:p>
      <w:pPr>
        <w:spacing w:line="4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5.我单位满足法律、行政法规规定的其他条件。</w:t>
      </w:r>
    </w:p>
    <w:p>
      <w:pPr>
        <w:spacing w:line="460" w:lineRule="exact"/>
        <w:ind w:firstLine="480" w:firstLineChars="200"/>
        <w:rPr>
          <w:rFonts w:asciiTheme="minorEastAsia" w:hAnsiTheme="minorEastAsia" w:eastAsiaTheme="minorEastAsia" w:cstheme="minorEastAsia"/>
          <w:snapToGrid/>
          <w:kern w:val="2"/>
          <w:sz w:val="24"/>
          <w:highlight w:val="none"/>
        </w:rPr>
      </w:pPr>
    </w:p>
    <w:p>
      <w:pPr>
        <w:spacing w:line="460" w:lineRule="exact"/>
        <w:ind w:firstLine="480" w:firstLineChars="200"/>
        <w:rPr>
          <w:rFonts w:asciiTheme="minorEastAsia" w:hAnsiTheme="minorEastAsia" w:eastAsiaTheme="minorEastAsia" w:cstheme="minorEastAsia"/>
          <w:snapToGrid/>
          <w:kern w:val="2"/>
          <w:sz w:val="24"/>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jc w:val="center"/>
        <w:rPr>
          <w:rFonts w:asciiTheme="minorEastAsia" w:hAnsiTheme="minorEastAsia" w:eastAsiaTheme="minorEastAsia" w:cstheme="minorEastAsia"/>
          <w:bCs/>
          <w:snapToGrid/>
          <w:kern w:val="2"/>
          <w:sz w:val="24"/>
          <w:szCs w:val="21"/>
          <w:highlight w:val="none"/>
        </w:rPr>
      </w:pPr>
      <w:r>
        <w:rPr>
          <w:rFonts w:hint="eastAsia" w:asciiTheme="minorEastAsia" w:hAnsiTheme="minorEastAsia" w:eastAsiaTheme="minorEastAsia" w:cstheme="minorEastAsia"/>
          <w:bCs/>
          <w:snapToGrid/>
          <w:kern w:val="2"/>
          <w:sz w:val="24"/>
          <w:szCs w:val="21"/>
          <w:highlight w:val="none"/>
        </w:rPr>
        <w:t xml:space="preserve">                                             声明人名称（公章）：</w:t>
      </w:r>
    </w:p>
    <w:p>
      <w:pPr>
        <w:spacing w:line="460" w:lineRule="exact"/>
        <w:ind w:firstLine="480" w:firstLineChars="200"/>
        <w:jc w:val="right"/>
        <w:rPr>
          <w:rFonts w:asciiTheme="minorEastAsia" w:hAnsiTheme="minorEastAsia" w:eastAsiaTheme="minorEastAsia" w:cstheme="minorEastAsia"/>
          <w:bCs/>
          <w:snapToGrid/>
          <w:kern w:val="2"/>
          <w:sz w:val="24"/>
          <w:szCs w:val="21"/>
          <w:highlight w:val="none"/>
        </w:rPr>
      </w:pPr>
    </w:p>
    <w:p>
      <w:pPr>
        <w:spacing w:line="460" w:lineRule="exact"/>
        <w:ind w:firstLine="480" w:firstLineChars="200"/>
        <w:jc w:val="right"/>
        <w:rPr>
          <w:rFonts w:asciiTheme="minorEastAsia" w:hAnsiTheme="minorEastAsia" w:eastAsiaTheme="minorEastAsia" w:cstheme="minorEastAsia"/>
          <w:bCs/>
          <w:snapToGrid/>
          <w:kern w:val="2"/>
          <w:sz w:val="24"/>
          <w:szCs w:val="21"/>
          <w:highlight w:val="none"/>
        </w:rPr>
      </w:pPr>
      <w:r>
        <w:rPr>
          <w:rFonts w:hint="eastAsia" w:asciiTheme="minorEastAsia" w:hAnsiTheme="minorEastAsia" w:eastAsiaTheme="minorEastAsia" w:cstheme="minorEastAsia"/>
          <w:bCs/>
          <w:snapToGrid/>
          <w:kern w:val="2"/>
          <w:sz w:val="24"/>
          <w:szCs w:val="21"/>
          <w:highlight w:val="none"/>
        </w:rPr>
        <w:t xml:space="preserve">                                 日期：  年  月  日</w:t>
      </w:r>
    </w:p>
    <w:p>
      <w:pPr>
        <w:widowControl/>
        <w:jc w:val="left"/>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
          <w:bCs/>
          <w:snapToGrid/>
          <w:kern w:val="2"/>
          <w:sz w:val="28"/>
          <w:szCs w:val="28"/>
          <w:highlight w:val="none"/>
        </w:rPr>
        <w:br w:type="page"/>
      </w:r>
    </w:p>
    <w:p>
      <w:pPr>
        <w:spacing w:before="240" w:line="312" w:lineRule="auto"/>
        <w:jc w:val="center"/>
        <w:rPr>
          <w:rFonts w:asciiTheme="minorEastAsia" w:hAnsiTheme="minorEastAsia" w:eastAsiaTheme="minorEastAsia" w:cstheme="minorEastAsia"/>
          <w:b/>
          <w:bCs/>
          <w:snapToGrid/>
          <w:kern w:val="2"/>
          <w:sz w:val="28"/>
          <w:szCs w:val="28"/>
          <w:highlight w:val="none"/>
        </w:rPr>
      </w:pPr>
      <w:r>
        <w:rPr>
          <w:rFonts w:hint="eastAsia" w:asciiTheme="minorEastAsia" w:hAnsiTheme="minorEastAsia" w:eastAsiaTheme="minorEastAsia" w:cstheme="minorEastAsia"/>
          <w:b/>
          <w:bCs/>
          <w:snapToGrid/>
          <w:kern w:val="2"/>
          <w:sz w:val="28"/>
          <w:szCs w:val="28"/>
          <w:highlight w:val="none"/>
        </w:rPr>
        <w:t>4、无在建工程承诺</w:t>
      </w:r>
    </w:p>
    <w:p>
      <w:pPr>
        <w:spacing w:line="560" w:lineRule="exact"/>
        <w:rPr>
          <w:rFonts w:asciiTheme="minorEastAsia" w:hAnsiTheme="minorEastAsia" w:eastAsiaTheme="minorEastAsia" w:cstheme="minorEastAsia"/>
          <w:snapToGrid/>
          <w:kern w:val="2"/>
          <w:sz w:val="24"/>
          <w:highlight w:val="none"/>
          <w:u w:val="single"/>
        </w:rPr>
      </w:pPr>
    </w:p>
    <w:p>
      <w:pPr>
        <w:spacing w:line="560" w:lineRule="exact"/>
        <w:rPr>
          <w:rFonts w:asciiTheme="minorEastAsia" w:hAnsiTheme="minorEastAsia" w:eastAsiaTheme="minorEastAsia" w:cstheme="minorEastAsia"/>
          <w:snapToGrid/>
          <w:kern w:val="2"/>
          <w:sz w:val="24"/>
          <w:highlight w:val="none"/>
          <w:u w:val="single"/>
        </w:rPr>
      </w:pPr>
      <w:r>
        <w:rPr>
          <w:rFonts w:hint="eastAsia" w:asciiTheme="minorEastAsia" w:hAnsiTheme="minorEastAsia" w:eastAsiaTheme="minorEastAsia" w:cstheme="minorEastAsia"/>
          <w:snapToGrid/>
          <w:kern w:val="2"/>
          <w:sz w:val="24"/>
          <w:highlight w:val="none"/>
          <w:u w:val="single"/>
        </w:rPr>
        <w:t xml:space="preserve">  南通市机关事务管理局：</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我公司参加</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w:t>
      </w:r>
      <w:r>
        <w:rPr>
          <w:rFonts w:hint="eastAsia" w:asciiTheme="minorEastAsia" w:hAnsiTheme="minorEastAsia" w:eastAsiaTheme="minorEastAsia" w:cstheme="minorEastAsia"/>
          <w:snapToGrid/>
          <w:kern w:val="2"/>
          <w:sz w:val="24"/>
          <w:highlight w:val="none"/>
        </w:rPr>
        <w:t>竞争性磋商活动的申请，拟派项目负责人为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。现我公司向贵公司郑重承诺：</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拟派项目负责人为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 xml:space="preserve"> ，注册证号为</w:t>
      </w:r>
      <w:r>
        <w:rPr>
          <w:rFonts w:hint="eastAsia" w:asciiTheme="minorEastAsia" w:hAnsiTheme="minorEastAsia" w:eastAsiaTheme="minorEastAsia" w:cstheme="minorEastAsia"/>
          <w:snapToGrid/>
          <w:kern w:val="2"/>
          <w:sz w:val="24"/>
          <w:highlight w:val="none"/>
          <w:u w:val="single"/>
        </w:rPr>
        <w:t xml:space="preserve">                </w:t>
      </w:r>
      <w:r>
        <w:rPr>
          <w:rFonts w:hint="eastAsia" w:asciiTheme="minorEastAsia" w:hAnsiTheme="minorEastAsia" w:eastAsiaTheme="minorEastAsia" w:cstheme="minorEastAsia"/>
          <w:snapToGrid/>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pPr>
        <w:spacing w:line="560" w:lineRule="exact"/>
        <w:ind w:firstLine="480" w:firstLineChars="200"/>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snapToGrid/>
          <w:kern w:val="2"/>
          <w:sz w:val="24"/>
          <w:highlight w:val="none"/>
        </w:rPr>
        <w:t>对违反承诺内容所引发的一切后果，我单位愿负法律责任。</w:t>
      </w:r>
    </w:p>
    <w:p>
      <w:pPr>
        <w:spacing w:line="600" w:lineRule="exact"/>
        <w:ind w:firstLine="468" w:firstLineChars="195"/>
        <w:rPr>
          <w:rFonts w:asciiTheme="minorEastAsia" w:hAnsiTheme="minorEastAsia" w:eastAsiaTheme="minorEastAsia" w:cstheme="minorEastAsia"/>
          <w:kern w:val="2"/>
          <w:sz w:val="24"/>
          <w:highlight w:val="none"/>
        </w:rPr>
      </w:pPr>
    </w:p>
    <w:p>
      <w:pPr>
        <w:spacing w:line="600" w:lineRule="exact"/>
        <w:rPr>
          <w:rFonts w:asciiTheme="minorEastAsia" w:hAnsiTheme="minorEastAsia" w:eastAsiaTheme="minorEastAsia" w:cstheme="minorEastAsia"/>
          <w:kern w:val="2"/>
          <w:sz w:val="24"/>
          <w:highlight w:val="none"/>
        </w:rPr>
      </w:pPr>
    </w:p>
    <w:p>
      <w:pPr>
        <w:snapToGrid w:val="0"/>
        <w:spacing w:line="360" w:lineRule="auto"/>
        <w:ind w:right="79" w:firstLine="5040" w:firstLineChars="21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5040" w:firstLineChars="2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法定代表人或委托代理人（签字或盖章）：            </w:t>
      </w:r>
    </w:p>
    <w:p>
      <w:pPr>
        <w:adjustRightInd w:val="0"/>
        <w:snapToGrid w:val="0"/>
        <w:spacing w:line="480" w:lineRule="auto"/>
        <w:ind w:firstLine="5040" w:firstLineChars="21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highlight w:val="none"/>
        </w:rPr>
        <w:t>日期：  年  月  日</w:t>
      </w:r>
    </w:p>
    <w:p>
      <w:pPr>
        <w:tabs>
          <w:tab w:val="left" w:pos="3585"/>
        </w:tabs>
        <w:spacing w:line="500" w:lineRule="exact"/>
        <w:rPr>
          <w:rFonts w:asciiTheme="minorEastAsia" w:hAnsiTheme="minorEastAsia" w:eastAsiaTheme="minorEastAsia" w:cstheme="minorEastAsia"/>
          <w:sz w:val="28"/>
          <w:szCs w:val="28"/>
          <w:highlight w:val="none"/>
        </w:rPr>
      </w:pPr>
    </w:p>
    <w:p>
      <w:pPr>
        <w:tabs>
          <w:tab w:val="left" w:pos="3585"/>
        </w:tabs>
        <w:spacing w:line="500" w:lineRule="exact"/>
        <w:rPr>
          <w:rFonts w:asciiTheme="minorEastAsia" w:hAnsiTheme="minorEastAsia" w:eastAsiaTheme="minorEastAsia" w:cstheme="minorEastAsia"/>
          <w:sz w:val="28"/>
          <w:szCs w:val="28"/>
          <w:highlight w:val="none"/>
        </w:rPr>
      </w:pPr>
    </w:p>
    <w:p>
      <w:pPr>
        <w:widowControl/>
        <w:jc w:val="left"/>
        <w:rPr>
          <w:rFonts w:asciiTheme="minorEastAsia" w:hAnsiTheme="minorEastAsia" w:eastAsiaTheme="minorEastAsia" w:cstheme="minorEastAsia"/>
          <w:b/>
          <w:bCs/>
          <w:sz w:val="32"/>
          <w:szCs w:val="32"/>
          <w:highlight w:val="none"/>
        </w:rPr>
      </w:pPr>
    </w:p>
    <w:p>
      <w:pPr>
        <w:adjustRightInd w:val="0"/>
        <w:snapToGrid w:val="0"/>
        <w:spacing w:line="520" w:lineRule="exact"/>
        <w:jc w:val="center"/>
        <w:outlineLvl w:val="3"/>
        <w:rPr>
          <w:rFonts w:asciiTheme="minorEastAsia" w:hAnsiTheme="minorEastAsia" w:eastAsiaTheme="minorEastAsia" w:cstheme="minorEastAsia"/>
          <w:snapToGrid/>
          <w:kern w:val="2"/>
          <w:sz w:val="24"/>
          <w:highlight w:val="none"/>
        </w:rPr>
      </w:pPr>
      <w:r>
        <w:rPr>
          <w:rFonts w:hint="eastAsia" w:asciiTheme="minorEastAsia" w:hAnsiTheme="minorEastAsia" w:eastAsiaTheme="minorEastAsia" w:cstheme="minorEastAsia"/>
          <w:b/>
          <w:bCs/>
          <w:sz w:val="32"/>
          <w:szCs w:val="32"/>
          <w:highlight w:val="none"/>
        </w:rPr>
        <w:br w:type="page"/>
      </w:r>
    </w:p>
    <w:p>
      <w:pPr>
        <w:snapToGrid w:val="0"/>
        <w:spacing w:line="520" w:lineRule="exact"/>
        <w:ind w:firstLine="562" w:firstLineChars="200"/>
        <w:jc w:val="center"/>
        <w:outlineLvl w:val="3"/>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5.1中小企业声明函（格式）</w:t>
      </w:r>
    </w:p>
    <w:p>
      <w:pPr>
        <w:snapToGrid w:val="0"/>
        <w:spacing w:before="240"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sz w:val="24"/>
          <w:highlight w:val="none"/>
          <w:u w:val="single"/>
          <w:lang w:val="zh-CN"/>
        </w:rPr>
        <w:t>南通市机关事务管理局</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南通市图书馆及综合服务中心档案库房恒温恒湿机组改造项目（项目编号：      )</w:t>
      </w:r>
      <w:r>
        <w:rPr>
          <w:rFonts w:hint="eastAsia" w:asciiTheme="minorEastAsia" w:hAnsiTheme="minorEastAsia" w:eastAsiaTheme="minorEastAsia" w:cstheme="minorEastAsia"/>
          <w:sz w:val="24"/>
          <w:highlight w:val="none"/>
        </w:rPr>
        <w:t xml:space="preserve">采购活动，该项目服务全部由符合政策要求的中小企业提供。具体情况如下： </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 xml:space="preserve"> 建筑业 </w:t>
      </w:r>
      <w:r>
        <w:rPr>
          <w:rFonts w:hint="eastAsia" w:asciiTheme="minorEastAsia" w:hAnsiTheme="minorEastAsia" w:eastAsiaTheme="minorEastAsia" w:cstheme="minorEastAsia"/>
          <w:sz w:val="24"/>
          <w:highlight w:val="none"/>
        </w:rPr>
        <w:t>；承接企业为</w:t>
      </w:r>
      <w:r>
        <w:rPr>
          <w:rFonts w:hint="eastAsia" w:asciiTheme="minorEastAsia" w:hAnsiTheme="minorEastAsia" w:eastAsiaTheme="minorEastAsia" w:cstheme="minorEastAsia"/>
          <w:sz w:val="24"/>
          <w:highlight w:val="none"/>
          <w:u w:val="single"/>
        </w:rPr>
        <w:t>（企业名称）</w:t>
      </w:r>
      <w:r>
        <w:rPr>
          <w:rFonts w:hint="eastAsia" w:asciiTheme="minorEastAsia" w:hAnsiTheme="minorEastAsia" w:eastAsiaTheme="minorEastAsia" w:cstheme="minorEastAsia"/>
          <w:sz w:val="24"/>
          <w:highlight w:val="none"/>
        </w:rPr>
        <w:t>，从业人员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人，营业收入为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万元，资产总额为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vertAlign w:val="superscript"/>
        </w:rPr>
        <w:t xml:space="preserve"> </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（中型企业、小型企业、微型企业）</w:t>
      </w:r>
      <w:r>
        <w:rPr>
          <w:rFonts w:hint="eastAsia" w:asciiTheme="minorEastAsia" w:hAnsiTheme="minorEastAsia" w:eastAsiaTheme="minorEastAsia" w:cstheme="minorEastAsia"/>
          <w:sz w:val="24"/>
          <w:highlight w:val="none"/>
        </w:rPr>
        <w:t>；</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以上企业，不属于大企业的分支机构，不存在控股股东为大企业的情形，也不存在与大企业的负责人为同一人的情形。 </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本企业对上述声明内容的真实性负责。如有虚假，将依法承担相应责任。</w:t>
      </w:r>
    </w:p>
    <w:p>
      <w:pPr>
        <w:snapToGrid w:val="0"/>
        <w:spacing w:line="360" w:lineRule="auto"/>
        <w:rPr>
          <w:rFonts w:asciiTheme="minorEastAsia" w:hAnsiTheme="minorEastAsia" w:eastAsiaTheme="minorEastAsia" w:cstheme="minorEastAsia"/>
          <w:sz w:val="24"/>
          <w:highlight w:val="none"/>
        </w:rPr>
      </w:pPr>
    </w:p>
    <w:p>
      <w:pPr>
        <w:snapToGrid w:val="0"/>
        <w:spacing w:line="360" w:lineRule="auto"/>
        <w:ind w:firstLine="480" w:firstLineChars="200"/>
        <w:rPr>
          <w:rFonts w:asciiTheme="minorEastAsia" w:hAnsiTheme="minorEastAsia" w:eastAsiaTheme="minorEastAsia" w:cstheme="minorEastAsia"/>
          <w:sz w:val="24"/>
          <w:highlight w:val="none"/>
        </w:rPr>
      </w:pPr>
    </w:p>
    <w:p>
      <w:pPr>
        <w:snapToGrid w:val="0"/>
        <w:spacing w:line="360" w:lineRule="auto"/>
        <w:ind w:firstLine="4320" w:firstLineChars="1800"/>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4320" w:firstLineChars="18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法定代表人或委托代理人：（签字或盖章）</w:t>
      </w:r>
    </w:p>
    <w:p>
      <w:pPr>
        <w:tabs>
          <w:tab w:val="left" w:pos="2040"/>
        </w:tabs>
        <w:ind w:left="2040" w:hanging="3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日期：      年      月     日</w:t>
      </w:r>
    </w:p>
    <w:p>
      <w:pPr>
        <w:tabs>
          <w:tab w:val="left" w:pos="2040"/>
        </w:tabs>
        <w:ind w:left="2040" w:hanging="360"/>
        <w:rPr>
          <w:rFonts w:asciiTheme="minorEastAsia" w:hAnsiTheme="minorEastAsia" w:eastAsiaTheme="minorEastAsia" w:cstheme="minorEastAsia"/>
          <w:szCs w:val="21"/>
          <w:highlight w:val="none"/>
        </w:rPr>
      </w:pPr>
    </w:p>
    <w:p>
      <w:pPr>
        <w:snapToGrid w:val="0"/>
        <w:spacing w:line="440" w:lineRule="exact"/>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注：（1）未提供“中小企业声明函或残疾人福利性单位声明函或监狱和戒毒企业证明材料”的，视为资格审查不通过。</w:t>
      </w:r>
    </w:p>
    <w:p>
      <w:pPr>
        <w:snapToGrid w:val="0"/>
        <w:spacing w:line="440" w:lineRule="exact"/>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440" w:lineRule="exact"/>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pPr>
        <w:snapToGrid w:val="0"/>
        <w:spacing w:line="440" w:lineRule="exact"/>
        <w:ind w:firstLine="420" w:firstLineChars="200"/>
        <w:textAlignment w:val="baseline"/>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Cs w:val="21"/>
          <w:highlight w:val="none"/>
        </w:rPr>
        <w:t>（4）从业人员、营业收入、资产总额填报上一年度数据，无上一年度数据的新成立企业可不填报。</w:t>
      </w:r>
      <w:r>
        <w:rPr>
          <w:rFonts w:hint="eastAsia" w:asciiTheme="minorEastAsia" w:hAnsiTheme="minorEastAsia" w:eastAsiaTheme="minorEastAsia" w:cstheme="minorEastAsia"/>
          <w:b/>
          <w:bCs/>
          <w:szCs w:val="21"/>
          <w:highlight w:val="none"/>
        </w:rPr>
        <w:br w:type="page"/>
      </w:r>
    </w:p>
    <w:p>
      <w:pPr>
        <w:autoSpaceDE w:val="0"/>
        <w:autoSpaceDN w:val="0"/>
        <w:spacing w:before="162"/>
        <w:jc w:val="center"/>
        <w:outlineLvl w:val="0"/>
        <w:rPr>
          <w:rFonts w:asciiTheme="minorEastAsia" w:hAnsiTheme="minorEastAsia" w:eastAsiaTheme="minorEastAsia" w:cstheme="minorEastAsia"/>
          <w:b/>
          <w:bCs/>
          <w:sz w:val="28"/>
          <w:highlight w:val="none"/>
        </w:rPr>
      </w:pPr>
      <w:r>
        <w:rPr>
          <w:rFonts w:hint="eastAsia" w:asciiTheme="minorEastAsia" w:hAnsiTheme="minorEastAsia" w:eastAsiaTheme="minorEastAsia" w:cstheme="minorEastAsia"/>
          <w:b/>
          <w:bCs/>
          <w:sz w:val="28"/>
          <w:highlight w:val="none"/>
        </w:rPr>
        <w:t>5.2残疾人福利性单位声明函</w:t>
      </w:r>
    </w:p>
    <w:p>
      <w:pPr>
        <w:spacing w:before="240" w:line="588"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highlight w:val="none"/>
          <w:u w:val="single"/>
        </w:rPr>
        <w:t>南通市机关事务管理局</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napToGrid/>
          <w:kern w:val="2"/>
          <w:sz w:val="24"/>
          <w:highlight w:val="none"/>
          <w:u w:val="single"/>
        </w:rPr>
        <w:t>南通市图书馆及综合服务中心档案库房恒温恒湿机组改造项目（项目编号：     )</w:t>
      </w:r>
      <w:r>
        <w:rPr>
          <w:rFonts w:hint="eastAsia" w:asciiTheme="minorEastAsia" w:hAnsiTheme="minorEastAsia" w:eastAsiaTheme="minorEastAsia" w:cstheme="minorEastAsia"/>
          <w:sz w:val="24"/>
          <w:highlight w:val="none"/>
        </w:rPr>
        <w:t>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本单位对上述声明的真实性负责。如有虚假，将依法承担相应责任。</w:t>
      </w:r>
    </w:p>
    <w:p>
      <w:pPr>
        <w:spacing w:line="588" w:lineRule="exact"/>
        <w:ind w:firstLine="420" w:firstLineChars="200"/>
        <w:rPr>
          <w:rFonts w:asciiTheme="minorEastAsia" w:hAnsiTheme="minorEastAsia" w:eastAsiaTheme="minorEastAsia" w:cstheme="minorEastAsia"/>
          <w:highlight w:val="none"/>
        </w:rPr>
      </w:pPr>
    </w:p>
    <w:p>
      <w:pPr>
        <w:spacing w:line="588" w:lineRule="exact"/>
        <w:ind w:firstLine="444" w:firstLineChars="200"/>
        <w:rPr>
          <w:rFonts w:asciiTheme="minorEastAsia" w:hAnsiTheme="minorEastAsia" w:eastAsiaTheme="minorEastAsia" w:cstheme="minorEastAsia"/>
          <w:spacing w:val="6"/>
          <w:highlight w:val="none"/>
        </w:rPr>
      </w:pPr>
    </w:p>
    <w:p>
      <w:pPr>
        <w:spacing w:line="588" w:lineRule="exact"/>
        <w:ind w:firstLine="444" w:firstLineChars="200"/>
        <w:rPr>
          <w:rFonts w:asciiTheme="minorEastAsia" w:hAnsiTheme="minorEastAsia" w:eastAsiaTheme="minorEastAsia" w:cstheme="minorEastAsia"/>
          <w:spacing w:val="6"/>
          <w:highlight w:val="none"/>
        </w:rPr>
      </w:pPr>
    </w:p>
    <w:p>
      <w:pPr>
        <w:snapToGrid w:val="0"/>
        <w:spacing w:line="360" w:lineRule="auto"/>
        <w:ind w:firstLine="4320" w:firstLineChars="1800"/>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供应商：（单位盖章）</w:t>
      </w:r>
    </w:p>
    <w:p>
      <w:pPr>
        <w:snapToGrid w:val="0"/>
        <w:spacing w:line="360" w:lineRule="auto"/>
        <w:ind w:firstLine="4320" w:firstLineChars="18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法定代表人或委托代理人：（签字或盖章）</w:t>
      </w:r>
    </w:p>
    <w:p>
      <w:pPr>
        <w:snapToGrid w:val="0"/>
        <w:spacing w:line="360" w:lineRule="auto"/>
        <w:ind w:firstLine="4320" w:firstLineChars="18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highlight w:val="none"/>
        </w:rPr>
        <w:t>日期：      年      月     日</w:t>
      </w:r>
      <w:r>
        <w:rPr>
          <w:rFonts w:hint="eastAsia" w:asciiTheme="minorEastAsia" w:hAnsiTheme="minorEastAsia" w:eastAsiaTheme="minorEastAsia" w:cstheme="minorEastAsia"/>
          <w:spacing w:val="6"/>
          <w:sz w:val="24"/>
          <w:highlight w:val="none"/>
        </w:rPr>
        <w:t xml:space="preserve">      </w:t>
      </w:r>
      <w:r>
        <w:rPr>
          <w:rFonts w:hint="eastAsia" w:asciiTheme="minorEastAsia" w:hAnsiTheme="minorEastAsia" w:eastAsiaTheme="minorEastAsia" w:cstheme="minorEastAsia"/>
          <w:spacing w:val="6"/>
          <w:highlight w:val="none"/>
        </w:rPr>
        <w:t xml:space="preserve">       </w:t>
      </w:r>
      <w:r>
        <w:rPr>
          <w:rFonts w:hint="eastAsia" w:asciiTheme="minorEastAsia" w:hAnsiTheme="minorEastAsia" w:eastAsiaTheme="minorEastAsia" w:cstheme="minorEastAsia"/>
          <w:highlight w:val="none"/>
        </w:rPr>
        <w:t xml:space="preserve">          </w:t>
      </w: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snapToGrid w:val="0"/>
        <w:spacing w:line="300" w:lineRule="auto"/>
        <w:outlineLvl w:val="0"/>
        <w:rPr>
          <w:rFonts w:asciiTheme="minorEastAsia" w:hAnsiTheme="minorEastAsia" w:eastAsiaTheme="minorEastAsia" w:cstheme="minorEastAsia"/>
          <w:sz w:val="28"/>
          <w:szCs w:val="28"/>
          <w:highlight w:val="none"/>
        </w:rPr>
      </w:pPr>
    </w:p>
    <w:p>
      <w:pPr>
        <w:widowControl/>
        <w:jc w:val="left"/>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pPr>
        <w:snapToGrid w:val="0"/>
        <w:spacing w:line="420" w:lineRule="exact"/>
        <w:jc w:val="center"/>
        <w:outlineLvl w:val="3"/>
        <w:rPr>
          <w:rFonts w:asciiTheme="minorEastAsia" w:hAnsiTheme="minorEastAsia" w:eastAsiaTheme="minorEastAsia" w:cstheme="minorEastAsia"/>
          <w:b/>
          <w:bCs/>
          <w:sz w:val="28"/>
          <w:highlight w:val="none"/>
        </w:rPr>
      </w:pPr>
      <w:r>
        <w:rPr>
          <w:rFonts w:hint="eastAsia" w:asciiTheme="minorEastAsia" w:hAnsiTheme="minorEastAsia" w:eastAsiaTheme="minorEastAsia" w:cstheme="minorEastAsia"/>
          <w:b/>
          <w:bCs/>
          <w:sz w:val="28"/>
          <w:highlight w:val="none"/>
        </w:rPr>
        <w:t>5.3监狱和戒毒企业证明材料</w:t>
      </w:r>
    </w:p>
    <w:p>
      <w:pPr>
        <w:snapToGrid w:val="0"/>
        <w:spacing w:line="420" w:lineRule="exact"/>
        <w:ind w:firstLine="371" w:firstLineChars="177"/>
        <w:rPr>
          <w:rFonts w:asciiTheme="minorEastAsia" w:hAnsiTheme="minorEastAsia" w:eastAsiaTheme="minorEastAsia" w:cstheme="minorEastAsia"/>
          <w:highlight w:val="none"/>
        </w:rPr>
      </w:pPr>
    </w:p>
    <w:p>
      <w:pPr>
        <w:snapToGrid w:val="0"/>
        <w:spacing w:line="420" w:lineRule="exact"/>
        <w:ind w:firstLine="373" w:firstLineChars="177"/>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（格式自拟）</w:t>
      </w:r>
    </w:p>
    <w:p>
      <w:pPr>
        <w:snapToGrid w:val="0"/>
        <w:spacing w:line="420" w:lineRule="exact"/>
        <w:ind w:firstLine="371" w:firstLineChars="177"/>
        <w:rPr>
          <w:rFonts w:asciiTheme="minorEastAsia" w:hAnsiTheme="minorEastAsia" w:eastAsiaTheme="minorEastAsia" w:cstheme="minorEastAsia"/>
          <w:highlight w:val="none"/>
        </w:rPr>
      </w:pPr>
    </w:p>
    <w:p>
      <w:pPr>
        <w:snapToGrid w:val="0"/>
        <w:spacing w:line="360" w:lineRule="auto"/>
        <w:jc w:val="center"/>
        <w:textAlignment w:val="baseline"/>
        <w:rPr>
          <w:rFonts w:asciiTheme="minorEastAsia" w:hAnsiTheme="minorEastAsia" w:eastAsiaTheme="minorEastAsia" w:cstheme="minorEastAsia"/>
          <w:b/>
          <w:sz w:val="24"/>
          <w:highlight w:val="none"/>
        </w:rPr>
      </w:pPr>
    </w:p>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napToGrid/>
          <w:kern w:val="2"/>
          <w:sz w:val="28"/>
          <w:szCs w:val="28"/>
          <w:highlight w:val="none"/>
        </w:rPr>
        <w:br w:type="page"/>
      </w:r>
    </w:p>
    <w:p>
      <w:pPr>
        <w:spacing w:line="420" w:lineRule="exact"/>
        <w:jc w:val="center"/>
        <w:outlineLvl w:val="3"/>
        <w:rPr>
          <w:rFonts w:asciiTheme="minorEastAsia" w:hAnsiTheme="minorEastAsia" w:eastAsiaTheme="minorEastAsia" w:cstheme="minorEastAsia"/>
          <w:b/>
          <w:bCs/>
          <w:snapToGrid/>
          <w:sz w:val="32"/>
          <w:szCs w:val="32"/>
          <w:highlight w:val="none"/>
        </w:rPr>
      </w:pPr>
      <w:r>
        <w:rPr>
          <w:rFonts w:hint="eastAsia" w:asciiTheme="minorEastAsia" w:hAnsiTheme="minorEastAsia" w:eastAsiaTheme="minorEastAsia" w:cstheme="minorEastAsia"/>
          <w:b/>
          <w:bCs/>
          <w:snapToGrid/>
          <w:sz w:val="32"/>
          <w:szCs w:val="32"/>
          <w:highlight w:val="none"/>
        </w:rPr>
        <w:t>6、合同条款偏离表</w:t>
      </w:r>
    </w:p>
    <w:p>
      <w:pPr>
        <w:spacing w:line="360" w:lineRule="auto"/>
        <w:rPr>
          <w:rFonts w:asciiTheme="minorEastAsia" w:hAnsiTheme="minorEastAsia" w:eastAsiaTheme="minorEastAsia" w:cstheme="minorEastAsia"/>
          <w:snapToGrid/>
          <w:sz w:val="24"/>
          <w:szCs w:val="20"/>
          <w:highlight w:val="non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0" w:type="auto"/>
            <w:gridSpan w:val="6"/>
            <w:vAlign w:val="center"/>
          </w:tcPr>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对本项目合同条款的偏离情况（请进行勾选）：</w:t>
            </w:r>
          </w:p>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□无偏离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如无偏离，仅勾选无偏离即可</w:t>
            </w:r>
            <w:r>
              <w:rPr>
                <w:rFonts w:hint="eastAsia" w:asciiTheme="minorEastAsia" w:hAnsiTheme="minorEastAsia" w:eastAsiaTheme="minorEastAsia" w:cstheme="minorEastAsia"/>
                <w:snapToGrid/>
                <w:sz w:val="24"/>
                <w:highlight w:val="none"/>
              </w:rPr>
              <w:t>）</w:t>
            </w:r>
          </w:p>
          <w:p>
            <w:pPr>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snapToGrid/>
                <w:sz w:val="24"/>
                <w:highlight w:val="none"/>
              </w:rPr>
              <w:t>□有偏离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如有负偏离，</w:t>
            </w:r>
            <w:r>
              <w:rPr>
                <w:rFonts w:hint="eastAsia" w:asciiTheme="minorEastAsia" w:hAnsiTheme="minorEastAsia" w:eastAsiaTheme="minorEastAsia" w:cstheme="minorEastAsia"/>
                <w:snapToGrid/>
                <w:sz w:val="24"/>
                <w:highlight w:val="none"/>
              </w:rPr>
              <w:t>则须在本表中对负偏离项逐一列明）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301"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招标文件</w:t>
            </w:r>
            <w:r>
              <w:rPr>
                <w:rFonts w:hint="eastAsia" w:asciiTheme="minorEastAsia" w:hAnsiTheme="minorEastAsia" w:eastAsiaTheme="minorEastAsia" w:cstheme="minorEastAsia"/>
                <w:snapToGrid/>
                <w:sz w:val="24"/>
                <w:highlight w:val="none"/>
              </w:rPr>
              <w:t>条目号（页码）</w:t>
            </w:r>
          </w:p>
        </w:tc>
        <w:tc>
          <w:tcPr>
            <w:tcW w:w="200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招标文件</w:t>
            </w:r>
            <w:r>
              <w:rPr>
                <w:rFonts w:hint="eastAsia" w:asciiTheme="minorEastAsia" w:hAnsiTheme="minorEastAsia" w:eastAsiaTheme="minorEastAsia" w:cstheme="minorEastAsia"/>
                <w:snapToGrid/>
                <w:sz w:val="24"/>
                <w:highlight w:val="none"/>
              </w:rPr>
              <w:t>要求</w:t>
            </w:r>
          </w:p>
        </w:tc>
        <w:tc>
          <w:tcPr>
            <w:tcW w:w="200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响应文件内容</w:t>
            </w:r>
          </w:p>
        </w:tc>
        <w:tc>
          <w:tcPr>
            <w:tcW w:w="245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偏离情况</w:t>
            </w:r>
          </w:p>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（据实填写）</w:t>
            </w:r>
          </w:p>
        </w:tc>
        <w:tc>
          <w:tcPr>
            <w:tcW w:w="788"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834" w:type="dxa"/>
            <w:vAlign w:val="center"/>
          </w:tcPr>
          <w:p>
            <w:pPr>
              <w:jc w:val="center"/>
              <w:rPr>
                <w:rFonts w:asciiTheme="minorEastAsia" w:hAnsiTheme="minorEastAsia" w:eastAsiaTheme="minorEastAsia" w:cstheme="minorEastAsia"/>
                <w:snapToGrid/>
                <w:sz w:val="24"/>
                <w:highlight w:val="none"/>
              </w:rPr>
            </w:pPr>
          </w:p>
        </w:tc>
        <w:tc>
          <w:tcPr>
            <w:tcW w:w="1301" w:type="dxa"/>
            <w:vAlign w:val="center"/>
          </w:tcPr>
          <w:p>
            <w:pPr>
              <w:jc w:val="center"/>
              <w:rPr>
                <w:rFonts w:asciiTheme="minorEastAsia" w:hAnsiTheme="minorEastAsia" w:eastAsiaTheme="minorEastAsia" w:cstheme="minorEastAsia"/>
                <w:snapToGrid/>
                <w:sz w:val="24"/>
                <w:highlight w:val="none"/>
              </w:rPr>
            </w:pPr>
          </w:p>
        </w:tc>
        <w:tc>
          <w:tcPr>
            <w:tcW w:w="2007" w:type="dxa"/>
            <w:vAlign w:val="center"/>
          </w:tcPr>
          <w:p>
            <w:pPr>
              <w:jc w:val="center"/>
              <w:rPr>
                <w:rFonts w:asciiTheme="minorEastAsia" w:hAnsiTheme="minorEastAsia" w:eastAsiaTheme="minorEastAsia" w:cstheme="minorEastAsia"/>
                <w:snapToGrid/>
                <w:sz w:val="24"/>
                <w:highlight w:val="none"/>
              </w:rPr>
            </w:pPr>
          </w:p>
        </w:tc>
        <w:tc>
          <w:tcPr>
            <w:tcW w:w="2008" w:type="dxa"/>
            <w:vAlign w:val="center"/>
          </w:tcPr>
          <w:p>
            <w:pPr>
              <w:jc w:val="center"/>
              <w:rPr>
                <w:rFonts w:asciiTheme="minorEastAsia" w:hAnsiTheme="minorEastAsia" w:eastAsiaTheme="minorEastAsia" w:cstheme="minorEastAsia"/>
                <w:snapToGrid/>
                <w:sz w:val="24"/>
                <w:highlight w:val="none"/>
              </w:rPr>
            </w:pPr>
          </w:p>
        </w:tc>
        <w:tc>
          <w:tcPr>
            <w:tcW w:w="2458" w:type="dxa"/>
            <w:vAlign w:val="center"/>
          </w:tcPr>
          <w:p>
            <w:pPr>
              <w:jc w:val="center"/>
              <w:rPr>
                <w:rFonts w:asciiTheme="minorEastAsia" w:hAnsiTheme="minorEastAsia" w:eastAsiaTheme="minorEastAsia" w:cstheme="minorEastAsia"/>
                <w:snapToGrid/>
                <w:sz w:val="24"/>
                <w:highlight w:val="none"/>
              </w:rPr>
            </w:pPr>
          </w:p>
        </w:tc>
        <w:tc>
          <w:tcPr>
            <w:tcW w:w="788" w:type="dxa"/>
            <w:vAlign w:val="center"/>
          </w:tcPr>
          <w:p>
            <w:pPr>
              <w:jc w:val="center"/>
              <w:rPr>
                <w:rFonts w:asciiTheme="minorEastAsia" w:hAnsiTheme="minorEastAsia" w:eastAsiaTheme="minorEastAsia" w:cstheme="minorEastAsia"/>
                <w:snapToGrid/>
                <w:sz w:val="24"/>
                <w:highlight w:val="none"/>
              </w:rPr>
            </w:pPr>
          </w:p>
        </w:tc>
      </w:tr>
    </w:tbl>
    <w:p>
      <w:pPr>
        <w:tabs>
          <w:tab w:val="left" w:pos="1800"/>
          <w:tab w:val="left" w:pos="5580"/>
        </w:tabs>
        <w:jc w:val="left"/>
        <w:rPr>
          <w:rFonts w:asciiTheme="minorEastAsia" w:hAnsiTheme="minorEastAsia" w:eastAsiaTheme="minorEastAsia" w:cstheme="minorEastAsia"/>
          <w:snapToGrid/>
          <w:sz w:val="24"/>
          <w:highlight w:val="none"/>
        </w:rPr>
      </w:pP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注：</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 对合同条款中的所有要求，除本表所列明的所有偏离外，均视作供应商已对之理解和响应。</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 “偏离情况”列应据实填写“正偏离”或“负偏离”。</w:t>
      </w:r>
    </w:p>
    <w:p>
      <w:pPr>
        <w:spacing w:line="360" w:lineRule="auto"/>
        <w:rPr>
          <w:rFonts w:asciiTheme="minorEastAsia" w:hAnsiTheme="minorEastAsia" w:eastAsiaTheme="minorEastAsia" w:cstheme="minorEastAsia"/>
          <w:snapToGrid/>
          <w:sz w:val="24"/>
          <w:szCs w:val="20"/>
          <w:highlight w:val="none"/>
        </w:rPr>
      </w:pP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lang w:val="zh-CN"/>
        </w:rPr>
        <w:t xml:space="preserve">                      </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供应商名称（加盖公章）</w:t>
      </w:r>
      <w:r>
        <w:rPr>
          <w:rFonts w:hint="eastAsia" w:asciiTheme="minorEastAsia" w:hAnsiTheme="minorEastAsia" w:eastAsiaTheme="minorEastAsia" w:cstheme="minorEastAsia"/>
          <w:snapToGrid/>
          <w:sz w:val="24"/>
          <w:highlight w:val="none"/>
          <w:lang w:val="zh-CN"/>
        </w:rPr>
        <w:t>：    ____________</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0"/>
          <w:highlight w:val="none"/>
        </w:rPr>
        <w:t xml:space="preserve">日期：_____年______月______日   </w:t>
      </w:r>
    </w:p>
    <w:p>
      <w:pPr>
        <w:spacing w:line="420" w:lineRule="exact"/>
        <w:outlineLvl w:val="3"/>
        <w:rPr>
          <w:rFonts w:asciiTheme="minorEastAsia" w:hAnsiTheme="minorEastAsia" w:eastAsiaTheme="minorEastAsia" w:cstheme="minorEastAsia"/>
          <w:b/>
          <w:snapToGrid/>
          <w:kern w:val="2"/>
          <w:sz w:val="24"/>
          <w:highlight w:val="none"/>
          <w:lang w:val="zh-CN"/>
        </w:rPr>
      </w:pPr>
      <w:r>
        <w:rPr>
          <w:rFonts w:hint="eastAsia" w:asciiTheme="minorEastAsia" w:hAnsiTheme="minorEastAsia" w:eastAsiaTheme="minorEastAsia" w:cstheme="minorEastAsia"/>
          <w:snapToGrid/>
          <w:sz w:val="24"/>
          <w:szCs w:val="20"/>
          <w:highlight w:val="none"/>
        </w:rPr>
        <w:br w:type="page" w:clear="all"/>
      </w:r>
    </w:p>
    <w:p>
      <w:pPr>
        <w:spacing w:line="360" w:lineRule="auto"/>
        <w:outlineLvl w:val="2"/>
        <w:rPr>
          <w:rFonts w:asciiTheme="minorEastAsia" w:hAnsiTheme="minorEastAsia" w:eastAsiaTheme="minorEastAsia" w:cstheme="minorEastAsia"/>
          <w:b/>
          <w:snapToGrid/>
          <w:sz w:val="24"/>
          <w:szCs w:val="20"/>
          <w:highlight w:val="none"/>
          <w:lang w:val="zh-CN"/>
        </w:rPr>
      </w:pPr>
    </w:p>
    <w:p>
      <w:pPr>
        <w:jc w:val="center"/>
        <w:rPr>
          <w:rFonts w:asciiTheme="minorEastAsia" w:hAnsiTheme="minorEastAsia" w:eastAsiaTheme="minorEastAsia" w:cstheme="minorEastAsia"/>
          <w:b/>
          <w:snapToGrid/>
          <w:sz w:val="36"/>
          <w:szCs w:val="36"/>
          <w:highlight w:val="none"/>
        </w:rPr>
      </w:pPr>
      <w:r>
        <w:rPr>
          <w:rFonts w:hint="eastAsia" w:asciiTheme="minorEastAsia" w:hAnsiTheme="minorEastAsia" w:eastAsiaTheme="minorEastAsia" w:cstheme="minorEastAsia"/>
          <w:b/>
          <w:snapToGrid/>
          <w:sz w:val="36"/>
          <w:szCs w:val="36"/>
          <w:highlight w:val="none"/>
        </w:rPr>
        <w:t>7、采购需求偏离表</w:t>
      </w:r>
    </w:p>
    <w:p>
      <w:pPr>
        <w:jc w:val="center"/>
        <w:rPr>
          <w:rFonts w:asciiTheme="minorEastAsia" w:hAnsiTheme="minorEastAsia" w:eastAsiaTheme="minorEastAsia" w:cstheme="minorEastAsia"/>
          <w:snapToGrid/>
          <w:sz w:val="36"/>
          <w:szCs w:val="36"/>
          <w:highlight w:val="non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r>
        <w:rPr>
          <w:rFonts w:hint="eastAsia" w:asciiTheme="minorEastAsia" w:hAnsiTheme="minorEastAsia" w:eastAsiaTheme="minorEastAsia" w:cstheme="minorEastAsia"/>
          <w:snapToGrid/>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对本项目采购需求的偏离情况（请进行勾选）：</w:t>
            </w:r>
          </w:p>
          <w:p>
            <w:pPr>
              <w:jc w:val="left"/>
              <w:rPr>
                <w:rFonts w:asciiTheme="minorEastAsia" w:hAnsiTheme="minorEastAsia" w:eastAsiaTheme="minorEastAsia" w:cstheme="minorEastAsia"/>
                <w:b/>
                <w:snapToGrid/>
                <w:sz w:val="24"/>
                <w:highlight w:val="none"/>
              </w:rPr>
            </w:pPr>
            <w:r>
              <w:rPr>
                <w:rFonts w:hint="eastAsia" w:asciiTheme="minorEastAsia" w:hAnsiTheme="minorEastAsia" w:eastAsiaTheme="minorEastAsia" w:cstheme="minorEastAsia"/>
                <w:b/>
                <w:snapToGrid/>
                <w:sz w:val="24"/>
                <w:highlight w:val="none"/>
              </w:rPr>
              <w:t>□无偏离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如无偏离，仅勾选无偏离即可</w:t>
            </w:r>
            <w:r>
              <w:rPr>
                <w:rFonts w:hint="eastAsia" w:asciiTheme="minorEastAsia" w:hAnsiTheme="minorEastAsia" w:eastAsiaTheme="minorEastAsia" w:cstheme="minorEastAsia"/>
                <w:snapToGrid/>
                <w:sz w:val="24"/>
                <w:highlight w:val="none"/>
              </w:rPr>
              <w:t>）</w:t>
            </w:r>
          </w:p>
          <w:p>
            <w:pPr>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snapToGrid/>
                <w:sz w:val="24"/>
                <w:highlight w:val="none"/>
              </w:rPr>
              <w:t>□有偏离</w:t>
            </w:r>
            <w:r>
              <w:rPr>
                <w:rFonts w:hint="eastAsia" w:asciiTheme="minorEastAsia" w:hAnsiTheme="minorEastAsia" w:eastAsiaTheme="minorEastAsia" w:cstheme="minorEastAsia"/>
                <w:snapToGrid/>
                <w:sz w:val="24"/>
                <w:highlight w:val="none"/>
              </w:rPr>
              <w:t>（</w:t>
            </w:r>
            <w:r>
              <w:rPr>
                <w:rFonts w:hint="eastAsia" w:asciiTheme="minorEastAsia" w:hAnsiTheme="minorEastAsia" w:eastAsiaTheme="minorEastAsia" w:cstheme="minorEastAsia"/>
                <w:snapToGrid/>
                <w:sz w:val="24"/>
                <w:szCs w:val="21"/>
                <w:highlight w:val="none"/>
              </w:rPr>
              <w:t>如有负偏离，</w:t>
            </w:r>
            <w:r>
              <w:rPr>
                <w:rFonts w:hint="eastAsia" w:asciiTheme="minorEastAsia" w:hAnsiTheme="minorEastAsia" w:eastAsiaTheme="minorEastAsia" w:cstheme="minorEastAsia"/>
                <w:snapToGrid/>
                <w:sz w:val="24"/>
                <w:highlight w:val="none"/>
              </w:rPr>
              <w:t>则须在本表中对负偏离项逐一列明）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606"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招标文件条目号(页码)</w:t>
            </w:r>
          </w:p>
        </w:tc>
        <w:tc>
          <w:tcPr>
            <w:tcW w:w="223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招标文件要求</w:t>
            </w:r>
          </w:p>
        </w:tc>
        <w:tc>
          <w:tcPr>
            <w:tcW w:w="1471"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响应内容</w:t>
            </w:r>
          </w:p>
        </w:tc>
        <w:tc>
          <w:tcPr>
            <w:tcW w:w="1895"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偏离情况</w:t>
            </w:r>
          </w:p>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1"/>
                <w:highlight w:val="none"/>
              </w:rPr>
              <w:t>（据实填写）</w:t>
            </w:r>
          </w:p>
        </w:tc>
        <w:tc>
          <w:tcPr>
            <w:tcW w:w="1425"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pPr>
              <w:jc w:val="center"/>
              <w:rPr>
                <w:rFonts w:asciiTheme="minorEastAsia" w:hAnsiTheme="minorEastAsia" w:eastAsiaTheme="minorEastAsia" w:cstheme="minorEastAsia"/>
                <w:snapToGrid/>
                <w:sz w:val="24"/>
                <w:highlight w:val="none"/>
              </w:rPr>
            </w:pPr>
          </w:p>
        </w:tc>
        <w:tc>
          <w:tcPr>
            <w:tcW w:w="1606" w:type="dxa"/>
            <w:vAlign w:val="center"/>
          </w:tcPr>
          <w:p>
            <w:pPr>
              <w:jc w:val="center"/>
              <w:rPr>
                <w:rFonts w:asciiTheme="minorEastAsia" w:hAnsiTheme="minorEastAsia" w:eastAsiaTheme="minorEastAsia" w:cstheme="minorEastAsia"/>
                <w:snapToGrid/>
                <w:sz w:val="24"/>
                <w:highlight w:val="none"/>
              </w:rPr>
            </w:pPr>
          </w:p>
        </w:tc>
        <w:tc>
          <w:tcPr>
            <w:tcW w:w="2237" w:type="dxa"/>
            <w:vAlign w:val="center"/>
          </w:tcPr>
          <w:p>
            <w:pPr>
              <w:jc w:val="center"/>
              <w:rPr>
                <w:rFonts w:asciiTheme="minorEastAsia" w:hAnsiTheme="minorEastAsia" w:eastAsiaTheme="minorEastAsia" w:cstheme="minorEastAsia"/>
                <w:snapToGrid/>
                <w:sz w:val="24"/>
                <w:highlight w:val="none"/>
              </w:rPr>
            </w:pPr>
          </w:p>
        </w:tc>
        <w:tc>
          <w:tcPr>
            <w:tcW w:w="1471" w:type="dxa"/>
            <w:vAlign w:val="center"/>
          </w:tcPr>
          <w:p>
            <w:pPr>
              <w:jc w:val="center"/>
              <w:rPr>
                <w:rFonts w:asciiTheme="minorEastAsia" w:hAnsiTheme="minorEastAsia" w:eastAsiaTheme="minorEastAsia" w:cstheme="minorEastAsia"/>
                <w:snapToGrid/>
                <w:sz w:val="24"/>
                <w:highlight w:val="none"/>
              </w:rPr>
            </w:pPr>
          </w:p>
        </w:tc>
        <w:tc>
          <w:tcPr>
            <w:tcW w:w="1895" w:type="dxa"/>
            <w:vAlign w:val="center"/>
          </w:tcPr>
          <w:p>
            <w:pPr>
              <w:jc w:val="center"/>
              <w:rPr>
                <w:rFonts w:asciiTheme="minorEastAsia" w:hAnsiTheme="minorEastAsia" w:eastAsiaTheme="minorEastAsia" w:cstheme="minorEastAsia"/>
                <w:snapToGrid/>
                <w:sz w:val="24"/>
                <w:highlight w:val="none"/>
              </w:rPr>
            </w:pPr>
          </w:p>
        </w:tc>
        <w:tc>
          <w:tcPr>
            <w:tcW w:w="1425" w:type="dxa"/>
            <w:vAlign w:val="center"/>
          </w:tcPr>
          <w:p>
            <w:pPr>
              <w:jc w:val="center"/>
              <w:rPr>
                <w:rFonts w:asciiTheme="minorEastAsia" w:hAnsiTheme="minorEastAsia" w:eastAsiaTheme="minorEastAsia" w:cstheme="minorEastAsia"/>
                <w:snapToGrid/>
                <w:sz w:val="24"/>
                <w:highlight w:val="none"/>
              </w:rPr>
            </w:pPr>
          </w:p>
        </w:tc>
      </w:tr>
    </w:tbl>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p>
    <w:p>
      <w:pPr>
        <w:tabs>
          <w:tab w:val="left" w:pos="1800"/>
          <w:tab w:val="left" w:pos="5580"/>
        </w:tabs>
        <w:spacing w:line="360" w:lineRule="auto"/>
        <w:ind w:firstLine="360"/>
        <w:jc w:val="left"/>
        <w:rPr>
          <w:rFonts w:asciiTheme="minorEastAsia" w:hAnsiTheme="minorEastAsia" w:eastAsiaTheme="minorEastAsia" w:cstheme="minorEastAsia"/>
          <w:snapToGrid/>
          <w:sz w:val="24"/>
          <w:highlight w:val="none"/>
          <w:u w:val="single"/>
        </w:rPr>
      </w:pP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注：</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 对招标文件中的所有商务、技术要求，除本表所列明的所有偏离外，均视作供应商已对之理解和响应。</w:t>
      </w:r>
    </w:p>
    <w:p>
      <w:pPr>
        <w:tabs>
          <w:tab w:val="left" w:pos="1800"/>
          <w:tab w:val="left" w:pos="5580"/>
        </w:tabs>
        <w:jc w:val="left"/>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2.“偏离情况”列应据实填写“正偏离”或“负偏离”。</w:t>
      </w:r>
    </w:p>
    <w:p>
      <w:pPr>
        <w:tabs>
          <w:tab w:val="left" w:pos="1800"/>
          <w:tab w:val="left" w:pos="5580"/>
        </w:tabs>
        <w:jc w:val="left"/>
        <w:rPr>
          <w:rFonts w:asciiTheme="minorEastAsia" w:hAnsiTheme="minorEastAsia" w:eastAsiaTheme="minorEastAsia" w:cstheme="minorEastAsia"/>
          <w:snapToGrid/>
          <w:sz w:val="24"/>
          <w:highlight w:val="none"/>
        </w:rPr>
      </w:pPr>
    </w:p>
    <w:p>
      <w:pPr>
        <w:rPr>
          <w:rFonts w:asciiTheme="minorEastAsia" w:hAnsiTheme="minorEastAsia" w:eastAsiaTheme="minorEastAsia" w:cstheme="minorEastAsia"/>
          <w:snapToGrid/>
          <w:sz w:val="24"/>
          <w:szCs w:val="20"/>
          <w:highlight w:val="none"/>
        </w:rPr>
      </w:pP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lang w:val="zh-CN"/>
        </w:rPr>
        <w:t xml:space="preserve">                  </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供应商名称（加盖公章）</w:t>
      </w:r>
      <w:r>
        <w:rPr>
          <w:rFonts w:hint="eastAsia" w:asciiTheme="minorEastAsia" w:hAnsiTheme="minorEastAsia" w:eastAsiaTheme="minorEastAsia" w:cstheme="minorEastAsia"/>
          <w:snapToGrid/>
          <w:sz w:val="24"/>
          <w:highlight w:val="none"/>
          <w:lang w:val="zh-CN"/>
        </w:rPr>
        <w:t>：    ____________</w:t>
      </w:r>
    </w:p>
    <w:p>
      <w:pPr>
        <w:spacing w:before="25" w:after="25"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szCs w:val="20"/>
          <w:highlight w:val="none"/>
        </w:rPr>
        <w:t xml:space="preserve">日期：_____年______月______日   </w:t>
      </w:r>
    </w:p>
    <w:p>
      <w:pPr>
        <w:rPr>
          <w:rFonts w:asciiTheme="minorEastAsia" w:hAnsiTheme="minorEastAsia" w:eastAsiaTheme="minorEastAsia" w:cstheme="minorEastAsia"/>
          <w:snapToGrid/>
          <w:highlight w:val="none"/>
        </w:rPr>
      </w:pP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snapToGrid/>
          <w:kern w:val="2"/>
          <w:sz w:val="24"/>
          <w:highlight w:val="none"/>
        </w:rPr>
        <w:br w:type="page"/>
      </w: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南通市图书馆及综合服务中心档案库房恒温恒湿机组改造项目</w:t>
            </w:r>
          </w:p>
        </w:tc>
      </w:tr>
      <w:tr>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 xml:space="preserve"> </w:t>
            </w:r>
          </w:p>
        </w:tc>
      </w:tr>
      <w:tr>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textAlignment w:val="baseline"/>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sz w:val="24"/>
                <w:highlight w:val="none"/>
              </w:rPr>
              <w:t>大写：</w:t>
            </w:r>
            <w:r>
              <w:rPr>
                <w:rFonts w:hint="eastAsia" w:asciiTheme="minorEastAsia" w:hAnsiTheme="minorEastAsia" w:eastAsiaTheme="minorEastAsia" w:cstheme="minorEastAsia"/>
                <w:kern w:val="2"/>
                <w:sz w:val="24"/>
                <w:highlight w:val="none"/>
              </w:rPr>
              <w:t>人民币</w:t>
            </w:r>
            <w:r>
              <w:rPr>
                <w:rFonts w:hint="eastAsia" w:asciiTheme="minorEastAsia" w:hAnsiTheme="minorEastAsia" w:eastAsiaTheme="minorEastAsia" w:cstheme="minorEastAsia"/>
                <w:kern w:val="2"/>
                <w:sz w:val="24"/>
                <w:highlight w:val="none"/>
                <w:u w:val="single" w:color="000000"/>
              </w:rPr>
              <w:t xml:space="preserve">    拾   万   仟   佰   拾   元   角   分</w:t>
            </w:r>
            <w:r>
              <w:rPr>
                <w:rFonts w:hint="eastAsia" w:asciiTheme="minorEastAsia" w:hAnsiTheme="minorEastAsia" w:eastAsiaTheme="minorEastAsia" w:cstheme="minorEastAsia"/>
                <w:kern w:val="2"/>
                <w:sz w:val="24"/>
                <w:highlight w:val="none"/>
              </w:rPr>
              <w:t>。</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小写：￥</w:t>
            </w:r>
            <w:r>
              <w:rPr>
                <w:rFonts w:hint="eastAsia" w:asciiTheme="minorEastAsia" w:hAnsiTheme="minorEastAsia" w:eastAsiaTheme="minorEastAsia" w:cstheme="minorEastAsia"/>
                <w:kern w:val="2"/>
                <w:sz w:val="24"/>
                <w:highlight w:val="none"/>
                <w:u w:val="single" w:color="000000"/>
              </w:rPr>
              <w:t xml:space="preserve">                 元。</w:t>
            </w:r>
          </w:p>
        </w:tc>
      </w:tr>
      <w:tr>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最终磋商报价</w:t>
            </w:r>
          </w:p>
          <w:p>
            <w:pPr>
              <w:widowControl/>
              <w:spacing w:line="360" w:lineRule="auto"/>
              <w:jc w:val="center"/>
              <w:rPr>
                <w:rFonts w:asciiTheme="minorEastAsia" w:hAnsiTheme="minorEastAsia" w:eastAsiaTheme="minorEastAsia" w:cstheme="minorEastAsia"/>
                <w:kern w:val="2"/>
                <w:highlight w:val="none"/>
              </w:rPr>
            </w:pPr>
            <w:r>
              <w:rPr>
                <w:rFonts w:hint="eastAsia" w:asciiTheme="minorEastAsia" w:hAnsiTheme="minorEastAsia" w:eastAsiaTheme="minorEastAsia" w:cstheme="minorEastAsia"/>
                <w:b/>
                <w:bCs/>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textAlignment w:val="baseline"/>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sz w:val="24"/>
                <w:highlight w:val="none"/>
              </w:rPr>
              <w:t>大写：</w:t>
            </w:r>
            <w:r>
              <w:rPr>
                <w:rFonts w:hint="eastAsia" w:asciiTheme="minorEastAsia" w:hAnsiTheme="minorEastAsia" w:eastAsiaTheme="minorEastAsia" w:cstheme="minorEastAsia"/>
                <w:kern w:val="2"/>
                <w:sz w:val="24"/>
                <w:highlight w:val="none"/>
              </w:rPr>
              <w:t>人民币</w:t>
            </w:r>
            <w:r>
              <w:rPr>
                <w:rFonts w:hint="eastAsia" w:asciiTheme="minorEastAsia" w:hAnsiTheme="minorEastAsia" w:eastAsiaTheme="minorEastAsia" w:cstheme="minorEastAsia"/>
                <w:kern w:val="2"/>
                <w:sz w:val="24"/>
                <w:highlight w:val="none"/>
                <w:u w:val="single" w:color="000000"/>
              </w:rPr>
              <w:t xml:space="preserve">    拾   万   仟   佰   拾   元   角   分</w:t>
            </w:r>
            <w:r>
              <w:rPr>
                <w:rFonts w:hint="eastAsia" w:asciiTheme="minorEastAsia" w:hAnsiTheme="minorEastAsia" w:eastAsiaTheme="minorEastAsia" w:cstheme="minorEastAsia"/>
                <w:kern w:val="2"/>
                <w:sz w:val="24"/>
                <w:highlight w:val="none"/>
              </w:rPr>
              <w:t>。</w:t>
            </w:r>
          </w:p>
          <w:p>
            <w:pPr>
              <w:widowControl/>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highlight w:val="none"/>
              </w:rPr>
              <w:t>小写：￥</w:t>
            </w:r>
            <w:r>
              <w:rPr>
                <w:rFonts w:hint="eastAsia" w:asciiTheme="minorEastAsia" w:hAnsiTheme="minorEastAsia" w:eastAsiaTheme="minorEastAsia" w:cstheme="minorEastAsia"/>
                <w:kern w:val="2"/>
                <w:sz w:val="24"/>
                <w:highlight w:val="none"/>
                <w:u w:val="single" w:color="000000"/>
              </w:rPr>
              <w:t xml:space="preserve">                 元。</w:t>
            </w:r>
          </w:p>
        </w:tc>
      </w:tr>
      <w:tr>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w:t>
            </w:r>
          </w:p>
        </w:tc>
        <w:tc>
          <w:tcPr>
            <w:tcW w:w="7341"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完全接受并响应竞争性磋商文件中工期和质</w:t>
            </w:r>
            <w:r>
              <w:rPr>
                <w:rFonts w:hint="eastAsia" w:asciiTheme="minorEastAsia" w:hAnsiTheme="minorEastAsia" w:eastAsiaTheme="minorEastAsia" w:cstheme="minorEastAsia"/>
                <w:kern w:val="2"/>
                <w:sz w:val="24"/>
                <w:highlight w:val="none"/>
              </w:rPr>
              <w:t>量要求。</w:t>
            </w:r>
          </w:p>
        </w:tc>
      </w:tr>
    </w:tbl>
    <w:p>
      <w:pPr>
        <w:spacing w:line="600" w:lineRule="exact"/>
        <w:rPr>
          <w:rFonts w:asciiTheme="minorEastAsia" w:hAnsiTheme="minorEastAsia" w:eastAsiaTheme="minorEastAsia" w:cstheme="minorEastAsia"/>
          <w:kern w:val="2"/>
          <w:sz w:val="24"/>
          <w:highlight w:val="none"/>
        </w:rPr>
      </w:pPr>
    </w:p>
    <w:p>
      <w:pPr>
        <w:snapToGrid w:val="0"/>
        <w:spacing w:line="360" w:lineRule="auto"/>
        <w:ind w:right="79"/>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竞争性磋商响应供应商：（单位盖章）</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法定代表人或委托代理人（签字或盖章）：            </w:t>
      </w:r>
    </w:p>
    <w:p>
      <w:pPr>
        <w:adjustRightInd w:val="0"/>
        <w:snapToGrid w:val="0"/>
        <w:spacing w:line="48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日期：  年  月  日</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注：（1）本表为格式表，不得自行改动，必须提供，否则视为未实质性响应采购文件。</w:t>
      </w:r>
    </w:p>
    <w:p>
      <w:pPr>
        <w:snapToGrid w:val="0"/>
        <w:spacing w:line="360" w:lineRule="auto"/>
        <w:ind w:firstLine="480" w:firstLineChars="200"/>
        <w:rPr>
          <w:rStyle w:val="96"/>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highlight w:val="none"/>
        </w:rPr>
        <w:t>（2）响应文件密封提交时只需填写首次磋商报价。最终磋商报价表将在磋商现场填写</w:t>
      </w:r>
    </w:p>
    <w:p>
      <w:pPr>
        <w:snapToGrid w:val="0"/>
        <w:spacing w:line="360" w:lineRule="auto"/>
        <w:ind w:firstLine="494" w:firstLineChars="206"/>
        <w:rPr>
          <w:rFonts w:asciiTheme="minorEastAsia" w:hAnsiTheme="minorEastAsia" w:eastAsiaTheme="minorEastAsia" w:cstheme="minorEastAsia"/>
          <w:sz w:val="24"/>
          <w:highlight w:val="none"/>
        </w:rPr>
      </w:pPr>
      <w:r>
        <w:rPr>
          <w:rStyle w:val="96"/>
          <w:rFonts w:hint="eastAsia" w:asciiTheme="minorEastAsia" w:hAnsiTheme="minorEastAsia" w:eastAsiaTheme="minorEastAsia" w:cstheme="minorEastAsia"/>
          <w:bCs/>
          <w:sz w:val="24"/>
          <w:szCs w:val="24"/>
          <w:highlight w:val="none"/>
        </w:rPr>
        <w:t>（3）</w:t>
      </w:r>
      <w:r>
        <w:rPr>
          <w:rFonts w:hint="eastAsia" w:asciiTheme="minorEastAsia" w:hAnsiTheme="minorEastAsia" w:eastAsiaTheme="minorEastAsia" w:cstheme="minorEastAsia"/>
          <w:sz w:val="24"/>
          <w:highlight w:val="none"/>
        </w:rPr>
        <w:t>供应商的最终磋商报价不得高于自已首次磋商报价，否则视为无效。</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pPr>
        <w:jc w:val="center"/>
        <w:rPr>
          <w:rFonts w:asciiTheme="minorEastAsia" w:hAnsiTheme="minorEastAsia" w:eastAsiaTheme="minorEastAsia" w:cstheme="minorEastAsia"/>
          <w:bCs/>
          <w:snapToGrid/>
          <w:sz w:val="28"/>
          <w:szCs w:val="28"/>
          <w:highlight w:val="none"/>
        </w:rPr>
      </w:pPr>
    </w:p>
    <w:p>
      <w:pPr>
        <w:jc w:val="center"/>
        <w:rPr>
          <w:rFonts w:asciiTheme="minorEastAsia" w:hAnsiTheme="minorEastAsia" w:eastAsiaTheme="minorEastAsia" w:cstheme="minorEastAsia"/>
          <w:b/>
          <w:snapToGrid/>
          <w:sz w:val="28"/>
          <w:szCs w:val="28"/>
          <w:highlight w:val="none"/>
        </w:rPr>
      </w:pPr>
      <w:r>
        <w:rPr>
          <w:rFonts w:hint="eastAsia" w:asciiTheme="minorEastAsia" w:hAnsiTheme="minorEastAsia" w:eastAsiaTheme="minorEastAsia" w:cstheme="minorEastAsia"/>
          <w:b/>
          <w:snapToGrid/>
          <w:sz w:val="28"/>
          <w:szCs w:val="28"/>
          <w:highlight w:val="none"/>
        </w:rPr>
        <w:t>9、磋商响应报价明细</w:t>
      </w:r>
    </w:p>
    <w:p>
      <w:pPr>
        <w:spacing w:line="300" w:lineRule="auto"/>
        <w:outlineLvl w:val="0"/>
        <w:rPr>
          <w:rFonts w:asciiTheme="minorEastAsia" w:hAnsiTheme="minorEastAsia" w:eastAsiaTheme="minorEastAsia" w:cstheme="minorEastAsia"/>
          <w:b/>
          <w:snapToGrid/>
          <w:sz w:val="28"/>
          <w:szCs w:val="28"/>
          <w:highlight w:val="none"/>
          <w:lang w:val="zh-CN"/>
        </w:rPr>
      </w:pPr>
    </w:p>
    <w:p>
      <w:pPr>
        <w:spacing w:line="300" w:lineRule="auto"/>
        <w:ind w:firstLine="480"/>
        <w:outlineLvl w:val="0"/>
        <w:rPr>
          <w:rFonts w:asciiTheme="minorEastAsia" w:hAnsiTheme="minorEastAsia" w:eastAsiaTheme="minorEastAsia" w:cstheme="minorEastAsia"/>
          <w:bCs/>
          <w:snapToGrid/>
          <w:sz w:val="24"/>
          <w:highlight w:val="none"/>
          <w:lang w:val="zh-CN"/>
        </w:rPr>
      </w:pPr>
      <w:bookmarkStart w:id="101" w:name="_Hlk191286499"/>
      <w:r>
        <w:rPr>
          <w:rFonts w:hint="eastAsia" w:asciiTheme="minorEastAsia" w:hAnsiTheme="minorEastAsia" w:eastAsiaTheme="minorEastAsia" w:cstheme="minorEastAsia"/>
          <w:bCs/>
          <w:snapToGrid/>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101"/>
    <w:p>
      <w:pPr>
        <w:spacing w:line="360" w:lineRule="auto"/>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b/>
          <w:bCs/>
          <w:sz w:val="28"/>
          <w:szCs w:val="28"/>
          <w:highlight w:val="none"/>
        </w:rPr>
        <w:br w:type="page"/>
      </w:r>
      <w:r>
        <w:rPr>
          <w:rFonts w:hint="eastAsia" w:asciiTheme="minorEastAsia" w:hAnsiTheme="minorEastAsia" w:eastAsiaTheme="minorEastAsia" w:cstheme="minorEastAsia"/>
          <w:b/>
          <w:snapToGrid/>
          <w:sz w:val="28"/>
          <w:szCs w:val="28"/>
          <w:highlight w:val="none"/>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pPr>
              <w:spacing w:line="360" w:lineRule="auto"/>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序号</w:t>
            </w:r>
          </w:p>
        </w:tc>
        <w:tc>
          <w:tcPr>
            <w:tcW w:w="1516" w:type="dxa"/>
            <w:vAlign w:val="center"/>
          </w:tcPr>
          <w:p>
            <w:pPr>
              <w:spacing w:line="360" w:lineRule="auto"/>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材料名称</w:t>
            </w:r>
          </w:p>
        </w:tc>
        <w:tc>
          <w:tcPr>
            <w:tcW w:w="3750" w:type="dxa"/>
            <w:vAlign w:val="center"/>
          </w:tcPr>
          <w:p>
            <w:pPr>
              <w:spacing w:line="360" w:lineRule="auto"/>
              <w:ind w:firstLine="561"/>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推荐品牌</w:t>
            </w:r>
          </w:p>
        </w:tc>
        <w:tc>
          <w:tcPr>
            <w:tcW w:w="1220" w:type="dxa"/>
            <w:vAlign w:val="center"/>
          </w:tcPr>
          <w:p>
            <w:pPr>
              <w:spacing w:line="360" w:lineRule="auto"/>
              <w:jc w:val="center"/>
              <w:rPr>
                <w:rFonts w:asciiTheme="minorEastAsia" w:hAnsiTheme="minorEastAsia" w:eastAsiaTheme="minorEastAsia" w:cstheme="minorEastAsia"/>
                <w:snapToGrid/>
                <w:sz w:val="24"/>
                <w:highlight w:val="none"/>
                <w:u w:val="single"/>
              </w:rPr>
            </w:pPr>
            <w:r>
              <w:rPr>
                <w:rFonts w:hint="eastAsia" w:asciiTheme="minorEastAsia" w:hAnsiTheme="minorEastAsia" w:eastAsiaTheme="minorEastAsia" w:cstheme="minorEastAsia"/>
                <w:snapToGrid/>
                <w:sz w:val="24"/>
                <w:highlight w:val="none"/>
              </w:rPr>
              <w:t>投标品牌</w:t>
            </w:r>
          </w:p>
        </w:tc>
        <w:tc>
          <w:tcPr>
            <w:tcW w:w="2175" w:type="dxa"/>
            <w:vAlign w:val="center"/>
          </w:tcPr>
          <w:p>
            <w:pPr>
              <w:spacing w:line="360" w:lineRule="auto"/>
              <w:ind w:firstLine="561"/>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pPr>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snapToGrid/>
                <w:sz w:val="24"/>
                <w:highlight w:val="none"/>
              </w:rPr>
              <w:t>1</w:t>
            </w:r>
          </w:p>
        </w:tc>
        <w:tc>
          <w:tcPr>
            <w:tcW w:w="1516" w:type="dxa"/>
            <w:vAlign w:val="center"/>
          </w:tcPr>
          <w:p>
            <w:pPr>
              <w:widowControl/>
              <w:spacing w:line="270" w:lineRule="atLeast"/>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color w:val="000000"/>
                <w:sz w:val="24"/>
                <w:highlight w:val="none"/>
              </w:rPr>
              <w:t>恒温恒湿机</w:t>
            </w:r>
          </w:p>
        </w:tc>
        <w:tc>
          <w:tcPr>
            <w:tcW w:w="3750" w:type="dxa"/>
            <w:vAlign w:val="center"/>
          </w:tcPr>
          <w:p>
            <w:pPr>
              <w:widowControl/>
              <w:spacing w:line="270" w:lineRule="atLeast"/>
              <w:jc w:val="center"/>
              <w:rPr>
                <w:rFonts w:asciiTheme="minorEastAsia" w:hAnsiTheme="minorEastAsia" w:eastAsiaTheme="minorEastAsia" w:cstheme="minorEastAsia"/>
                <w:snapToGrid/>
                <w:sz w:val="24"/>
                <w:highlight w:val="none"/>
              </w:rPr>
            </w:pPr>
            <w:r>
              <w:rPr>
                <w:rFonts w:hint="eastAsia" w:asciiTheme="minorEastAsia" w:hAnsiTheme="minorEastAsia" w:eastAsiaTheme="minorEastAsia" w:cstheme="minorEastAsia"/>
                <w:color w:val="000000"/>
                <w:sz w:val="24"/>
                <w:highlight w:val="none"/>
              </w:rPr>
              <w:t>思科、易龙、吉荣、欧科</w:t>
            </w:r>
          </w:p>
        </w:tc>
        <w:tc>
          <w:tcPr>
            <w:tcW w:w="1220" w:type="dxa"/>
            <w:vAlign w:val="center"/>
          </w:tcPr>
          <w:p>
            <w:pPr>
              <w:widowControl/>
              <w:spacing w:line="270" w:lineRule="atLeast"/>
              <w:jc w:val="center"/>
              <w:rPr>
                <w:rFonts w:asciiTheme="minorEastAsia" w:hAnsiTheme="minorEastAsia" w:eastAsiaTheme="minorEastAsia" w:cstheme="minorEastAsia"/>
                <w:snapToGrid/>
                <w:sz w:val="24"/>
                <w:highlight w:val="none"/>
              </w:rPr>
            </w:pPr>
          </w:p>
        </w:tc>
        <w:tc>
          <w:tcPr>
            <w:tcW w:w="2175" w:type="dxa"/>
            <w:vAlign w:val="center"/>
          </w:tcPr>
          <w:p>
            <w:pPr>
              <w:widowControl/>
              <w:spacing w:line="270" w:lineRule="atLeast"/>
              <w:jc w:val="center"/>
              <w:rPr>
                <w:rFonts w:asciiTheme="minorEastAsia" w:hAnsiTheme="minorEastAsia" w:eastAsiaTheme="minorEastAsia" w:cstheme="minorEastAsia"/>
                <w:snapToGrid/>
                <w:sz w:val="24"/>
                <w:highlight w:val="none"/>
              </w:rPr>
            </w:pPr>
          </w:p>
        </w:tc>
      </w:tr>
    </w:tbl>
    <w:p>
      <w:pPr>
        <w:widowControl/>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widowControl/>
        <w:jc w:val="left"/>
        <w:rPr>
          <w:rFonts w:asciiTheme="minorEastAsia" w:hAnsiTheme="minorEastAsia" w:eastAsiaTheme="minorEastAsia" w:cstheme="minorEastAsia"/>
          <w:b/>
          <w:bCs/>
          <w:sz w:val="28"/>
          <w:szCs w:val="28"/>
          <w:highlight w:val="none"/>
        </w:rPr>
      </w:pPr>
    </w:p>
    <w:p>
      <w:pPr>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jc w:val="center"/>
        <w:rPr>
          <w:rFonts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
          <w:bCs/>
          <w:sz w:val="28"/>
          <w:szCs w:val="28"/>
          <w:highlight w:val="none"/>
        </w:rPr>
        <w:t>质疑函范本</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一、质疑供应商基本信息</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质疑供应商：</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              邮编：</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            联系电话：</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授权代表：</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              邮编：</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二、质疑项目基本情况</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质疑项目的名称：</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质疑项目的编号：                包号：</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采购人名称：</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采购文件获取日期：</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三、质疑事项具体内容</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质疑事项1：</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事实依据：</w:t>
      </w:r>
    </w:p>
    <w:p>
      <w:pPr>
        <w:adjustRightInd w:val="0"/>
        <w:snapToGrid w:val="0"/>
        <w:spacing w:line="360" w:lineRule="auto"/>
        <w:rPr>
          <w:rFonts w:asciiTheme="minorEastAsia" w:hAnsiTheme="minorEastAsia" w:eastAsiaTheme="minorEastAsia" w:cstheme="minorEastAsia"/>
          <w:sz w:val="24"/>
          <w:highlight w:val="none"/>
        </w:rPr>
      </w:pP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法律依据：</w:t>
      </w:r>
    </w:p>
    <w:p>
      <w:pPr>
        <w:adjustRightInd w:val="0"/>
        <w:snapToGrid w:val="0"/>
        <w:spacing w:line="360" w:lineRule="auto"/>
        <w:rPr>
          <w:rFonts w:asciiTheme="minorEastAsia" w:hAnsiTheme="minorEastAsia" w:eastAsiaTheme="minorEastAsia" w:cstheme="minorEastAsia"/>
          <w:sz w:val="24"/>
          <w:highlight w:val="none"/>
          <w:u w:val="dotted"/>
        </w:rPr>
      </w:pP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质疑事项2</w:t>
      </w:r>
    </w:p>
    <w:p>
      <w:pPr>
        <w:adjustRightInd w:val="0"/>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四、与质疑事项相关的质疑请求</w:t>
      </w:r>
    </w:p>
    <w:p>
      <w:pPr>
        <w:adjustRightInd w:val="0"/>
        <w:snapToGrid w:val="0"/>
        <w:spacing w:line="360" w:lineRule="auto"/>
        <w:rPr>
          <w:rFonts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请求：</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签字(签章)：                   公章：                      </w:t>
      </w:r>
    </w:p>
    <w:p>
      <w:pPr>
        <w:snapToGrid w:val="0"/>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日期：    </w:t>
      </w:r>
    </w:p>
    <w:p>
      <w:pPr>
        <w:adjustRightInd w:val="0"/>
        <w:snapToGrid w:val="0"/>
        <w:spacing w:line="360" w:lineRule="auto"/>
        <w:rPr>
          <w:rFonts w:asciiTheme="minorEastAsia" w:hAnsiTheme="minorEastAsia" w:eastAsiaTheme="minorEastAsia" w:cstheme="minorEastAsia"/>
          <w:sz w:val="24"/>
          <w:highlight w:val="none"/>
        </w:rPr>
      </w:pPr>
    </w:p>
    <w:p>
      <w:pPr>
        <w:snapToGrid w:val="0"/>
        <w:spacing w:line="360" w:lineRule="auto"/>
        <w:rPr>
          <w:rFonts w:asciiTheme="minorEastAsia" w:hAnsiTheme="minorEastAsia" w:eastAsiaTheme="minorEastAsia" w:cstheme="minorEastAsia"/>
          <w:b/>
          <w:sz w:val="24"/>
          <w:highlight w:val="none"/>
        </w:rPr>
      </w:pPr>
    </w:p>
    <w:p>
      <w:pPr>
        <w:snapToGrid w:val="0"/>
        <w:spacing w:line="360" w:lineRule="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质疑函制作说明：</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1.供应商提出质疑时，应提交质疑函和必要的证明材料。</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3.质疑供应商若对项目的某一分包进行质疑，质疑函中应列明具体分包号。</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4.质疑函的质疑事项应具体、明确，并有必要的事实依据和法律依据。</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5.质疑函的质疑请求应与质疑事项相关。</w:t>
      </w:r>
    </w:p>
    <w:p>
      <w:pPr>
        <w:widowControl/>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6.质疑供应商为自然人的，质疑函应由本人签字；质疑供应商为法人或者其他组织的，质疑函应由法定代表人、主要负责人，或者其授权代表签字或者盖章，并加盖公章。</w:t>
      </w:r>
    </w:p>
    <w:p>
      <w:pPr>
        <w:snapToGrid w:val="0"/>
        <w:spacing w:line="360" w:lineRule="auto"/>
        <w:ind w:firstLine="579" w:firstLineChars="206"/>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8"/>
          <w:szCs w:val="28"/>
          <w:highlight w:val="none"/>
        </w:rPr>
        <w:br w:type="page"/>
      </w:r>
    </w:p>
    <w:p>
      <w:pPr>
        <w:spacing w:before="156" w:beforeLines="50" w:after="156" w:afterLines="50" w:line="360" w:lineRule="auto"/>
        <w:jc w:val="center"/>
        <w:rPr>
          <w:rFonts w:asciiTheme="minorEastAsia" w:hAnsiTheme="minorEastAsia" w:eastAsiaTheme="minorEastAsia" w:cstheme="minorEastAsia"/>
          <w:b/>
          <w:bCs/>
          <w:snapToGrid/>
          <w:w w:val="80"/>
          <w:kern w:val="2"/>
          <w:sz w:val="44"/>
          <w:szCs w:val="44"/>
          <w:highlight w:val="none"/>
        </w:rPr>
      </w:pPr>
      <w:r>
        <w:rPr>
          <w:rFonts w:hint="eastAsia" w:asciiTheme="minorEastAsia" w:hAnsiTheme="minorEastAsia" w:eastAsiaTheme="minorEastAsia" w:cstheme="minorEastAsia"/>
          <w:b/>
          <w:bCs/>
          <w:snapToGrid/>
          <w:w w:val="80"/>
          <w:kern w:val="2"/>
          <w:sz w:val="44"/>
          <w:szCs w:val="44"/>
          <w:highlight w:val="none"/>
        </w:rPr>
        <w:t>第七部分 工程量清单</w:t>
      </w:r>
    </w:p>
    <w:p>
      <w:pPr>
        <w:pStyle w:val="70"/>
        <w:ind w:left="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（详见附件）</w:t>
      </w:r>
    </w:p>
    <w:p>
      <w:pPr>
        <w:widowControl/>
        <w:jc w:val="left"/>
        <w:rPr>
          <w:rFonts w:asciiTheme="minorEastAsia" w:hAnsiTheme="minorEastAsia" w:eastAsiaTheme="minorEastAsia" w:cstheme="minorEastAsia"/>
          <w:snapToGrid/>
          <w:kern w:val="2"/>
          <w:highlight w:val="none"/>
        </w:rPr>
      </w:pPr>
      <w:r>
        <w:rPr>
          <w:rFonts w:hint="eastAsia" w:asciiTheme="minorEastAsia" w:hAnsiTheme="minorEastAsia" w:eastAsiaTheme="minorEastAsia" w:cstheme="minorEastAsia"/>
          <w:snapToGrid/>
          <w:kern w:val="2"/>
          <w:highlight w:val="none"/>
        </w:rPr>
        <w:br w:type="page"/>
      </w:r>
    </w:p>
    <w:p>
      <w:pPr>
        <w:widowControl/>
        <w:jc w:val="left"/>
        <w:rPr>
          <w:rFonts w:asciiTheme="minorEastAsia" w:hAnsiTheme="minorEastAsia" w:eastAsiaTheme="minorEastAsia" w:cstheme="minorEastAsia"/>
          <w:snapToGrid/>
          <w:kern w:val="2"/>
          <w:highlight w:val="none"/>
        </w:rPr>
      </w:pPr>
    </w:p>
    <w:p>
      <w:pPr>
        <w:pStyle w:val="87"/>
        <w:ind w:left="0" w:leftChars="0" w:firstLine="0" w:firstLineChars="0"/>
        <w:jc w:val="center"/>
        <w:rPr>
          <w:rFonts w:asciiTheme="minorEastAsia" w:hAnsiTheme="minorEastAsia" w:eastAsiaTheme="minorEastAsia" w:cstheme="minorEastAsia"/>
          <w:b/>
          <w:bCs/>
          <w:w w:val="80"/>
          <w:sz w:val="44"/>
          <w:szCs w:val="44"/>
          <w:highlight w:val="none"/>
        </w:rPr>
      </w:pPr>
      <w:r>
        <w:rPr>
          <w:rFonts w:hint="eastAsia" w:asciiTheme="minorEastAsia" w:hAnsiTheme="minorEastAsia" w:eastAsiaTheme="minorEastAsia" w:cstheme="minorEastAsia"/>
          <w:b/>
          <w:bCs/>
          <w:w w:val="80"/>
          <w:sz w:val="44"/>
          <w:szCs w:val="44"/>
          <w:highlight w:val="none"/>
        </w:rPr>
        <w:t>第八部分 图纸</w:t>
      </w:r>
    </w:p>
    <w:p>
      <w:pPr>
        <w:pStyle w:val="70"/>
        <w:ind w:left="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（详见附件）</w:t>
      </w:r>
    </w:p>
    <w:p>
      <w:pPr>
        <w:pStyle w:val="70"/>
        <w:ind w:left="0"/>
        <w:jc w:val="center"/>
        <w:rPr>
          <w:rFonts w:asciiTheme="minorEastAsia" w:hAnsiTheme="minorEastAsia" w:eastAsiaTheme="minorEastAsia" w:cstheme="minorEastAsia"/>
          <w:sz w:val="24"/>
          <w:szCs w:val="24"/>
          <w:highlight w:val="none"/>
        </w:rPr>
      </w:pPr>
    </w:p>
    <w:p>
      <w:pPr>
        <w:pStyle w:val="70"/>
        <w:ind w:left="0"/>
        <w:jc w:val="center"/>
        <w:rPr>
          <w:rFonts w:asciiTheme="minorEastAsia" w:hAnsiTheme="minorEastAsia" w:eastAsiaTheme="minorEastAsia" w:cstheme="minorEastAsia"/>
          <w:sz w:val="24"/>
          <w:szCs w:val="24"/>
          <w:highlight w:val="none"/>
        </w:rPr>
      </w:pPr>
    </w:p>
    <w:p>
      <w:pPr>
        <w:pStyle w:val="70"/>
        <w:ind w:left="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……全文结束……</w:t>
      </w:r>
    </w:p>
    <w:p>
      <w:pPr>
        <w:pStyle w:val="70"/>
        <w:ind w:left="0"/>
        <w:jc w:val="center"/>
        <w:rPr>
          <w:rFonts w:asciiTheme="minorEastAsia" w:hAnsiTheme="minorEastAsia" w:eastAsiaTheme="minorEastAsia" w:cstheme="minorEastAsia"/>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ymete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汉仪细等线繁">
    <w:altName w:val="宋体"/>
    <w:panose1 w:val="00000000000000000000"/>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pPr>
                            <w:pStyle w:val="56"/>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pPr>
                      <w:pStyle w:val="56"/>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pPr>
          <w:pStyle w:val="56"/>
          <w:ind w:left="840" w:hanging="420"/>
          <w:jc w:val="center"/>
        </w:pPr>
        <w:r>
          <w:fldChar w:fldCharType="begin"/>
        </w:r>
        <w:r>
          <w:instrText xml:space="preserve">PAGE   \* MERGEFORMAT</w:instrText>
        </w:r>
        <w:r>
          <w:fldChar w:fldCharType="separate"/>
        </w:r>
        <w:r>
          <w:rPr>
            <w:lang w:val="zh-CN"/>
          </w:rPr>
          <w:t>-</w:t>
        </w:r>
        <w:r>
          <w:t xml:space="preserve"> 81 -</w:t>
        </w:r>
        <w:r>
          <w:fldChar w:fldCharType="end"/>
        </w:r>
      </w:p>
    </w:sdtContent>
  </w:sdt>
  <w:p>
    <w:pPr>
      <w:pStyle w:val="5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pPr>
          <w:pStyle w:val="56"/>
          <w:ind w:left="840" w:hanging="420"/>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 PAGE   \* MERGEFORMAT </w:instrText>
    </w:r>
    <w:r>
      <w:fldChar w:fldCharType="separate"/>
    </w:r>
    <w:r>
      <w:rPr>
        <w:lang w:val="zh-CN"/>
      </w:rPr>
      <w:t>60</w:t>
    </w:r>
    <w:r>
      <w:fldChar w:fldCharType="end"/>
    </w:r>
  </w:p>
  <w:p>
    <w:pPr>
      <w:rPr>
        <w:rStyle w:val="65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94"/>
                            <w:tabs>
                              <w:tab w:val="clear" w:pos="4153"/>
                              <w:tab w:val="clear" w:pos="8306"/>
                            </w:tabs>
                          </w:pPr>
                          <w:r>
                            <w:t xml:space="preserve">第 </w:t>
                          </w:r>
                          <w:r>
                            <w:fldChar w:fldCharType="begin"/>
                          </w:r>
                          <w:r>
                            <w:instrText xml:space="preserve"> PAGE  \* MERGEFORMAT </w:instrText>
                          </w:r>
                          <w:r>
                            <w:fldChar w:fldCharType="separate"/>
                          </w:r>
                          <w:r>
                            <w:t>- 99 -</w:t>
                          </w:r>
                          <w:r>
                            <w:fldChar w:fldCharType="end"/>
                          </w:r>
                          <w:r>
                            <w:t xml:space="preserve"> 页</w:t>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pPr>
                      <w:pStyle w:val="694"/>
                      <w:tabs>
                        <w:tab w:val="clear" w:pos="4153"/>
                        <w:tab w:val="clear" w:pos="8306"/>
                      </w:tabs>
                    </w:pPr>
                    <w:r>
                      <w:t xml:space="preserve">第 </w:t>
                    </w:r>
                    <w:r>
                      <w:fldChar w:fldCharType="begin"/>
                    </w:r>
                    <w:r>
                      <w:instrText xml:space="preserve"> PAGE  \* MERGEFORMAT </w:instrText>
                    </w:r>
                    <w:r>
                      <w:fldChar w:fldCharType="separate"/>
                    </w:r>
                    <w:r>
                      <w:t>- 99 -</w:t>
                    </w:r>
                    <w:r>
                      <w:fldChar w:fldCharType="end"/>
                    </w:r>
                    <w:r>
                      <w:t xml:space="preserve"> 页</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ascii="宋体" w:hAnsi="宋体" w:eastAsia="宋体" w:cs="宋体"/>
        <w:sz w:val="18"/>
        <w:szCs w:val="18"/>
        <w:u w:val="single"/>
      </w:rPr>
      <w:t>南通市图书馆及综合服务中心档案库房恒温恒湿机组改造项目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rPr>
      <w:t>南通市图书馆及综合服务中心档案库房恒温恒湿机组改造项目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19558"/>
    <w:multiLevelType w:val="multilevel"/>
    <w:tmpl w:val="F6919558"/>
    <w:lvl w:ilvl="0" w:tentative="0">
      <w:start w:val="8"/>
      <w:numFmt w:val="decimal"/>
      <w:suff w:val="space"/>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BDF7112"/>
    <w:multiLevelType w:val="singleLevel"/>
    <w:tmpl w:val="2BDF7112"/>
    <w:lvl w:ilvl="0" w:tentative="0">
      <w:start w:val="1"/>
      <w:numFmt w:val="decimal"/>
      <w:lvlText w:val="%1."/>
      <w:lvlJc w:val="left"/>
      <w:pPr>
        <w:tabs>
          <w:tab w:val="left" w:pos="312"/>
        </w:tabs>
      </w:pPr>
    </w:lvl>
  </w:abstractNum>
  <w:abstractNum w:abstractNumId="4">
    <w:nsid w:val="2F73E600"/>
    <w:multiLevelType w:val="singleLevel"/>
    <w:tmpl w:val="2F73E600"/>
    <w:lvl w:ilvl="0" w:tentative="0">
      <w:start w:val="2"/>
      <w:numFmt w:val="decimal"/>
      <w:lvlText w:val="%1."/>
      <w:lvlJc w:val="left"/>
      <w:pPr>
        <w:tabs>
          <w:tab w:val="left" w:pos="312"/>
        </w:tabs>
      </w:pPr>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2"/>
  </w:num>
  <w:num w:numId="3">
    <w:abstractNumId w:val="6"/>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xZGJhMjU3ZmVmMjE1MjllMTljYmJhNjdkZDc0NDQ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5D2"/>
    <w:rsid w:val="003E288B"/>
    <w:rsid w:val="003E2BD1"/>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4712"/>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1B3C"/>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58FF"/>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1B89"/>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56F2"/>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87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9788B"/>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A83F3F"/>
    <w:rsid w:val="04B654FF"/>
    <w:rsid w:val="04C44C50"/>
    <w:rsid w:val="04C45436"/>
    <w:rsid w:val="04D7339F"/>
    <w:rsid w:val="04F3513D"/>
    <w:rsid w:val="05347D6C"/>
    <w:rsid w:val="053C0D83"/>
    <w:rsid w:val="05940AC6"/>
    <w:rsid w:val="05A51346"/>
    <w:rsid w:val="05CA0F79"/>
    <w:rsid w:val="06002E14"/>
    <w:rsid w:val="06296FF4"/>
    <w:rsid w:val="062C07F2"/>
    <w:rsid w:val="066252E1"/>
    <w:rsid w:val="06CD4426"/>
    <w:rsid w:val="070B4A32"/>
    <w:rsid w:val="0741479F"/>
    <w:rsid w:val="079F4DD0"/>
    <w:rsid w:val="07C733D5"/>
    <w:rsid w:val="083257DE"/>
    <w:rsid w:val="086504F8"/>
    <w:rsid w:val="08B466A8"/>
    <w:rsid w:val="092D370C"/>
    <w:rsid w:val="093F0D49"/>
    <w:rsid w:val="09837013"/>
    <w:rsid w:val="099208A0"/>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7803C2"/>
    <w:rsid w:val="0CDF7EBC"/>
    <w:rsid w:val="0CE51C08"/>
    <w:rsid w:val="0D110C4F"/>
    <w:rsid w:val="0D142709"/>
    <w:rsid w:val="0D4C61E0"/>
    <w:rsid w:val="0D5F2E7C"/>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814FE"/>
    <w:rsid w:val="10211D87"/>
    <w:rsid w:val="106539F7"/>
    <w:rsid w:val="109C11D1"/>
    <w:rsid w:val="113B172F"/>
    <w:rsid w:val="11416A9A"/>
    <w:rsid w:val="117C7AE0"/>
    <w:rsid w:val="1194410A"/>
    <w:rsid w:val="1236016D"/>
    <w:rsid w:val="12644E70"/>
    <w:rsid w:val="127C6B6A"/>
    <w:rsid w:val="12A147FB"/>
    <w:rsid w:val="12EB0686"/>
    <w:rsid w:val="13141499"/>
    <w:rsid w:val="13383059"/>
    <w:rsid w:val="13544AEF"/>
    <w:rsid w:val="138C744D"/>
    <w:rsid w:val="14423DE3"/>
    <w:rsid w:val="146E6986"/>
    <w:rsid w:val="14A635BA"/>
    <w:rsid w:val="14E7571C"/>
    <w:rsid w:val="15437E13"/>
    <w:rsid w:val="156E5386"/>
    <w:rsid w:val="159F45E4"/>
    <w:rsid w:val="15CC1919"/>
    <w:rsid w:val="163054A6"/>
    <w:rsid w:val="167E7823"/>
    <w:rsid w:val="16823727"/>
    <w:rsid w:val="1685194C"/>
    <w:rsid w:val="16A62408"/>
    <w:rsid w:val="17023ACA"/>
    <w:rsid w:val="17296DB3"/>
    <w:rsid w:val="17574443"/>
    <w:rsid w:val="1763366E"/>
    <w:rsid w:val="17960C97"/>
    <w:rsid w:val="17DC7B53"/>
    <w:rsid w:val="18001DFE"/>
    <w:rsid w:val="18716B48"/>
    <w:rsid w:val="18DE232D"/>
    <w:rsid w:val="19095406"/>
    <w:rsid w:val="19471BF0"/>
    <w:rsid w:val="19517AFF"/>
    <w:rsid w:val="19747BBC"/>
    <w:rsid w:val="19A84093"/>
    <w:rsid w:val="19A85978"/>
    <w:rsid w:val="19D21059"/>
    <w:rsid w:val="1A7C1EB7"/>
    <w:rsid w:val="1A8226E3"/>
    <w:rsid w:val="1A862C7C"/>
    <w:rsid w:val="1A92257F"/>
    <w:rsid w:val="1ABE74E0"/>
    <w:rsid w:val="1ADF238C"/>
    <w:rsid w:val="1AEB78ED"/>
    <w:rsid w:val="1B452D37"/>
    <w:rsid w:val="1B7526B6"/>
    <w:rsid w:val="1B8F5B60"/>
    <w:rsid w:val="1BDF5EED"/>
    <w:rsid w:val="1C422231"/>
    <w:rsid w:val="1C6067D6"/>
    <w:rsid w:val="1CFF6462"/>
    <w:rsid w:val="1D231455"/>
    <w:rsid w:val="1D5951DB"/>
    <w:rsid w:val="1D6E6F58"/>
    <w:rsid w:val="1D9B550E"/>
    <w:rsid w:val="1DCB0BE0"/>
    <w:rsid w:val="1E373A2C"/>
    <w:rsid w:val="1E8555E3"/>
    <w:rsid w:val="1EA71193"/>
    <w:rsid w:val="1ECA660B"/>
    <w:rsid w:val="1F09074F"/>
    <w:rsid w:val="1F264A2D"/>
    <w:rsid w:val="1F7F4D78"/>
    <w:rsid w:val="1F9C084C"/>
    <w:rsid w:val="1FF75713"/>
    <w:rsid w:val="1FFD5BCC"/>
    <w:rsid w:val="201422E9"/>
    <w:rsid w:val="203C6FB1"/>
    <w:rsid w:val="20F67F96"/>
    <w:rsid w:val="21295501"/>
    <w:rsid w:val="212E5E1B"/>
    <w:rsid w:val="215E6DAB"/>
    <w:rsid w:val="2163413D"/>
    <w:rsid w:val="2184758F"/>
    <w:rsid w:val="219966D8"/>
    <w:rsid w:val="221C3A77"/>
    <w:rsid w:val="2283187E"/>
    <w:rsid w:val="23EC0713"/>
    <w:rsid w:val="241C67F5"/>
    <w:rsid w:val="24321CBE"/>
    <w:rsid w:val="245169EB"/>
    <w:rsid w:val="24A109B0"/>
    <w:rsid w:val="24B86132"/>
    <w:rsid w:val="252C5476"/>
    <w:rsid w:val="25FC064B"/>
    <w:rsid w:val="26121868"/>
    <w:rsid w:val="2653082F"/>
    <w:rsid w:val="26571970"/>
    <w:rsid w:val="26BE369E"/>
    <w:rsid w:val="26E36D60"/>
    <w:rsid w:val="273A1BDF"/>
    <w:rsid w:val="27C04FF5"/>
    <w:rsid w:val="27DE30F1"/>
    <w:rsid w:val="27DF5133"/>
    <w:rsid w:val="27F560E7"/>
    <w:rsid w:val="28227B09"/>
    <w:rsid w:val="28326DA8"/>
    <w:rsid w:val="28B5472C"/>
    <w:rsid w:val="28C574CC"/>
    <w:rsid w:val="28E702F4"/>
    <w:rsid w:val="28F60AAB"/>
    <w:rsid w:val="29476E2A"/>
    <w:rsid w:val="29477A7A"/>
    <w:rsid w:val="29F6324E"/>
    <w:rsid w:val="2A290829"/>
    <w:rsid w:val="2A852156"/>
    <w:rsid w:val="2A8D20D4"/>
    <w:rsid w:val="2A976B6E"/>
    <w:rsid w:val="2AB0139E"/>
    <w:rsid w:val="2B0B0B30"/>
    <w:rsid w:val="2B7175BC"/>
    <w:rsid w:val="2B771119"/>
    <w:rsid w:val="2BA421EC"/>
    <w:rsid w:val="2BDD78F5"/>
    <w:rsid w:val="2C444276"/>
    <w:rsid w:val="2C530A72"/>
    <w:rsid w:val="2C576226"/>
    <w:rsid w:val="2C8B747B"/>
    <w:rsid w:val="2CE04C48"/>
    <w:rsid w:val="2CF04F5D"/>
    <w:rsid w:val="2D502C75"/>
    <w:rsid w:val="2EB10275"/>
    <w:rsid w:val="2EBC4F7E"/>
    <w:rsid w:val="2F1120CC"/>
    <w:rsid w:val="2F5500EA"/>
    <w:rsid w:val="2F7D6C3A"/>
    <w:rsid w:val="2F877444"/>
    <w:rsid w:val="2FC072EB"/>
    <w:rsid w:val="30247706"/>
    <w:rsid w:val="304C1E1A"/>
    <w:rsid w:val="30B24526"/>
    <w:rsid w:val="3112609C"/>
    <w:rsid w:val="31496359"/>
    <w:rsid w:val="32236BAB"/>
    <w:rsid w:val="323D19AC"/>
    <w:rsid w:val="327F64D7"/>
    <w:rsid w:val="32AA7A12"/>
    <w:rsid w:val="32D35837"/>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5B4C8C"/>
    <w:rsid w:val="36603F29"/>
    <w:rsid w:val="36643639"/>
    <w:rsid w:val="36985DB9"/>
    <w:rsid w:val="371771EB"/>
    <w:rsid w:val="375720DA"/>
    <w:rsid w:val="375A0883"/>
    <w:rsid w:val="37AB09D0"/>
    <w:rsid w:val="37C14E9C"/>
    <w:rsid w:val="37F27EC3"/>
    <w:rsid w:val="37F50E10"/>
    <w:rsid w:val="38572EA6"/>
    <w:rsid w:val="38796120"/>
    <w:rsid w:val="3908426B"/>
    <w:rsid w:val="39311BAD"/>
    <w:rsid w:val="39BA7DF4"/>
    <w:rsid w:val="39C011A9"/>
    <w:rsid w:val="39DF04D6"/>
    <w:rsid w:val="3A3D4495"/>
    <w:rsid w:val="3A4D11CB"/>
    <w:rsid w:val="3A520291"/>
    <w:rsid w:val="3A695377"/>
    <w:rsid w:val="3A8A7A28"/>
    <w:rsid w:val="3AB42A96"/>
    <w:rsid w:val="3AF61300"/>
    <w:rsid w:val="3B011823"/>
    <w:rsid w:val="3B15239D"/>
    <w:rsid w:val="3B976C1F"/>
    <w:rsid w:val="3BB56AC5"/>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675C6C"/>
    <w:rsid w:val="3FA6545F"/>
    <w:rsid w:val="40AB493B"/>
    <w:rsid w:val="40EF540B"/>
    <w:rsid w:val="415E375B"/>
    <w:rsid w:val="41657268"/>
    <w:rsid w:val="419C630F"/>
    <w:rsid w:val="41A82C28"/>
    <w:rsid w:val="41DE6BDE"/>
    <w:rsid w:val="42642FF3"/>
    <w:rsid w:val="42734FE4"/>
    <w:rsid w:val="42A43176"/>
    <w:rsid w:val="42D90C28"/>
    <w:rsid w:val="43422672"/>
    <w:rsid w:val="43756869"/>
    <w:rsid w:val="438F3C13"/>
    <w:rsid w:val="440469C7"/>
    <w:rsid w:val="4433676F"/>
    <w:rsid w:val="44DB40F2"/>
    <w:rsid w:val="44EF764B"/>
    <w:rsid w:val="4513485D"/>
    <w:rsid w:val="456E0FC0"/>
    <w:rsid w:val="45850E1F"/>
    <w:rsid w:val="45BE2073"/>
    <w:rsid w:val="463D1DC1"/>
    <w:rsid w:val="46731A57"/>
    <w:rsid w:val="46883EF7"/>
    <w:rsid w:val="472843D7"/>
    <w:rsid w:val="475D6E50"/>
    <w:rsid w:val="47630206"/>
    <w:rsid w:val="47B76B30"/>
    <w:rsid w:val="47F24D3A"/>
    <w:rsid w:val="483A349D"/>
    <w:rsid w:val="48CE242A"/>
    <w:rsid w:val="492C76F7"/>
    <w:rsid w:val="49323487"/>
    <w:rsid w:val="494330C8"/>
    <w:rsid w:val="494B2DBC"/>
    <w:rsid w:val="495849FC"/>
    <w:rsid w:val="4A765837"/>
    <w:rsid w:val="4A772580"/>
    <w:rsid w:val="4A8C30E7"/>
    <w:rsid w:val="4B401982"/>
    <w:rsid w:val="4B6461DA"/>
    <w:rsid w:val="4B7E22FC"/>
    <w:rsid w:val="4BA6714C"/>
    <w:rsid w:val="4BDD1AE7"/>
    <w:rsid w:val="4C0118B3"/>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1B3C78"/>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FB4AFB"/>
    <w:rsid w:val="55445C38"/>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491EA8"/>
    <w:rsid w:val="5B8F3CE4"/>
    <w:rsid w:val="5BBF5B13"/>
    <w:rsid w:val="5BEE4F64"/>
    <w:rsid w:val="5C593896"/>
    <w:rsid w:val="5D011D80"/>
    <w:rsid w:val="5D485B99"/>
    <w:rsid w:val="5D753EAF"/>
    <w:rsid w:val="5DB3607E"/>
    <w:rsid w:val="5DD010E5"/>
    <w:rsid w:val="5DF748C4"/>
    <w:rsid w:val="5E4562C3"/>
    <w:rsid w:val="5E666B4F"/>
    <w:rsid w:val="5EA07300"/>
    <w:rsid w:val="5ED11B6D"/>
    <w:rsid w:val="5F021772"/>
    <w:rsid w:val="5F326BE8"/>
    <w:rsid w:val="5F46462A"/>
    <w:rsid w:val="5F681F57"/>
    <w:rsid w:val="60054E02"/>
    <w:rsid w:val="60B151FE"/>
    <w:rsid w:val="60B847DE"/>
    <w:rsid w:val="60F92E43"/>
    <w:rsid w:val="61700C15"/>
    <w:rsid w:val="61967F68"/>
    <w:rsid w:val="621E425A"/>
    <w:rsid w:val="6233638E"/>
    <w:rsid w:val="625A4B92"/>
    <w:rsid w:val="62B611F1"/>
    <w:rsid w:val="62ED7867"/>
    <w:rsid w:val="62F35580"/>
    <w:rsid w:val="62F471E6"/>
    <w:rsid w:val="638061C1"/>
    <w:rsid w:val="63C51B42"/>
    <w:rsid w:val="63EA7860"/>
    <w:rsid w:val="640E2967"/>
    <w:rsid w:val="641414C0"/>
    <w:rsid w:val="64C26078"/>
    <w:rsid w:val="64DF0AFE"/>
    <w:rsid w:val="653D6CC1"/>
    <w:rsid w:val="65F512D1"/>
    <w:rsid w:val="66154073"/>
    <w:rsid w:val="66726134"/>
    <w:rsid w:val="669F0B6A"/>
    <w:rsid w:val="673E4F6D"/>
    <w:rsid w:val="674647FB"/>
    <w:rsid w:val="67FA3502"/>
    <w:rsid w:val="6819344E"/>
    <w:rsid w:val="683F35B9"/>
    <w:rsid w:val="686C15E1"/>
    <w:rsid w:val="68FE57E9"/>
    <w:rsid w:val="69227A8F"/>
    <w:rsid w:val="694F7CAA"/>
    <w:rsid w:val="699B698E"/>
    <w:rsid w:val="6A0B153B"/>
    <w:rsid w:val="6A4757E1"/>
    <w:rsid w:val="6A5E5B47"/>
    <w:rsid w:val="6A6C1225"/>
    <w:rsid w:val="6BB42046"/>
    <w:rsid w:val="6BB44445"/>
    <w:rsid w:val="6BF258B5"/>
    <w:rsid w:val="6C082426"/>
    <w:rsid w:val="6C240F7A"/>
    <w:rsid w:val="6C4761F3"/>
    <w:rsid w:val="6C9003BD"/>
    <w:rsid w:val="6D2D7C59"/>
    <w:rsid w:val="6D3C36EF"/>
    <w:rsid w:val="6DA03CB7"/>
    <w:rsid w:val="6DA848B1"/>
    <w:rsid w:val="6E001573"/>
    <w:rsid w:val="6E1321C3"/>
    <w:rsid w:val="6E7A6D20"/>
    <w:rsid w:val="6F122D10"/>
    <w:rsid w:val="6F865AA7"/>
    <w:rsid w:val="700D2A49"/>
    <w:rsid w:val="7020414E"/>
    <w:rsid w:val="70383246"/>
    <w:rsid w:val="7046650E"/>
    <w:rsid w:val="70997952"/>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B73D06"/>
    <w:rsid w:val="73CD2FC7"/>
    <w:rsid w:val="7464499E"/>
    <w:rsid w:val="74D453D8"/>
    <w:rsid w:val="75004E12"/>
    <w:rsid w:val="75444CE6"/>
    <w:rsid w:val="758B02BC"/>
    <w:rsid w:val="75B551D4"/>
    <w:rsid w:val="75CA0D8D"/>
    <w:rsid w:val="75ED4AD2"/>
    <w:rsid w:val="7623401F"/>
    <w:rsid w:val="766864D8"/>
    <w:rsid w:val="76837F0B"/>
    <w:rsid w:val="76984A3E"/>
    <w:rsid w:val="76F02150"/>
    <w:rsid w:val="770117D0"/>
    <w:rsid w:val="770E68EE"/>
    <w:rsid w:val="771332F3"/>
    <w:rsid w:val="77D57B19"/>
    <w:rsid w:val="780659D7"/>
    <w:rsid w:val="782037BB"/>
    <w:rsid w:val="78212811"/>
    <w:rsid w:val="784731B4"/>
    <w:rsid w:val="78A8668A"/>
    <w:rsid w:val="78B70D97"/>
    <w:rsid w:val="78C86137"/>
    <w:rsid w:val="79863274"/>
    <w:rsid w:val="7A014042"/>
    <w:rsid w:val="7A3F1AB2"/>
    <w:rsid w:val="7A8C0E44"/>
    <w:rsid w:val="7AA77987"/>
    <w:rsid w:val="7AB83901"/>
    <w:rsid w:val="7B0A519B"/>
    <w:rsid w:val="7B286E3C"/>
    <w:rsid w:val="7B6B171D"/>
    <w:rsid w:val="7B91160A"/>
    <w:rsid w:val="7BE841A3"/>
    <w:rsid w:val="7BE8724F"/>
    <w:rsid w:val="7BF42242"/>
    <w:rsid w:val="7C3075A8"/>
    <w:rsid w:val="7C4F2869"/>
    <w:rsid w:val="7C685FEA"/>
    <w:rsid w:val="7C6A17D1"/>
    <w:rsid w:val="7C974F21"/>
    <w:rsid w:val="7CB9122E"/>
    <w:rsid w:val="7CD924C5"/>
    <w:rsid w:val="7D0B583E"/>
    <w:rsid w:val="7D761851"/>
    <w:rsid w:val="7DEA624B"/>
    <w:rsid w:val="7DEE6983"/>
    <w:rsid w:val="7E2175F4"/>
    <w:rsid w:val="7E313FCB"/>
    <w:rsid w:val="7E736A89"/>
    <w:rsid w:val="7E826256"/>
    <w:rsid w:val="7F046956"/>
    <w:rsid w:val="7F3C22A1"/>
    <w:rsid w:val="7F5D6825"/>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1"/>
    <w:link w:val="124"/>
    <w:unhideWhenUsed/>
    <w:qFormat/>
    <w:uiPriority w:val="0"/>
    <w:pPr>
      <w:tabs>
        <w:tab w:val="left" w:pos="5250"/>
      </w:tabs>
    </w:pPr>
    <w:rPr>
      <w:rFonts w:ascii="Times New Roman" w:hAnsi="Times New Roman" w:eastAsia="宋体"/>
      <w:snapToGrid/>
      <w:kern w:val="2"/>
      <w:szCs w:val="20"/>
    </w:rPr>
  </w:style>
  <w:style w:type="paragraph" w:styleId="35">
    <w:name w:val="Body Text Indent"/>
    <w:basedOn w:val="1"/>
    <w:next w:val="36"/>
    <w:link w:val="103"/>
    <w:qFormat/>
    <w:uiPriority w:val="0"/>
    <w:pPr>
      <w:ind w:firstLine="570"/>
    </w:pPr>
    <w:rPr>
      <w:rFonts w:ascii="楷体_GB2312" w:hAnsi="Times New Roman" w:eastAsia="楷体_GB2312"/>
      <w:snapToGrid/>
      <w:kern w:val="2"/>
      <w:sz w:val="30"/>
      <w:szCs w:val="20"/>
    </w:rPr>
  </w:style>
  <w:style w:type="paragraph" w:styleId="36">
    <w:name w:val="envelope return"/>
    <w:basedOn w:val="1"/>
    <w:qFormat/>
    <w:uiPriority w:val="0"/>
    <w:pPr>
      <w:snapToGrid w:val="0"/>
    </w:pPr>
    <w:rPr>
      <w:rFonts w:ascii="Arial" w:hAnsi="Arial" w:eastAsia="宋体" w:cs="Arial"/>
      <w:snapToGrid/>
      <w:kern w:val="2"/>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5"/>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5">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6">
    <w:name w:val="Plain Text"/>
    <w:basedOn w:val="1"/>
    <w:link w:val="126"/>
    <w:unhideWhenUsed/>
    <w:qFormat/>
    <w:uiPriority w:val="0"/>
    <w:rPr>
      <w:rFonts w:hint="eastAsia" w:ascii="宋体" w:hAnsi="Courier New" w:eastAsia="楷体_GB2312"/>
      <w:snapToGrid/>
      <w:sz w:val="28"/>
      <w:szCs w:val="20"/>
    </w:rPr>
  </w:style>
  <w:style w:type="paragraph" w:styleId="47">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8">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9">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0">
    <w:name w:val="index 3"/>
    <w:basedOn w:val="1"/>
    <w:next w:val="1"/>
    <w:qFormat/>
    <w:uiPriority w:val="0"/>
    <w:pPr>
      <w:ind w:left="400" w:leftChars="400"/>
    </w:pPr>
    <w:rPr>
      <w:rFonts w:ascii="Times New Roman" w:hAnsi="Times New Roman" w:eastAsia="宋体"/>
      <w:snapToGrid/>
      <w:kern w:val="2"/>
    </w:rPr>
  </w:style>
  <w:style w:type="paragraph" w:styleId="51">
    <w:name w:val="Date"/>
    <w:basedOn w:val="1"/>
    <w:next w:val="1"/>
    <w:link w:val="127"/>
    <w:qFormat/>
    <w:uiPriority w:val="0"/>
    <w:pPr>
      <w:ind w:left="2500" w:leftChars="2500"/>
    </w:pPr>
    <w:rPr>
      <w:rFonts w:ascii="Times New Roman" w:hAnsi="Times New Roman" w:eastAsia="宋体"/>
      <w:snapToGrid/>
      <w:sz w:val="20"/>
      <w:szCs w:val="20"/>
    </w:rPr>
  </w:style>
  <w:style w:type="paragraph" w:styleId="52">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3">
    <w:name w:val="endnote text"/>
    <w:basedOn w:val="1"/>
    <w:link w:val="129"/>
    <w:qFormat/>
    <w:uiPriority w:val="0"/>
    <w:pPr>
      <w:snapToGrid w:val="0"/>
      <w:jc w:val="left"/>
    </w:pPr>
    <w:rPr>
      <w:rFonts w:ascii="Times New Roman" w:hAnsi="Times New Roman" w:eastAsia="宋体"/>
      <w:snapToGrid/>
      <w:kern w:val="2"/>
    </w:rPr>
  </w:style>
  <w:style w:type="paragraph" w:styleId="54">
    <w:name w:val="List Continue 5"/>
    <w:basedOn w:val="1"/>
    <w:qFormat/>
    <w:uiPriority w:val="0"/>
    <w:pPr>
      <w:spacing w:after="120"/>
      <w:ind w:left="2100" w:leftChars="1000"/>
    </w:pPr>
    <w:rPr>
      <w:rFonts w:ascii="Times New Roman" w:hAnsi="Times New Roman" w:eastAsia="宋体"/>
      <w:snapToGrid/>
      <w:kern w:val="2"/>
    </w:rPr>
  </w:style>
  <w:style w:type="paragraph" w:styleId="55">
    <w:name w:val="Balloon Text"/>
    <w:basedOn w:val="1"/>
    <w:link w:val="130"/>
    <w:qFormat/>
    <w:uiPriority w:val="0"/>
    <w:rPr>
      <w:rFonts w:ascii="Times New Roman" w:hAnsi="Times New Roman" w:eastAsia="宋体"/>
      <w:snapToGrid/>
      <w:kern w:val="2"/>
      <w:sz w:val="18"/>
      <w:szCs w:val="18"/>
    </w:rPr>
  </w:style>
  <w:style w:type="paragraph" w:styleId="56">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7">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8">
    <w:name w:val="Signature"/>
    <w:basedOn w:val="1"/>
    <w:link w:val="133"/>
    <w:qFormat/>
    <w:uiPriority w:val="0"/>
    <w:pPr>
      <w:ind w:left="100" w:leftChars="2100"/>
    </w:pPr>
    <w:rPr>
      <w:rFonts w:ascii="Times New Roman" w:hAnsi="Times New Roman" w:eastAsia="宋体"/>
      <w:snapToGrid/>
      <w:kern w:val="2"/>
    </w:rPr>
  </w:style>
  <w:style w:type="paragraph" w:styleId="59">
    <w:name w:val="toc 1"/>
    <w:basedOn w:val="1"/>
    <w:next w:val="1"/>
    <w:unhideWhenUsed/>
    <w:qFormat/>
    <w:uiPriority w:val="39"/>
  </w:style>
  <w:style w:type="paragraph" w:styleId="60">
    <w:name w:val="List Continue 4"/>
    <w:basedOn w:val="1"/>
    <w:qFormat/>
    <w:uiPriority w:val="0"/>
    <w:pPr>
      <w:spacing w:after="120"/>
      <w:ind w:left="1680" w:leftChars="800"/>
    </w:pPr>
    <w:rPr>
      <w:rFonts w:ascii="Times New Roman" w:hAnsi="Times New Roman" w:eastAsia="宋体"/>
      <w:snapToGrid/>
      <w:kern w:val="2"/>
    </w:rPr>
  </w:style>
  <w:style w:type="paragraph" w:styleId="61">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2">
    <w:name w:val="index heading"/>
    <w:basedOn w:val="1"/>
    <w:next w:val="63"/>
    <w:qFormat/>
    <w:uiPriority w:val="0"/>
    <w:rPr>
      <w:rFonts w:ascii="Arial" w:hAnsi="Arial" w:eastAsia="宋体" w:cs="Arial"/>
      <w:b/>
      <w:bCs/>
      <w:snapToGrid/>
      <w:kern w:val="2"/>
    </w:rPr>
  </w:style>
  <w:style w:type="paragraph" w:styleId="63">
    <w:name w:val="index 1"/>
    <w:basedOn w:val="1"/>
    <w:next w:val="1"/>
    <w:unhideWhenUsed/>
    <w:qFormat/>
    <w:uiPriority w:val="0"/>
  </w:style>
  <w:style w:type="paragraph" w:styleId="64">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5">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6">
    <w:name w:val="List"/>
    <w:basedOn w:val="1"/>
    <w:qFormat/>
    <w:uiPriority w:val="0"/>
    <w:pPr>
      <w:ind w:left="200" w:hanging="200" w:hangingChars="200"/>
    </w:pPr>
    <w:rPr>
      <w:rFonts w:ascii="Times New Roman" w:hAnsi="Times New Roman" w:eastAsia="宋体"/>
      <w:snapToGrid/>
      <w:kern w:val="2"/>
    </w:rPr>
  </w:style>
  <w:style w:type="paragraph" w:styleId="67">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8">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69">
    <w:name w:val="List 5"/>
    <w:basedOn w:val="1"/>
    <w:qFormat/>
    <w:uiPriority w:val="0"/>
    <w:pPr>
      <w:ind w:left="100" w:leftChars="800" w:hanging="200" w:hangingChars="200"/>
    </w:pPr>
    <w:rPr>
      <w:rFonts w:ascii="Times New Roman" w:hAnsi="Times New Roman" w:eastAsia="宋体"/>
      <w:snapToGrid/>
      <w:kern w:val="2"/>
    </w:rPr>
  </w:style>
  <w:style w:type="paragraph" w:styleId="70">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1">
    <w:name w:val="index 7"/>
    <w:basedOn w:val="1"/>
    <w:next w:val="1"/>
    <w:qFormat/>
    <w:uiPriority w:val="0"/>
    <w:pPr>
      <w:ind w:left="1200" w:leftChars="1200"/>
    </w:pPr>
    <w:rPr>
      <w:rFonts w:ascii="Times New Roman" w:hAnsi="Times New Roman" w:eastAsia="宋体"/>
      <w:snapToGrid/>
      <w:kern w:val="2"/>
    </w:rPr>
  </w:style>
  <w:style w:type="paragraph" w:styleId="72">
    <w:name w:val="index 9"/>
    <w:basedOn w:val="1"/>
    <w:next w:val="1"/>
    <w:qFormat/>
    <w:uiPriority w:val="0"/>
    <w:pPr>
      <w:ind w:left="1600" w:leftChars="1600"/>
    </w:pPr>
    <w:rPr>
      <w:rFonts w:ascii="Times New Roman" w:hAnsi="Times New Roman" w:eastAsia="宋体"/>
      <w:snapToGrid/>
      <w:kern w:val="2"/>
    </w:rPr>
  </w:style>
  <w:style w:type="paragraph" w:styleId="73">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4">
    <w:name w:val="toc 2"/>
    <w:basedOn w:val="1"/>
    <w:next w:val="1"/>
    <w:semiHidden/>
    <w:qFormat/>
    <w:uiPriority w:val="99"/>
    <w:pPr>
      <w:ind w:left="210"/>
      <w:jc w:val="left"/>
    </w:pPr>
    <w:rPr>
      <w:smallCaps/>
      <w:sz w:val="20"/>
      <w:szCs w:val="20"/>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5"/>
    <w:next w:val="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5"/>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0"/>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2"/>
    <w:qFormat/>
    <w:uiPriority w:val="0"/>
    <w:rPr>
      <w:i/>
      <w:iCs/>
      <w:kern w:val="2"/>
      <w:sz w:val="21"/>
      <w:szCs w:val="24"/>
    </w:rPr>
  </w:style>
  <w:style w:type="character" w:customStyle="1" w:styleId="126">
    <w:name w:val="纯文本 字符3"/>
    <w:link w:val="46"/>
    <w:qFormat/>
    <w:uiPriority w:val="0"/>
    <w:rPr>
      <w:rFonts w:hint="eastAsia" w:ascii="宋体" w:hAnsi="Courier New" w:eastAsia="楷体_GB2312" w:cs="宋体"/>
      <w:sz w:val="28"/>
    </w:rPr>
  </w:style>
  <w:style w:type="character" w:customStyle="1" w:styleId="127">
    <w:name w:val="日期 字符2"/>
    <w:link w:val="51"/>
    <w:qFormat/>
    <w:uiPriority w:val="0"/>
    <w:rPr>
      <w:rFonts w:hint="default" w:ascii="Times New Roman" w:hAnsi="Times New Roman" w:cs="Times New Roman"/>
    </w:rPr>
  </w:style>
  <w:style w:type="character" w:customStyle="1" w:styleId="128">
    <w:name w:val="正文文本缩进 2 字符2"/>
    <w:link w:val="52"/>
    <w:qFormat/>
    <w:uiPriority w:val="99"/>
    <w:rPr>
      <w:rFonts w:hint="default" w:ascii="Times New Roman" w:hAnsi="Times New Roman" w:cs="Times New Roman"/>
      <w:kern w:val="2"/>
      <w:sz w:val="21"/>
    </w:rPr>
  </w:style>
  <w:style w:type="character" w:customStyle="1" w:styleId="129">
    <w:name w:val="尾注文本 字符1"/>
    <w:link w:val="53"/>
    <w:qFormat/>
    <w:uiPriority w:val="0"/>
    <w:rPr>
      <w:kern w:val="2"/>
      <w:sz w:val="21"/>
      <w:szCs w:val="24"/>
    </w:rPr>
  </w:style>
  <w:style w:type="character" w:customStyle="1" w:styleId="130">
    <w:name w:val="批注框文本 字符2"/>
    <w:link w:val="55"/>
    <w:qFormat/>
    <w:uiPriority w:val="0"/>
    <w:rPr>
      <w:kern w:val="2"/>
      <w:sz w:val="18"/>
      <w:szCs w:val="18"/>
    </w:rPr>
  </w:style>
  <w:style w:type="character" w:customStyle="1" w:styleId="131">
    <w:name w:val="页脚 字符2"/>
    <w:link w:val="56"/>
    <w:qFormat/>
    <w:uiPriority w:val="99"/>
    <w:rPr>
      <w:rFonts w:hint="default" w:ascii="Times New Roman" w:hAnsi="Times New Roman" w:cs="Times New Roman"/>
      <w:sz w:val="18"/>
    </w:rPr>
  </w:style>
  <w:style w:type="character" w:customStyle="1" w:styleId="132">
    <w:name w:val="页眉 字符2"/>
    <w:link w:val="57"/>
    <w:qFormat/>
    <w:uiPriority w:val="99"/>
    <w:rPr>
      <w:rFonts w:hint="default" w:ascii="Times New Roman" w:hAnsi="Times New Roman" w:cs="Times New Roman"/>
      <w:kern w:val="2"/>
      <w:sz w:val="18"/>
      <w:szCs w:val="18"/>
    </w:rPr>
  </w:style>
  <w:style w:type="character" w:customStyle="1" w:styleId="133">
    <w:name w:val="签名 字符1"/>
    <w:link w:val="58"/>
    <w:qFormat/>
    <w:uiPriority w:val="0"/>
    <w:rPr>
      <w:kern w:val="2"/>
      <w:sz w:val="21"/>
      <w:szCs w:val="24"/>
    </w:rPr>
  </w:style>
  <w:style w:type="character" w:customStyle="1" w:styleId="134">
    <w:name w:val="副标题 字符2"/>
    <w:link w:val="64"/>
    <w:qFormat/>
    <w:uiPriority w:val="0"/>
    <w:rPr>
      <w:rFonts w:ascii="Cambria" w:hAnsi="Cambria"/>
      <w:b/>
      <w:bCs/>
      <w:kern w:val="28"/>
      <w:sz w:val="32"/>
      <w:szCs w:val="32"/>
    </w:rPr>
  </w:style>
  <w:style w:type="character" w:customStyle="1" w:styleId="135">
    <w:name w:val="脚注文本 字符2"/>
    <w:link w:val="67"/>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首行缩进 2 字符"/>
    <w:link w:val="87"/>
    <w:qFormat/>
    <w:uiPriority w:val="0"/>
    <w:rPr>
      <w:rFonts w:ascii="Calibri" w:hAnsi="Calibri"/>
      <w:kern w:val="2"/>
      <w:sz w:val="21"/>
      <w:szCs w:val="24"/>
      <w:lang w:bidi="ar-SA"/>
    </w:rPr>
  </w:style>
  <w:style w:type="character" w:customStyle="1" w:styleId="143">
    <w:name w:val="正文首行缩进 字符"/>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3"/>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59"/>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1">
    <w:name w:val="UserStyle_18"/>
    <w:qFormat/>
    <w:uiPriority w:val="0"/>
    <w:rPr>
      <w:rFonts w:ascii="MS Mincho" w:hAnsi="等线 Light" w:eastAsia="宋体" w:cs="Times New Roman"/>
      <w:color w:val="000000"/>
      <w:sz w:val="24"/>
      <w:szCs w:val="24"/>
      <w:lang w:val="en-US" w:eastAsia="zh-CN" w:bidi="ar-SA"/>
    </w:rPr>
  </w:style>
  <w:style w:type="paragraph" w:customStyle="1" w:styleId="692">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693">
    <w:name w:val="正文文本11"/>
    <w:basedOn w:val="1"/>
    <w:qFormat/>
    <w:uiPriority w:val="0"/>
    <w:pPr>
      <w:spacing w:line="400" w:lineRule="exact"/>
    </w:pPr>
    <w:rPr>
      <w:rFonts w:ascii="楷体_GB2312"/>
      <w:sz w:val="28"/>
    </w:rPr>
  </w:style>
  <w:style w:type="paragraph" w:customStyle="1" w:styleId="694">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D93D9-046F-4B86-9B82-68C35B4B6FA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115</Pages>
  <Words>58434</Words>
  <Characters>61490</Characters>
  <Lines>492</Lines>
  <Paragraphs>138</Paragraphs>
  <TotalTime>25</TotalTime>
  <ScaleCrop>false</ScaleCrop>
  <LinksUpToDate>false</LinksUpToDate>
  <CharactersWithSpaces>66377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2025-09-02T06:39:00Z</dcterms:created>
  <dc:creator>JSJG</dc:creator>
  <cp:lastModifiedBy>张胜兰</cp:lastModifiedBy>
  <cp:lastPrinted>2025-12-15T04:57:00Z</cp:lastPrinted>
  <dcterms:modified xsi:type="dcterms:W3CDTF">2026-04-02T09:06:30Z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2B3DFD21DCC649D08BD96F20E9E94A19_13</vt:lpwstr>
  </property>
  <property fmtid="{D5CDD505-2E9C-101B-9397-08002B2CF9AE}" pid="4" name="KSOTemplateDocerSaveRecord">
    <vt:lpwstr>eyJoZGlkIjoiNDE3NDI3NmFjOTg3OWFjNzQ5NjgxNGY4YjgwNjU2MmEiLCJ1c2VySWQiOiIyNjg4NjE1MTYifQ==</vt:lpwstr>
  </property>
</Properties>
</file>