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78BEA4">
      <w:pPr>
        <w:tabs>
          <w:tab w:val="left" w:pos="6300"/>
        </w:tabs>
        <w:snapToGrid w:val="0"/>
        <w:spacing w:line="300" w:lineRule="auto"/>
        <w:jc w:val="center"/>
        <w:rPr>
          <w:rFonts w:hint="eastAsia" w:ascii="宋体" w:hAnsi="宋体" w:eastAsia="宋体" w:cs="宋体"/>
          <w:w w:val="80"/>
          <w:sz w:val="44"/>
          <w:szCs w:val="44"/>
          <w:lang w:eastAsia="zh-CN"/>
        </w:rPr>
      </w:pPr>
    </w:p>
    <w:p w14:paraId="0F243BE7">
      <w:pPr>
        <w:pStyle w:val="10"/>
        <w:rPr>
          <w:sz w:val="11"/>
          <w:szCs w:val="11"/>
        </w:rPr>
      </w:pPr>
    </w:p>
    <w:p w14:paraId="51A82939">
      <w:pPr>
        <w:shd w:val="clear"/>
        <w:spacing w:line="560" w:lineRule="exact"/>
        <w:ind w:right="-197" w:rightChars="-94"/>
        <w:jc w:val="center"/>
        <w:rPr>
          <w:rFonts w:hint="eastAsia" w:ascii="宋体" w:hAnsi="宋体" w:eastAsia="宋体" w:cs="宋体"/>
          <w:b/>
          <w:bCs/>
          <w:snapToGrid/>
          <w:kern w:val="2"/>
          <w:sz w:val="44"/>
          <w:szCs w:val="44"/>
          <w:lang w:eastAsia="zh-CN"/>
        </w:rPr>
      </w:pPr>
      <w:r>
        <w:rPr>
          <w:rFonts w:hint="eastAsia" w:ascii="宋体" w:hAnsi="宋体" w:eastAsia="宋体" w:cs="宋体"/>
          <w:b/>
          <w:bCs/>
          <w:snapToGrid/>
          <w:kern w:val="2"/>
          <w:sz w:val="44"/>
          <w:szCs w:val="44"/>
          <w:lang w:eastAsia="zh-CN"/>
        </w:rPr>
        <w:t>南通市政务中心食堂服务中心设备</w:t>
      </w:r>
    </w:p>
    <w:p w14:paraId="4DEEF4CA">
      <w:pPr>
        <w:shd w:val="clear"/>
        <w:spacing w:line="560" w:lineRule="exact"/>
        <w:ind w:right="-197" w:rightChars="-94"/>
        <w:jc w:val="center"/>
        <w:rPr>
          <w:rFonts w:hint="eastAsia" w:ascii="宋体" w:hAnsi="宋体" w:eastAsia="宋体" w:cs="宋体"/>
          <w:b/>
          <w:color w:val="000000"/>
          <w:sz w:val="44"/>
          <w:szCs w:val="44"/>
          <w:lang w:eastAsia="zh-CN"/>
        </w:rPr>
      </w:pPr>
      <w:r>
        <w:rPr>
          <w:rFonts w:hint="eastAsia" w:ascii="宋体" w:hAnsi="宋体" w:eastAsia="宋体" w:cs="宋体"/>
          <w:b/>
          <w:bCs/>
          <w:snapToGrid/>
          <w:kern w:val="2"/>
          <w:sz w:val="44"/>
          <w:szCs w:val="44"/>
          <w:lang w:eastAsia="zh-CN"/>
        </w:rPr>
        <w:t>采购项目（二次）</w:t>
      </w:r>
    </w:p>
    <w:p w14:paraId="18471D59">
      <w:pPr>
        <w:tabs>
          <w:tab w:val="left" w:pos="6300"/>
        </w:tabs>
        <w:snapToGrid w:val="0"/>
        <w:spacing w:line="300" w:lineRule="auto"/>
        <w:jc w:val="center"/>
        <w:rPr>
          <w:rFonts w:ascii="宋体" w:hAnsi="宋体" w:eastAsia="宋体" w:cs="宋体"/>
          <w:b/>
          <w:w w:val="80"/>
          <w:sz w:val="56"/>
          <w:szCs w:val="56"/>
        </w:rPr>
      </w:pPr>
    </w:p>
    <w:p w14:paraId="647AE464">
      <w:pPr>
        <w:tabs>
          <w:tab w:val="left" w:pos="6300"/>
        </w:tabs>
        <w:snapToGrid w:val="0"/>
        <w:spacing w:line="300" w:lineRule="auto"/>
        <w:jc w:val="center"/>
        <w:rPr>
          <w:rFonts w:ascii="宋体" w:hAnsi="宋体" w:eastAsia="宋体" w:cs="宋体"/>
          <w:w w:val="80"/>
          <w:sz w:val="84"/>
        </w:rPr>
      </w:pPr>
    </w:p>
    <w:p w14:paraId="6F05D8C4">
      <w:pPr>
        <w:pStyle w:val="2"/>
      </w:pPr>
    </w:p>
    <w:p w14:paraId="2F570ABA">
      <w:pPr>
        <w:tabs>
          <w:tab w:val="left" w:pos="1050"/>
          <w:tab w:val="right" w:leader="dot" w:pos="9402"/>
        </w:tabs>
        <w:spacing w:line="1000" w:lineRule="exact"/>
        <w:jc w:val="center"/>
        <w:rPr>
          <w:rFonts w:ascii="宋体" w:hAnsi="宋体" w:eastAsia="宋体" w:cs="宋体"/>
          <w:sz w:val="72"/>
          <w:szCs w:val="72"/>
        </w:rPr>
      </w:pPr>
      <w:r>
        <w:rPr>
          <w:rFonts w:hint="eastAsia" w:ascii="宋体" w:hAnsi="宋体" w:eastAsia="宋体" w:cs="宋体"/>
          <w:b/>
          <w:w w:val="80"/>
          <w:sz w:val="72"/>
          <w:szCs w:val="72"/>
        </w:rPr>
        <w:t>竞争性磋商文件</w:t>
      </w:r>
    </w:p>
    <w:p w14:paraId="4A8D8D28">
      <w:pPr>
        <w:pStyle w:val="81"/>
        <w:spacing w:line="312" w:lineRule="auto"/>
        <w:jc w:val="center"/>
        <w:rPr>
          <w:rFonts w:hint="default" w:ascii="宋体" w:hAnsi="宋体" w:cs="宋体"/>
          <w:b/>
          <w:bCs/>
          <w:sz w:val="44"/>
          <w:szCs w:val="44"/>
          <w:highlight w:val="yellow"/>
        </w:rPr>
      </w:pPr>
    </w:p>
    <w:p w14:paraId="0F10CF72">
      <w:pPr>
        <w:pStyle w:val="81"/>
        <w:spacing w:line="312" w:lineRule="auto"/>
        <w:jc w:val="center"/>
        <w:rPr>
          <w:rFonts w:hint="eastAsia" w:eastAsia="宋体"/>
          <w:b/>
          <w:snapToGrid w:val="0"/>
          <w:color w:val="000000"/>
          <w:sz w:val="36"/>
          <w:szCs w:val="44"/>
          <w:lang w:eastAsia="zh-CN"/>
        </w:rPr>
      </w:pPr>
      <w:r>
        <w:rPr>
          <w:rFonts w:ascii="宋体" w:hAnsi="宋体" w:eastAsia="宋体" w:cs="宋体"/>
          <w:b/>
          <w:snapToGrid w:val="0"/>
          <w:color w:val="000000"/>
          <w:sz w:val="36"/>
          <w:szCs w:val="44"/>
        </w:rPr>
        <w:t>项目编号：</w:t>
      </w:r>
      <w:r>
        <w:rPr>
          <w:rFonts w:hint="eastAsia" w:ascii="宋体" w:hAnsi="宋体" w:eastAsia="宋体" w:cs="宋体"/>
          <w:b/>
          <w:snapToGrid w:val="0"/>
          <w:color w:val="000000"/>
          <w:sz w:val="36"/>
          <w:szCs w:val="44"/>
          <w:lang w:eastAsia="zh-CN"/>
        </w:rPr>
        <w:t>ZZNT2025030</w:t>
      </w:r>
    </w:p>
    <w:p w14:paraId="414AEE51">
      <w:pPr>
        <w:pStyle w:val="81"/>
        <w:spacing w:line="312" w:lineRule="auto"/>
        <w:jc w:val="both"/>
        <w:rPr>
          <w:rStyle w:val="96"/>
          <w:rFonts w:hint="default" w:ascii="宋体" w:hAnsi="宋体" w:eastAsia="宋体" w:cs="宋体"/>
          <w:sz w:val="30"/>
        </w:rPr>
      </w:pPr>
    </w:p>
    <w:p w14:paraId="0B60946A">
      <w:pPr>
        <w:pStyle w:val="81"/>
        <w:spacing w:line="312" w:lineRule="auto"/>
        <w:jc w:val="center"/>
        <w:rPr>
          <w:rStyle w:val="96"/>
          <w:rFonts w:hint="default" w:ascii="宋体" w:hAnsi="宋体" w:eastAsia="宋体" w:cs="宋体"/>
          <w:sz w:val="30"/>
        </w:rPr>
      </w:pPr>
    </w:p>
    <w:p w14:paraId="4F75A426">
      <w:pPr>
        <w:pStyle w:val="81"/>
        <w:spacing w:line="312" w:lineRule="auto"/>
        <w:jc w:val="center"/>
        <w:rPr>
          <w:rStyle w:val="96"/>
          <w:rFonts w:hint="default" w:ascii="宋体" w:hAnsi="宋体" w:eastAsia="宋体" w:cs="宋体"/>
          <w:sz w:val="30"/>
        </w:rPr>
      </w:pPr>
    </w:p>
    <w:p w14:paraId="162EA2F3">
      <w:pPr>
        <w:pStyle w:val="81"/>
        <w:spacing w:line="312" w:lineRule="auto"/>
        <w:jc w:val="center"/>
        <w:rPr>
          <w:rStyle w:val="96"/>
          <w:rFonts w:hint="default" w:ascii="宋体" w:hAnsi="宋体" w:eastAsia="宋体" w:cs="宋体"/>
          <w:sz w:val="30"/>
        </w:rPr>
      </w:pPr>
    </w:p>
    <w:p w14:paraId="6DB480FB"/>
    <w:p w14:paraId="4DBF2D1D"/>
    <w:p w14:paraId="29878877">
      <w:pPr>
        <w:pStyle w:val="81"/>
        <w:spacing w:line="312" w:lineRule="auto"/>
        <w:jc w:val="center"/>
        <w:rPr>
          <w:rStyle w:val="96"/>
          <w:rFonts w:hint="default" w:ascii="宋体" w:hAnsi="宋体" w:eastAsia="宋体" w:cs="宋体"/>
          <w:sz w:val="30"/>
        </w:rPr>
      </w:pPr>
    </w:p>
    <w:p w14:paraId="2B4FF76A"/>
    <w:p w14:paraId="43D58E0B"/>
    <w:p w14:paraId="37586C3F">
      <w:pPr>
        <w:pStyle w:val="81"/>
        <w:spacing w:line="312" w:lineRule="auto"/>
        <w:jc w:val="center"/>
        <w:rPr>
          <w:rStyle w:val="96"/>
          <w:rFonts w:hint="default" w:ascii="宋体" w:hAnsi="宋体" w:eastAsia="宋体" w:cs="宋体"/>
          <w:snapToGrid w:val="0"/>
          <w:sz w:val="28"/>
        </w:rPr>
      </w:pPr>
    </w:p>
    <w:p w14:paraId="4CCBB0CC">
      <w:pPr>
        <w:spacing w:line="480" w:lineRule="auto"/>
        <w:ind w:firstLine="2520" w:firstLineChars="900"/>
        <w:rPr>
          <w:rStyle w:val="96"/>
          <w:rFonts w:ascii="宋体" w:hAnsi="宋体" w:eastAsia="宋体" w:cs="宋体"/>
          <w:sz w:val="28"/>
        </w:rPr>
      </w:pPr>
      <w:r>
        <w:rPr>
          <w:rStyle w:val="96"/>
          <w:rFonts w:hint="eastAsia" w:ascii="宋体" w:hAnsi="宋体" w:eastAsia="宋体" w:cs="宋体"/>
          <w:sz w:val="28"/>
        </w:rPr>
        <w:t>采购单位：南通市机关事务管理局</w:t>
      </w:r>
    </w:p>
    <w:p w14:paraId="19FFD04B">
      <w:pPr>
        <w:tabs>
          <w:tab w:val="left" w:pos="1050"/>
          <w:tab w:val="right" w:leader="dot" w:pos="9402"/>
        </w:tabs>
        <w:spacing w:line="480" w:lineRule="auto"/>
        <w:ind w:firstLine="2520" w:firstLineChars="900"/>
        <w:rPr>
          <w:rStyle w:val="96"/>
          <w:rFonts w:hint="eastAsia" w:ascii="宋体" w:hAnsi="宋体" w:eastAsia="宋体" w:cs="宋体"/>
          <w:sz w:val="28"/>
          <w:lang w:eastAsia="zh-CN"/>
        </w:rPr>
      </w:pPr>
      <w:r>
        <w:rPr>
          <w:rStyle w:val="96"/>
          <w:rFonts w:hint="eastAsia" w:ascii="宋体" w:hAnsi="宋体" w:eastAsia="宋体" w:cs="宋体"/>
          <w:sz w:val="28"/>
        </w:rPr>
        <w:t>代理机构：</w:t>
      </w:r>
      <w:r>
        <w:rPr>
          <w:rStyle w:val="96"/>
          <w:rFonts w:hint="eastAsia" w:ascii="宋体" w:hAnsi="宋体" w:eastAsia="宋体" w:cs="宋体"/>
          <w:sz w:val="28"/>
          <w:lang w:eastAsia="zh-CN"/>
        </w:rPr>
        <w:t>中证房地产评估造价集团有限公司</w:t>
      </w:r>
    </w:p>
    <w:p w14:paraId="3BBD8F70">
      <w:pPr>
        <w:tabs>
          <w:tab w:val="left" w:pos="1050"/>
          <w:tab w:val="right" w:leader="dot" w:pos="9402"/>
        </w:tabs>
        <w:spacing w:line="480" w:lineRule="auto"/>
        <w:ind w:firstLine="2520" w:firstLineChars="900"/>
        <w:rPr>
          <w:rFonts w:ascii="宋体" w:hAnsi="宋体" w:eastAsia="宋体" w:cs="宋体"/>
          <w:b/>
          <w:bCs/>
          <w:sz w:val="44"/>
        </w:rPr>
      </w:pPr>
      <w:r>
        <w:rPr>
          <w:rStyle w:val="96"/>
          <w:rFonts w:ascii="宋体" w:hAnsi="宋体" w:eastAsia="宋体" w:cs="宋体"/>
          <w:sz w:val="28"/>
        </w:rPr>
        <w:t>日    期：二0</w:t>
      </w:r>
      <w:r>
        <w:rPr>
          <w:rStyle w:val="96"/>
          <w:rFonts w:hint="eastAsia" w:ascii="宋体" w:hAnsi="宋体" w:eastAsia="宋体" w:cs="宋体"/>
          <w:sz w:val="28"/>
        </w:rPr>
        <w:t>二</w:t>
      </w:r>
      <w:r>
        <w:rPr>
          <w:rStyle w:val="96"/>
          <w:rFonts w:hint="eastAsia" w:ascii="宋体" w:hAnsi="宋体" w:eastAsia="宋体" w:cs="宋体"/>
          <w:sz w:val="28"/>
          <w:lang w:eastAsia="zh-CN"/>
        </w:rPr>
        <w:t>五</w:t>
      </w:r>
      <w:r>
        <w:rPr>
          <w:rStyle w:val="96"/>
          <w:rFonts w:ascii="宋体" w:hAnsi="宋体" w:eastAsia="宋体" w:cs="宋体"/>
          <w:sz w:val="28"/>
        </w:rPr>
        <w:t>年</w:t>
      </w:r>
      <w:r>
        <w:rPr>
          <w:rStyle w:val="96"/>
          <w:rFonts w:hint="eastAsia" w:ascii="宋体" w:hAnsi="宋体" w:eastAsia="宋体" w:cs="宋体"/>
          <w:sz w:val="28"/>
          <w:lang w:eastAsia="zh-CN"/>
        </w:rPr>
        <w:t>三</w:t>
      </w:r>
      <w:r>
        <w:rPr>
          <w:rStyle w:val="96"/>
          <w:rFonts w:ascii="宋体" w:hAnsi="宋体" w:eastAsia="宋体" w:cs="宋体"/>
          <w:sz w:val="28"/>
        </w:rPr>
        <w:t>月</w:t>
      </w:r>
      <w:r>
        <w:rPr>
          <w:rFonts w:hint="eastAsia" w:ascii="宋体" w:hAnsi="宋体" w:eastAsia="宋体" w:cs="宋体"/>
          <w:b/>
          <w:bCs/>
          <w:sz w:val="44"/>
        </w:rPr>
        <w:br w:type="page"/>
      </w:r>
    </w:p>
    <w:p w14:paraId="7D860CA6">
      <w:pPr>
        <w:spacing w:line="360" w:lineRule="auto"/>
        <w:jc w:val="center"/>
        <w:rPr>
          <w:rFonts w:ascii="宋体" w:hAnsi="宋体" w:eastAsia="宋体" w:cs="宋体"/>
          <w:b/>
          <w:bCs/>
          <w:sz w:val="32"/>
          <w:szCs w:val="32"/>
        </w:rPr>
      </w:pPr>
    </w:p>
    <w:p w14:paraId="56928042">
      <w:pPr>
        <w:spacing w:line="360" w:lineRule="auto"/>
        <w:jc w:val="center"/>
        <w:rPr>
          <w:rFonts w:ascii="宋体" w:hAnsi="宋体" w:eastAsia="宋体" w:cs="宋体"/>
          <w:b/>
          <w:bCs/>
          <w:sz w:val="32"/>
          <w:szCs w:val="32"/>
        </w:rPr>
      </w:pPr>
      <w:r>
        <w:rPr>
          <w:rFonts w:hint="eastAsia" w:ascii="宋体" w:hAnsi="宋体" w:eastAsia="宋体" w:cs="宋体"/>
          <w:b/>
          <w:bCs/>
          <w:sz w:val="40"/>
          <w:szCs w:val="40"/>
        </w:rPr>
        <w:t>目   录</w:t>
      </w:r>
    </w:p>
    <w:p w14:paraId="3707A942">
      <w:pPr>
        <w:spacing w:line="360" w:lineRule="auto"/>
        <w:rPr>
          <w:rFonts w:ascii="宋体" w:hAnsi="宋体" w:eastAsia="宋体" w:cs="宋体"/>
          <w:sz w:val="28"/>
        </w:rPr>
      </w:pPr>
    </w:p>
    <w:p w14:paraId="51968991">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第一部分  采购邀请</w:t>
      </w:r>
    </w:p>
    <w:p w14:paraId="492D938B">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1C29DE14">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6D430163">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6E9FB994">
      <w:pPr>
        <w:spacing w:line="1000" w:lineRule="exact"/>
        <w:rPr>
          <w:rFonts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186B8CBF">
      <w:pPr>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7BCD33EF">
      <w:pPr>
        <w:snapToGrid w:val="0"/>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七</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工程量清单</w:t>
      </w:r>
    </w:p>
    <w:p w14:paraId="4ECFD9C8">
      <w:pPr>
        <w:pStyle w:val="5"/>
        <w:rPr>
          <w:sz w:val="18"/>
          <w:szCs w:val="18"/>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066F7B9A">
      <w:pPr>
        <w:spacing w:before="120" w:beforeLines="50" w:after="120" w:afterLines="50" w:line="360" w:lineRule="auto"/>
        <w:jc w:val="center"/>
        <w:rPr>
          <w:rFonts w:ascii="宋体" w:hAnsi="宋体" w:eastAsia="宋体" w:cs="宋体"/>
          <w:b/>
          <w:bCs/>
          <w:snapToGrid/>
          <w:w w:val="80"/>
          <w:kern w:val="2"/>
          <w:sz w:val="44"/>
          <w:szCs w:val="44"/>
        </w:rPr>
      </w:pPr>
      <w:bookmarkStart w:id="0" w:name="_Toc363573853"/>
      <w:r>
        <w:rPr>
          <w:rFonts w:hint="eastAsia" w:ascii="宋体" w:hAnsi="宋体" w:eastAsia="宋体" w:cs="宋体"/>
          <w:b/>
          <w:bCs/>
          <w:snapToGrid/>
          <w:w w:val="80"/>
          <w:kern w:val="2"/>
          <w:sz w:val="44"/>
          <w:szCs w:val="44"/>
        </w:rPr>
        <w:t xml:space="preserve">第一部分  </w:t>
      </w:r>
      <w:bookmarkEnd w:id="0"/>
      <w:r>
        <w:rPr>
          <w:rFonts w:hint="eastAsia" w:ascii="宋体" w:hAnsi="宋体" w:eastAsia="宋体" w:cs="宋体"/>
          <w:b/>
          <w:bCs/>
          <w:snapToGrid/>
          <w:w w:val="80"/>
          <w:kern w:val="2"/>
          <w:sz w:val="44"/>
          <w:szCs w:val="44"/>
        </w:rPr>
        <w:t>采购邀请</w:t>
      </w:r>
    </w:p>
    <w:p w14:paraId="0E13C1A4">
      <w:pPr>
        <w:pStyle w:val="2"/>
        <w:snapToGrid w:val="0"/>
        <w:spacing w:after="0" w:line="360" w:lineRule="auto"/>
        <w:ind w:left="0" w:leftChars="0" w:firstLine="480"/>
      </w:pPr>
      <w:r>
        <w:rPr>
          <w:rFonts w:hint="eastAsia" w:ascii="宋体" w:hAnsi="宋体" w:cs="宋体"/>
          <w:sz w:val="24"/>
        </w:rPr>
        <w:t>受南通市机关事务管理局的委托，</w:t>
      </w:r>
      <w:r>
        <w:rPr>
          <w:rFonts w:hint="eastAsia" w:ascii="宋体" w:hAnsi="宋体" w:cs="宋体"/>
          <w:sz w:val="24"/>
          <w:lang w:eastAsia="zh-CN"/>
        </w:rPr>
        <w:t>中证房地产评估造价集团有限公司</w:t>
      </w:r>
      <w:r>
        <w:rPr>
          <w:rFonts w:hint="eastAsia" w:ascii="宋体" w:hAnsi="宋体" w:cs="宋体"/>
          <w:sz w:val="24"/>
        </w:rPr>
        <w:t>就</w:t>
      </w:r>
      <w:r>
        <w:rPr>
          <w:rFonts w:hint="eastAsia" w:ascii="宋体" w:hAnsi="宋体" w:cs="宋体"/>
          <w:sz w:val="24"/>
          <w:lang w:eastAsia="zh-CN"/>
        </w:rPr>
        <w:t>南通市政务中心食堂服务中心设备采购项目（二次）</w:t>
      </w:r>
      <w:r>
        <w:rPr>
          <w:rFonts w:hint="eastAsia" w:ascii="宋体" w:hAnsi="宋体" w:cs="宋体"/>
          <w:sz w:val="24"/>
        </w:rPr>
        <w:t>（项目编号：</w:t>
      </w:r>
      <w:r>
        <w:rPr>
          <w:rFonts w:hint="eastAsia" w:ascii="宋体" w:hAnsi="宋体" w:cs="宋体"/>
          <w:sz w:val="24"/>
          <w:lang w:eastAsia="zh-CN"/>
        </w:rPr>
        <w:t>ZZNT2025030</w:t>
      </w:r>
      <w:r>
        <w:rPr>
          <w:rFonts w:hint="eastAsia" w:ascii="宋体" w:hAnsi="宋体" w:cs="宋体"/>
          <w:sz w:val="24"/>
        </w:rPr>
        <w:t>）进行竞争性磋商采购，欢迎符合条件的供应商参加磋商。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0D91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8" w:hRule="atLeast"/>
        </w:trPr>
        <w:tc>
          <w:tcPr>
            <w:tcW w:w="9575" w:type="dxa"/>
          </w:tcPr>
          <w:p w14:paraId="7643C45C">
            <w:pPr>
              <w:snapToGrid w:val="0"/>
              <w:spacing w:line="360" w:lineRule="auto"/>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21325C77">
            <w:pPr>
              <w:pStyle w:val="8"/>
              <w:snapToGrid w:val="0"/>
              <w:spacing w:before="0" w:after="0" w:line="360" w:lineRule="auto"/>
              <w:ind w:firstLine="480" w:firstLineChars="200"/>
            </w:pPr>
            <w:r>
              <w:rPr>
                <w:rFonts w:hint="eastAsia" w:ascii="宋体" w:hAnsi="宋体" w:eastAsia="宋体" w:cs="宋体"/>
                <w:b w:val="0"/>
                <w:bCs w:val="0"/>
                <w:sz w:val="24"/>
                <w:lang w:eastAsia="zh-CN"/>
              </w:rPr>
              <w:t>南通市政务中心食堂服务中心设备采购项目（二次）</w:t>
            </w:r>
            <w:r>
              <w:rPr>
                <w:rFonts w:hint="eastAsia" w:ascii="宋体" w:hAnsi="宋体" w:eastAsia="宋体" w:cs="宋体"/>
                <w:b w:val="0"/>
                <w:bCs w:val="0"/>
                <w:sz w:val="24"/>
              </w:rPr>
              <w:t>的潜在供应商应在“南通市机关事务管理局</w:t>
            </w:r>
            <w:r>
              <w:rPr>
                <w:rFonts w:ascii="宋体" w:hAnsi="宋体" w:eastAsia="宋体" w:cs="宋体"/>
                <w:b w:val="0"/>
                <w:bCs w:val="0"/>
                <w:sz w:val="24"/>
              </w:rPr>
              <w:t>→</w:t>
            </w:r>
            <w:r>
              <w:rPr>
                <w:rFonts w:hint="eastAsia" w:ascii="宋体" w:hAnsi="宋体" w:eastAsia="宋体" w:cs="宋体"/>
                <w:b w:val="0"/>
                <w:bCs w:val="0"/>
                <w:sz w:val="24"/>
              </w:rPr>
              <w:t>公告公示</w:t>
            </w:r>
            <w:r>
              <w:rPr>
                <w:rFonts w:ascii="宋体" w:hAnsi="宋体" w:eastAsia="宋体" w:cs="宋体"/>
                <w:b w:val="0"/>
                <w:bCs w:val="0"/>
                <w:sz w:val="24"/>
              </w:rPr>
              <w:t>”</w:t>
            </w:r>
            <w:r>
              <w:rPr>
                <w:rFonts w:hint="eastAsia" w:ascii="宋体" w:hAnsi="宋体" w:eastAsia="宋体" w:cs="宋体"/>
                <w:b w:val="0"/>
                <w:bCs w:val="0"/>
                <w:sz w:val="24"/>
              </w:rPr>
              <w:t>栏获取采购文件，并于</w:t>
            </w:r>
            <w:r>
              <w:rPr>
                <w:rFonts w:ascii="宋体" w:hAnsi="宋体" w:eastAsia="宋体" w:cs="宋体"/>
                <w:b/>
                <w:bCs/>
                <w:sz w:val="24"/>
              </w:rPr>
              <w:t>202</w:t>
            </w:r>
            <w:r>
              <w:rPr>
                <w:rFonts w:hint="eastAsia" w:ascii="宋体" w:hAnsi="宋体" w:eastAsia="宋体" w:cs="宋体"/>
                <w:b/>
                <w:bCs/>
                <w:sz w:val="24"/>
                <w:lang w:val="en-US" w:eastAsia="zh-CN"/>
              </w:rPr>
              <w:t>5</w:t>
            </w:r>
            <w:r>
              <w:rPr>
                <w:rFonts w:hint="eastAsia" w:ascii="宋体" w:hAnsi="宋体" w:eastAsia="宋体" w:cs="宋体"/>
                <w:b/>
                <w:bCs/>
                <w:sz w:val="24"/>
              </w:rPr>
              <w:t>年</w:t>
            </w:r>
            <w:r>
              <w:rPr>
                <w:rFonts w:hint="eastAsia" w:ascii="宋体" w:hAnsi="宋体" w:eastAsia="宋体" w:cs="宋体"/>
                <w:b/>
                <w:bCs/>
                <w:sz w:val="24"/>
                <w:lang w:val="en-US" w:eastAsia="zh-CN"/>
              </w:rPr>
              <w:t>4</w:t>
            </w:r>
            <w:r>
              <w:rPr>
                <w:rFonts w:hint="eastAsia" w:ascii="宋体" w:hAnsi="宋体" w:eastAsia="宋体" w:cs="宋体"/>
                <w:b/>
                <w:bCs/>
                <w:sz w:val="24"/>
              </w:rPr>
              <w:t>月</w:t>
            </w:r>
            <w:r>
              <w:rPr>
                <w:rFonts w:hint="eastAsia" w:ascii="宋体" w:hAnsi="宋体" w:eastAsia="宋体" w:cs="宋体"/>
                <w:b/>
                <w:bCs/>
                <w:sz w:val="24"/>
                <w:lang w:val="en-US" w:eastAsia="zh-CN"/>
              </w:rPr>
              <w:t>3</w:t>
            </w:r>
            <w:r>
              <w:rPr>
                <w:rFonts w:hint="eastAsia" w:ascii="宋体" w:hAnsi="宋体" w:eastAsia="宋体" w:cs="宋体"/>
                <w:b/>
                <w:bCs/>
                <w:sz w:val="24"/>
              </w:rPr>
              <w:t>日14时</w:t>
            </w:r>
            <w:r>
              <w:rPr>
                <w:rFonts w:hint="eastAsia" w:ascii="宋体" w:hAnsi="宋体" w:eastAsia="宋体" w:cs="宋体"/>
                <w:b/>
                <w:bCs/>
                <w:sz w:val="24"/>
                <w:lang w:val="en-US" w:eastAsia="zh-CN"/>
              </w:rPr>
              <w:t>00</w:t>
            </w:r>
            <w:r>
              <w:rPr>
                <w:rFonts w:hint="eastAsia" w:ascii="宋体" w:hAnsi="宋体" w:eastAsia="宋体" w:cs="宋体"/>
                <w:b/>
                <w:bCs/>
                <w:sz w:val="24"/>
              </w:rPr>
              <w:t>分00秒</w:t>
            </w:r>
            <w:r>
              <w:rPr>
                <w:rFonts w:hint="eastAsia" w:ascii="宋体" w:hAnsi="宋体" w:eastAsia="宋体" w:cs="宋体"/>
                <w:b w:val="0"/>
                <w:bCs w:val="0"/>
                <w:sz w:val="24"/>
              </w:rPr>
              <w:t>（北京时间）前提交响应文件。</w:t>
            </w:r>
          </w:p>
        </w:tc>
      </w:tr>
    </w:tbl>
    <w:p w14:paraId="7A7D4309"/>
    <w:p w14:paraId="392539FC">
      <w:pPr>
        <w:pStyle w:val="8"/>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3AAE236B">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1、项目编号：</w:t>
      </w:r>
      <w:r>
        <w:rPr>
          <w:rFonts w:hint="eastAsia" w:ascii="宋体" w:hAnsi="宋体" w:eastAsia="宋体" w:cs="宋体"/>
          <w:sz w:val="24"/>
          <w:lang w:eastAsia="zh-CN"/>
        </w:rPr>
        <w:t>ZZNT2025030</w:t>
      </w:r>
    </w:p>
    <w:p w14:paraId="1C094D44">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南通市政务中心食堂服务中心设备采购项目（二次）</w:t>
      </w:r>
    </w:p>
    <w:p w14:paraId="13ACFD92">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3、项目类型：</w:t>
      </w:r>
      <w:r>
        <w:rPr>
          <w:rFonts w:hint="eastAsia" w:ascii="宋体" w:hAnsi="宋体" w:eastAsia="宋体" w:cs="宋体"/>
          <w:sz w:val="24"/>
          <w:lang w:eastAsia="zh-CN"/>
        </w:rPr>
        <w:t>货物</w:t>
      </w:r>
    </w:p>
    <w:p w14:paraId="6D5DBA69">
      <w:pPr>
        <w:pStyle w:val="2"/>
        <w:ind w:left="0" w:leftChars="0" w:firstLine="480"/>
      </w:pPr>
      <w:r>
        <w:rPr>
          <w:rFonts w:hint="eastAsia" w:ascii="宋体" w:hAnsi="宋体" w:cs="宋体"/>
          <w:sz w:val="24"/>
        </w:rPr>
        <w:t>4、所属行业：建筑业</w:t>
      </w:r>
    </w:p>
    <w:p w14:paraId="5431DB1E">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5、预算金额：人民币</w:t>
      </w:r>
      <w:r>
        <w:rPr>
          <w:rFonts w:hint="eastAsia" w:ascii="宋体" w:hAnsi="宋体" w:eastAsia="宋体" w:cs="宋体"/>
          <w:sz w:val="24"/>
          <w:lang w:eastAsia="zh-CN"/>
        </w:rPr>
        <w:t>137950.33元</w:t>
      </w:r>
      <w:r>
        <w:rPr>
          <w:rFonts w:hint="eastAsia" w:ascii="宋体" w:hAnsi="宋体" w:eastAsia="宋体" w:cs="宋体"/>
          <w:sz w:val="24"/>
        </w:rPr>
        <w:t>。</w:t>
      </w:r>
    </w:p>
    <w:p w14:paraId="3172F32E">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cs="宋体"/>
          <w:sz w:val="24"/>
        </w:rPr>
        <w:t>6、</w:t>
      </w:r>
      <w:r>
        <w:rPr>
          <w:rFonts w:hint="eastAsia" w:ascii="宋体" w:hAnsi="宋体" w:eastAsia="宋体" w:cs="宋体"/>
          <w:sz w:val="24"/>
        </w:rPr>
        <w:t>最高限价：本次项目最高总价限价人民币</w:t>
      </w:r>
      <w:r>
        <w:rPr>
          <w:rFonts w:hint="eastAsia" w:ascii="宋体" w:hAnsi="宋体" w:eastAsia="宋体" w:cs="宋体"/>
          <w:sz w:val="24"/>
          <w:lang w:eastAsia="zh-CN"/>
        </w:rPr>
        <w:t>137950.33</w:t>
      </w:r>
      <w:r>
        <w:rPr>
          <w:rFonts w:hint="eastAsia" w:ascii="宋体" w:hAnsi="宋体" w:eastAsia="宋体" w:cs="宋体"/>
          <w:sz w:val="24"/>
        </w:rPr>
        <w:t>元，首次报价不得高于最高限价，否则做无效响应处理。</w:t>
      </w:r>
    </w:p>
    <w:p w14:paraId="11E92843">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7、采购需求：具体详见《第三部分 项目需求》。</w:t>
      </w:r>
    </w:p>
    <w:p w14:paraId="41C509BB">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8、产品设备交付及安装调试服务日期：合同签订生效后</w:t>
      </w:r>
      <w:r>
        <w:rPr>
          <w:rFonts w:hint="eastAsia" w:ascii="宋体" w:hAnsi="宋体" w:eastAsia="宋体" w:cs="宋体"/>
          <w:sz w:val="24"/>
          <w:lang w:val="en-US" w:eastAsia="zh-CN"/>
        </w:rPr>
        <w:t>30</w:t>
      </w:r>
      <w:r>
        <w:rPr>
          <w:rFonts w:hint="eastAsia" w:ascii="宋体" w:hAnsi="宋体" w:eastAsia="宋体" w:cs="宋体"/>
          <w:sz w:val="24"/>
        </w:rPr>
        <w:t>日历天完成所有产品生产及安装调试。</w:t>
      </w:r>
    </w:p>
    <w:p w14:paraId="05793F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9、本项目是否接受联合体投标：否。</w:t>
      </w:r>
    </w:p>
    <w:p w14:paraId="311A709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10、本项目不接受分包。</w:t>
      </w:r>
    </w:p>
    <w:p w14:paraId="5D504367">
      <w:pPr>
        <w:pStyle w:val="8"/>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27B1F2E7">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0AC53998">
      <w:pPr>
        <w:widowControl/>
        <w:adjustRightInd w:val="0"/>
        <w:snapToGrid w:val="0"/>
        <w:spacing w:line="360" w:lineRule="auto"/>
        <w:ind w:firstLine="480" w:firstLineChars="200"/>
        <w:jc w:val="left"/>
        <w:rPr>
          <w:rFonts w:hint="eastAsia" w:ascii="宋体" w:hAnsi="宋体" w:eastAsia="宋体" w:cs="宋体"/>
          <w:b/>
          <w:color w:val="000000"/>
          <w:sz w:val="24"/>
          <w:lang w:eastAsia="zh-CN"/>
        </w:rPr>
      </w:pPr>
      <w:r>
        <w:rPr>
          <w:rFonts w:hint="eastAsia" w:ascii="宋体" w:hAnsi="宋体" w:eastAsia="宋体" w:cs="宋体"/>
          <w:sz w:val="24"/>
        </w:rPr>
        <w:t>2、本项目的特定资格要求</w:t>
      </w:r>
      <w:r>
        <w:rPr>
          <w:rFonts w:hint="eastAsia" w:ascii="宋体" w:hAnsi="宋体" w:eastAsia="宋体" w:cs="宋体"/>
          <w:b/>
          <w:color w:val="000000"/>
          <w:sz w:val="24"/>
        </w:rPr>
        <w:t>：</w:t>
      </w:r>
      <w:r>
        <w:rPr>
          <w:rFonts w:hint="eastAsia" w:ascii="宋体" w:hAnsi="宋体" w:eastAsia="宋体" w:cs="宋体"/>
          <w:b/>
          <w:color w:val="000000"/>
          <w:sz w:val="24"/>
          <w:lang w:eastAsia="zh-CN"/>
        </w:rPr>
        <w:t>无</w:t>
      </w:r>
    </w:p>
    <w:p w14:paraId="1F1B3C50">
      <w:pPr>
        <w:shd w:val="clear" w:color="auto"/>
        <w:snapToGrid w:val="0"/>
        <w:spacing w:line="348" w:lineRule="auto"/>
        <w:ind w:firstLine="480" w:firstLineChars="200"/>
        <w:jc w:val="left"/>
        <w:textAlignment w:val="baseline"/>
        <w:rPr>
          <w:rFonts w:ascii="宋体" w:hAnsi="宋体" w:eastAsia="宋体" w:cs="宋体"/>
          <w:color w:val="333333"/>
          <w:sz w:val="24"/>
        </w:rPr>
      </w:pPr>
      <w:r>
        <w:rPr>
          <w:rFonts w:hint="eastAsia" w:ascii="宋体" w:hAnsi="宋体" w:eastAsia="宋体" w:cs="宋体"/>
          <w:color w:val="333333"/>
          <w:sz w:val="24"/>
        </w:rPr>
        <w:t>3、落实政府采购政策需满足的资格要求：</w:t>
      </w:r>
      <w:r>
        <w:rPr>
          <w:rFonts w:hint="eastAsia" w:ascii="宋体" w:hAnsi="宋体" w:eastAsia="宋体" w:cs="宋体"/>
          <w:b/>
          <w:color w:val="333333"/>
          <w:sz w:val="24"/>
          <w:u w:val="single"/>
        </w:rPr>
        <w:t>本项目属于专门面向中小企业（含残疾人福利性单位、监狱企业）采购的项目，供应商应为中小微企业、监狱企业、残疾人福利性单位。</w:t>
      </w:r>
    </w:p>
    <w:p w14:paraId="74C0A2B5">
      <w:pPr>
        <w:pStyle w:val="8"/>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558F8728">
      <w:pPr>
        <w:adjustRightInd w:val="0"/>
        <w:snapToGrid w:val="0"/>
        <w:spacing w:line="360" w:lineRule="auto"/>
        <w:ind w:firstLine="480" w:firstLineChars="200"/>
        <w:textAlignment w:val="baseline"/>
        <w:rPr>
          <w:rFonts w:ascii="宋体" w:hAnsi="宋体" w:eastAsia="宋体" w:cs="宋体"/>
          <w:b/>
          <w:bCs/>
          <w:sz w:val="24"/>
        </w:rPr>
      </w:pPr>
      <w:r>
        <w:rPr>
          <w:rFonts w:hint="eastAsia" w:ascii="宋体" w:hAnsi="宋体" w:eastAsia="宋体" w:cs="宋体"/>
          <w:sz w:val="24"/>
        </w:rPr>
        <w:t>时  间：</w:t>
      </w:r>
      <w:r>
        <w:rPr>
          <w:rFonts w:hint="eastAsia" w:ascii="宋体" w:hAnsi="宋体" w:eastAsia="宋体" w:cs="宋体"/>
          <w:b/>
          <w:bCs/>
          <w:sz w:val="24"/>
          <w:u w:val="single" w:color="000000"/>
        </w:rPr>
        <w:t>自本公告发布之日起</w:t>
      </w:r>
      <w:r>
        <w:rPr>
          <w:rFonts w:hint="eastAsia" w:ascii="宋体" w:hAnsi="宋体" w:eastAsia="宋体" w:cs="宋体"/>
          <w:b/>
          <w:bCs/>
          <w:sz w:val="24"/>
        </w:rPr>
        <w:t>至</w:t>
      </w:r>
      <w:r>
        <w:rPr>
          <w:rFonts w:hint="eastAsia" w:ascii="宋体" w:hAnsi="宋体" w:eastAsia="宋体" w:cs="宋体"/>
          <w:b/>
          <w:bCs/>
          <w:sz w:val="24"/>
          <w:u w:val="single" w:color="000000"/>
        </w:rPr>
        <w:t>202</w:t>
      </w:r>
      <w:r>
        <w:rPr>
          <w:rFonts w:hint="eastAsia" w:ascii="宋体" w:hAnsi="宋体" w:eastAsia="宋体" w:cs="宋体"/>
          <w:b/>
          <w:bCs/>
          <w:sz w:val="24"/>
          <w:u w:val="single" w:color="000000"/>
          <w:lang w:val="en-US" w:eastAsia="zh-CN"/>
        </w:rPr>
        <w:t>5</w:t>
      </w:r>
      <w:r>
        <w:rPr>
          <w:rFonts w:hint="eastAsia" w:ascii="宋体" w:hAnsi="宋体" w:eastAsia="宋体" w:cs="宋体"/>
          <w:b/>
          <w:bCs/>
          <w:sz w:val="24"/>
          <w:u w:val="single" w:color="000000"/>
        </w:rPr>
        <w:t>年</w:t>
      </w:r>
      <w:r>
        <w:rPr>
          <w:rFonts w:hint="eastAsia" w:ascii="宋体" w:hAnsi="宋体" w:eastAsia="宋体" w:cs="宋体"/>
          <w:b/>
          <w:bCs/>
          <w:sz w:val="24"/>
          <w:u w:val="single" w:color="000000"/>
          <w:lang w:val="en-US" w:eastAsia="zh-CN"/>
        </w:rPr>
        <w:t>4</w:t>
      </w:r>
      <w:r>
        <w:rPr>
          <w:rFonts w:hint="eastAsia" w:ascii="宋体" w:hAnsi="宋体" w:eastAsia="宋体" w:cs="宋体"/>
          <w:b/>
          <w:bCs/>
          <w:sz w:val="24"/>
          <w:u w:val="single" w:color="000000"/>
        </w:rPr>
        <w:t>月</w:t>
      </w:r>
      <w:r>
        <w:rPr>
          <w:rFonts w:hint="eastAsia" w:ascii="宋体" w:hAnsi="宋体" w:eastAsia="宋体" w:cs="宋体"/>
          <w:b/>
          <w:bCs/>
          <w:sz w:val="24"/>
          <w:u w:val="single" w:color="000000"/>
          <w:lang w:val="en-US" w:eastAsia="zh-CN"/>
        </w:rPr>
        <w:t>3</w:t>
      </w:r>
      <w:r>
        <w:rPr>
          <w:rFonts w:hint="eastAsia" w:ascii="宋体" w:hAnsi="宋体" w:eastAsia="宋体" w:cs="宋体"/>
          <w:b/>
          <w:bCs/>
          <w:sz w:val="24"/>
          <w:u w:val="single" w:color="000000"/>
        </w:rPr>
        <w:t>日</w:t>
      </w:r>
    </w:p>
    <w:p w14:paraId="0AB3A540">
      <w:pPr>
        <w:snapToGrid w:val="0"/>
        <w:spacing w:line="360" w:lineRule="auto"/>
        <w:ind w:firstLine="480" w:firstLineChars="200"/>
        <w:textAlignment w:val="baseline"/>
        <w:rPr>
          <w:rFonts w:ascii="宋体" w:hAnsi="宋体" w:eastAsia="宋体" w:cs="宋体"/>
          <w:snapToGrid/>
          <w:kern w:val="2"/>
          <w:sz w:val="24"/>
          <w:u w:val="single"/>
        </w:rPr>
      </w:pPr>
      <w:r>
        <w:rPr>
          <w:rFonts w:hint="eastAsia" w:ascii="宋体" w:hAnsi="宋体" w:eastAsia="宋体" w:cs="宋体"/>
          <w:snapToGrid/>
          <w:kern w:val="2"/>
          <w:sz w:val="24"/>
        </w:rPr>
        <w:t>地  点：</w:t>
      </w:r>
      <w:r>
        <w:rPr>
          <w:rFonts w:hint="eastAsia" w:ascii="宋体" w:hAnsi="宋体" w:eastAsia="宋体" w:cs="宋体"/>
          <w:snapToGrid/>
          <w:kern w:val="2"/>
          <w:sz w:val="24"/>
          <w:u w:val="single"/>
        </w:rPr>
        <w:t>有意愿参与本项目竞争性磋商响应的供应商，请于本公告发布日起至磋商响应文件递交截止时间前，到“南通市机关事务管理局网（http://jgsw.nantong.gov.cn/）-公告公示”栏下载本项目的竞争性磋商文件。</w:t>
      </w:r>
    </w:p>
    <w:p w14:paraId="45F0E9CA">
      <w:pPr>
        <w:snapToGrid w:val="0"/>
        <w:spacing w:line="360" w:lineRule="auto"/>
        <w:ind w:firstLine="480" w:firstLineChars="200"/>
        <w:textAlignment w:val="baseline"/>
        <w:rPr>
          <w:rFonts w:ascii="宋体" w:hAnsi="宋体" w:eastAsia="宋体" w:cs="宋体"/>
          <w:snapToGrid/>
          <w:kern w:val="2"/>
          <w:sz w:val="24"/>
          <w:u w:val="single"/>
        </w:rPr>
      </w:pPr>
      <w:r>
        <w:rPr>
          <w:rFonts w:hint="eastAsia" w:ascii="宋体" w:hAnsi="宋体" w:eastAsia="宋体" w:cs="宋体"/>
          <w:snapToGrid/>
          <w:kern w:val="2"/>
          <w:sz w:val="24"/>
        </w:rPr>
        <w:t>方  式：自行下载。</w:t>
      </w:r>
    </w:p>
    <w:p w14:paraId="28DF3E62">
      <w:pPr>
        <w:pStyle w:val="8"/>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四、提交响应文件截止时间、磋商时间和地点</w:t>
      </w:r>
    </w:p>
    <w:p w14:paraId="52E02E94">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 xml:space="preserve">时间： </w:t>
      </w:r>
      <w:r>
        <w:rPr>
          <w:rFonts w:hint="eastAsia" w:ascii="宋体" w:hAnsi="宋体" w:eastAsia="宋体" w:cs="宋体"/>
          <w:b/>
          <w:bCs/>
          <w:sz w:val="24"/>
          <w:u w:val="single" w:color="000000"/>
        </w:rPr>
        <w:t>202</w:t>
      </w:r>
      <w:r>
        <w:rPr>
          <w:rFonts w:hint="eastAsia" w:ascii="宋体" w:hAnsi="宋体" w:eastAsia="宋体" w:cs="宋体"/>
          <w:b/>
          <w:bCs/>
          <w:sz w:val="24"/>
          <w:u w:val="single" w:color="000000"/>
          <w:lang w:val="en-US" w:eastAsia="zh-CN"/>
        </w:rPr>
        <w:t>5</w:t>
      </w:r>
      <w:r>
        <w:rPr>
          <w:rFonts w:hint="eastAsia" w:ascii="宋体" w:hAnsi="宋体" w:eastAsia="宋体" w:cs="宋体"/>
          <w:b/>
          <w:bCs/>
          <w:sz w:val="24"/>
          <w:u w:val="single" w:color="000000"/>
        </w:rPr>
        <w:t>年</w:t>
      </w:r>
      <w:r>
        <w:rPr>
          <w:rFonts w:hint="eastAsia" w:ascii="宋体" w:hAnsi="宋体" w:eastAsia="宋体" w:cs="宋体"/>
          <w:b/>
          <w:bCs/>
          <w:sz w:val="24"/>
          <w:u w:val="single" w:color="000000"/>
          <w:lang w:val="en-US" w:eastAsia="zh-CN"/>
        </w:rPr>
        <w:t>4</w:t>
      </w:r>
      <w:r>
        <w:rPr>
          <w:rFonts w:hint="eastAsia" w:ascii="宋体" w:hAnsi="宋体" w:eastAsia="宋体" w:cs="宋体"/>
          <w:b/>
          <w:bCs/>
          <w:sz w:val="24"/>
          <w:u w:val="single" w:color="000000"/>
        </w:rPr>
        <w:t>月</w:t>
      </w:r>
      <w:r>
        <w:rPr>
          <w:rFonts w:hint="eastAsia" w:ascii="宋体" w:hAnsi="宋体" w:eastAsia="宋体" w:cs="宋体"/>
          <w:b/>
          <w:bCs/>
          <w:sz w:val="24"/>
          <w:u w:val="single" w:color="000000"/>
          <w:lang w:val="en-US" w:eastAsia="zh-CN"/>
        </w:rPr>
        <w:t>3</w:t>
      </w:r>
      <w:r>
        <w:rPr>
          <w:rFonts w:hint="eastAsia" w:ascii="宋体" w:hAnsi="宋体" w:eastAsia="宋体" w:cs="宋体"/>
          <w:b/>
          <w:bCs/>
          <w:sz w:val="24"/>
          <w:u w:val="single" w:color="000000"/>
        </w:rPr>
        <w:t>日14</w:t>
      </w:r>
      <w:r>
        <w:rPr>
          <w:rFonts w:hint="eastAsia" w:ascii="宋体" w:hAnsi="宋体" w:eastAsia="宋体" w:cs="宋体"/>
          <w:b/>
          <w:bCs/>
          <w:sz w:val="24"/>
          <w:u w:val="single"/>
        </w:rPr>
        <w:t>时</w:t>
      </w:r>
      <w:r>
        <w:rPr>
          <w:rFonts w:hint="eastAsia" w:ascii="宋体" w:hAnsi="宋体" w:eastAsia="宋体" w:cs="宋体"/>
          <w:b/>
          <w:bCs/>
          <w:sz w:val="24"/>
          <w:u w:val="single"/>
          <w:lang w:val="en-US" w:eastAsia="zh-CN"/>
        </w:rPr>
        <w:t>00</w:t>
      </w:r>
      <w:r>
        <w:rPr>
          <w:rFonts w:hint="eastAsia" w:ascii="宋体" w:hAnsi="宋体" w:eastAsia="宋体" w:cs="宋体"/>
          <w:b/>
          <w:bCs/>
          <w:sz w:val="24"/>
          <w:u w:val="single"/>
        </w:rPr>
        <w:t>分00秒</w:t>
      </w:r>
      <w:r>
        <w:rPr>
          <w:rFonts w:hint="eastAsia" w:ascii="宋体" w:hAnsi="宋体" w:eastAsia="宋体" w:cs="宋体"/>
          <w:bCs/>
          <w:sz w:val="24"/>
        </w:rPr>
        <w:t>（北京时间），逾时，采购单位将拒绝接受其响应文件。</w:t>
      </w:r>
    </w:p>
    <w:p w14:paraId="5E39C282">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地</w:t>
      </w:r>
      <w:r>
        <w:rPr>
          <w:rFonts w:hint="eastAsia" w:ascii="宋体" w:hAnsi="宋体" w:eastAsia="宋体" w:cs="宋体"/>
          <w:sz w:val="24"/>
          <w:lang w:val="en-US" w:eastAsia="zh-CN"/>
        </w:rPr>
        <w:t xml:space="preserve">   </w:t>
      </w:r>
      <w:r>
        <w:rPr>
          <w:rFonts w:hint="eastAsia" w:ascii="宋体" w:hAnsi="宋体" w:eastAsia="宋体" w:cs="宋体"/>
          <w:sz w:val="24"/>
        </w:rPr>
        <w:t xml:space="preserve">点： </w:t>
      </w:r>
      <w:r>
        <w:rPr>
          <w:rFonts w:hint="eastAsia" w:ascii="宋体" w:hAnsi="宋体" w:eastAsia="宋体" w:cs="宋体"/>
          <w:sz w:val="24"/>
          <w:u w:val="single" w:color="000000"/>
        </w:rPr>
        <w:t>南通市崇川</w:t>
      </w:r>
      <w:r>
        <w:rPr>
          <w:rFonts w:hint="eastAsia" w:ascii="宋体" w:hAnsi="宋体" w:eastAsia="宋体" w:cs="宋体"/>
          <w:sz w:val="24"/>
          <w:u w:val="single" w:color="000000"/>
          <w:lang w:eastAsia="zh-CN"/>
        </w:rPr>
        <w:t>区工农路358号12层中证</w:t>
      </w:r>
      <w:r>
        <w:rPr>
          <w:rFonts w:hint="eastAsia" w:ascii="宋体" w:hAnsi="宋体" w:eastAsia="宋体" w:cs="宋体"/>
          <w:sz w:val="24"/>
          <w:u w:val="single" w:color="000000"/>
        </w:rPr>
        <w:t>开标室，如有变动另行通知。</w:t>
      </w:r>
    </w:p>
    <w:p w14:paraId="477B1423">
      <w:pPr>
        <w:pStyle w:val="8"/>
        <w:keepNext w:val="0"/>
        <w:keepLines w:val="0"/>
        <w:snapToGrid w:val="0"/>
        <w:spacing w:before="0" w:after="0" w:line="360" w:lineRule="auto"/>
        <w:ind w:firstLine="482" w:firstLineChars="200"/>
        <w:rPr>
          <w:rFonts w:eastAsia="宋体" w:cs="宋体"/>
          <w:sz w:val="24"/>
          <w:szCs w:val="24"/>
        </w:rPr>
      </w:pPr>
      <w:r>
        <w:rPr>
          <w:rFonts w:hint="eastAsia" w:ascii="宋体" w:hAnsi="宋体" w:eastAsia="宋体" w:cs="宋体"/>
          <w:sz w:val="24"/>
          <w:szCs w:val="24"/>
        </w:rPr>
        <w:t>五、</w:t>
      </w:r>
      <w:r>
        <w:rPr>
          <w:rFonts w:hint="eastAsia" w:eastAsia="宋体" w:cs="宋体"/>
          <w:sz w:val="24"/>
          <w:szCs w:val="24"/>
        </w:rPr>
        <w:t>响应文件的开启</w:t>
      </w:r>
    </w:p>
    <w:p w14:paraId="61EC930B">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b/>
          <w:bCs/>
          <w:sz w:val="24"/>
          <w:u w:val="single" w:color="000000"/>
        </w:rPr>
        <w:t>202</w:t>
      </w:r>
      <w:r>
        <w:rPr>
          <w:rFonts w:hint="eastAsia" w:ascii="宋体" w:hAnsi="宋体" w:eastAsia="宋体" w:cs="宋体"/>
          <w:b/>
          <w:bCs/>
          <w:sz w:val="24"/>
          <w:u w:val="single" w:color="000000"/>
          <w:lang w:val="en-US" w:eastAsia="zh-CN"/>
        </w:rPr>
        <w:t>5</w:t>
      </w:r>
      <w:r>
        <w:rPr>
          <w:rFonts w:hint="eastAsia" w:ascii="宋体" w:hAnsi="宋体" w:eastAsia="宋体" w:cs="宋体"/>
          <w:b/>
          <w:bCs/>
          <w:sz w:val="24"/>
          <w:u w:val="single" w:color="000000"/>
        </w:rPr>
        <w:t>年</w:t>
      </w:r>
      <w:r>
        <w:rPr>
          <w:rFonts w:hint="eastAsia" w:ascii="宋体" w:hAnsi="宋体" w:eastAsia="宋体" w:cs="宋体"/>
          <w:b/>
          <w:bCs/>
          <w:sz w:val="24"/>
          <w:u w:val="single" w:color="000000"/>
          <w:lang w:val="en-US" w:eastAsia="zh-CN"/>
        </w:rPr>
        <w:t>4</w:t>
      </w:r>
      <w:r>
        <w:rPr>
          <w:rFonts w:hint="eastAsia" w:ascii="宋体" w:hAnsi="宋体" w:eastAsia="宋体" w:cs="宋体"/>
          <w:b/>
          <w:bCs/>
          <w:sz w:val="24"/>
          <w:u w:val="single" w:color="000000"/>
        </w:rPr>
        <w:t>月</w:t>
      </w:r>
      <w:r>
        <w:rPr>
          <w:rFonts w:hint="eastAsia" w:ascii="宋体" w:hAnsi="宋体" w:eastAsia="宋体" w:cs="宋体"/>
          <w:b/>
          <w:bCs/>
          <w:sz w:val="24"/>
          <w:u w:val="single" w:color="000000"/>
          <w:lang w:val="en-US" w:eastAsia="zh-CN"/>
        </w:rPr>
        <w:t>3</w:t>
      </w:r>
      <w:r>
        <w:rPr>
          <w:rFonts w:hint="eastAsia" w:ascii="宋体" w:hAnsi="宋体" w:eastAsia="宋体" w:cs="宋体"/>
          <w:b/>
          <w:bCs/>
          <w:sz w:val="24"/>
          <w:u w:val="single" w:color="000000"/>
        </w:rPr>
        <w:t>日14</w:t>
      </w:r>
      <w:r>
        <w:rPr>
          <w:rFonts w:hint="eastAsia" w:ascii="宋体" w:hAnsi="宋体" w:eastAsia="宋体" w:cs="宋体"/>
          <w:b/>
          <w:bCs/>
          <w:sz w:val="24"/>
          <w:u w:val="single"/>
        </w:rPr>
        <w:t>时</w:t>
      </w:r>
      <w:r>
        <w:rPr>
          <w:rFonts w:hint="eastAsia" w:ascii="宋体" w:hAnsi="宋体" w:eastAsia="宋体" w:cs="宋体"/>
          <w:b/>
          <w:bCs/>
          <w:sz w:val="24"/>
          <w:u w:val="single"/>
          <w:lang w:val="en-US" w:eastAsia="zh-CN"/>
        </w:rPr>
        <w:t>0</w:t>
      </w:r>
      <w:r>
        <w:rPr>
          <w:rFonts w:hint="eastAsia" w:ascii="宋体" w:hAnsi="宋体" w:eastAsia="宋体" w:cs="宋体"/>
          <w:b/>
          <w:bCs/>
          <w:sz w:val="24"/>
          <w:u w:val="single"/>
        </w:rPr>
        <w:t>0分00秒</w:t>
      </w:r>
      <w:r>
        <w:rPr>
          <w:rFonts w:hint="eastAsia" w:ascii="宋体" w:hAnsi="宋体" w:eastAsia="宋体" w:cs="宋体"/>
          <w:bCs/>
          <w:sz w:val="24"/>
        </w:rPr>
        <w:t>（北京时间）</w:t>
      </w:r>
    </w:p>
    <w:p w14:paraId="35F4F763">
      <w:pPr>
        <w:pStyle w:val="8"/>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b w:val="0"/>
          <w:bCs w:val="0"/>
          <w:sz w:val="24"/>
          <w:szCs w:val="24"/>
        </w:rPr>
        <w:t>地  点：</w:t>
      </w:r>
      <w:r>
        <w:rPr>
          <w:rFonts w:hint="eastAsia" w:ascii="宋体" w:hAnsi="宋体" w:eastAsia="宋体" w:cs="宋体"/>
          <w:b w:val="0"/>
          <w:bCs w:val="0"/>
          <w:sz w:val="24"/>
          <w:szCs w:val="24"/>
          <w:u w:val="single" w:color="auto"/>
        </w:rPr>
        <w:t>南通市崇川</w:t>
      </w:r>
      <w:r>
        <w:rPr>
          <w:rFonts w:hint="eastAsia" w:ascii="宋体" w:hAnsi="宋体" w:eastAsia="宋体" w:cs="宋体"/>
          <w:b w:val="0"/>
          <w:bCs w:val="0"/>
          <w:sz w:val="24"/>
          <w:szCs w:val="24"/>
          <w:u w:val="single" w:color="auto"/>
          <w:lang w:eastAsia="zh-CN"/>
        </w:rPr>
        <w:t>区工农路358号12</w:t>
      </w:r>
      <w:r>
        <w:rPr>
          <w:rFonts w:hint="eastAsia" w:ascii="宋体" w:hAnsi="宋体" w:eastAsia="宋体" w:cs="宋体"/>
          <w:b w:val="0"/>
          <w:bCs w:val="0"/>
          <w:sz w:val="24"/>
          <w:szCs w:val="24"/>
          <w:u w:val="single" w:color="000000"/>
          <w:lang w:eastAsia="zh-CN"/>
        </w:rPr>
        <w:t>层中证</w:t>
      </w:r>
      <w:r>
        <w:rPr>
          <w:rFonts w:hint="eastAsia" w:ascii="宋体" w:hAnsi="宋体" w:eastAsia="宋体" w:cs="宋体"/>
          <w:b w:val="0"/>
          <w:bCs w:val="0"/>
          <w:sz w:val="24"/>
          <w:szCs w:val="24"/>
          <w:u w:val="single" w:color="000000"/>
        </w:rPr>
        <w:t>开标室，如有变动另行通知。</w:t>
      </w:r>
    </w:p>
    <w:p w14:paraId="0D5EEA43">
      <w:pPr>
        <w:pStyle w:val="8"/>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sz w:val="24"/>
        </w:rPr>
        <w:t>六、</w:t>
      </w:r>
      <w:r>
        <w:rPr>
          <w:rFonts w:hint="eastAsia" w:ascii="宋体" w:hAnsi="宋体" w:eastAsia="宋体" w:cs="宋体"/>
          <w:sz w:val="24"/>
          <w:szCs w:val="24"/>
        </w:rPr>
        <w:t>公告期限</w:t>
      </w:r>
    </w:p>
    <w:p w14:paraId="6F47F01E">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自本公告发布之日起3个工作日。</w:t>
      </w:r>
    </w:p>
    <w:p w14:paraId="2A134772">
      <w:pPr>
        <w:adjustRightInd w:val="0"/>
        <w:snapToGrid w:val="0"/>
        <w:spacing w:line="360" w:lineRule="auto"/>
        <w:ind w:firstLine="482" w:firstLineChars="200"/>
        <w:textAlignment w:val="baseline"/>
        <w:rPr>
          <w:rFonts w:ascii="宋体" w:hAnsi="宋体" w:eastAsia="宋体" w:cs="宋体"/>
          <w:b/>
          <w:sz w:val="24"/>
        </w:rPr>
      </w:pPr>
      <w:r>
        <w:rPr>
          <w:rFonts w:hint="eastAsia" w:ascii="宋体" w:hAnsi="宋体" w:eastAsia="宋体" w:cs="宋体"/>
          <w:b/>
          <w:bCs/>
          <w:sz w:val="24"/>
        </w:rPr>
        <w:t>七、</w:t>
      </w:r>
      <w:r>
        <w:rPr>
          <w:rFonts w:hint="eastAsia" w:ascii="宋体" w:hAnsi="宋体" w:eastAsia="宋体" w:cs="宋体"/>
          <w:b/>
          <w:sz w:val="24"/>
        </w:rPr>
        <w:t>其他补充事宜：</w:t>
      </w:r>
    </w:p>
    <w:p w14:paraId="252AD85A">
      <w:pPr>
        <w:numPr>
          <w:ilvl w:val="0"/>
          <w:numId w:val="3"/>
        </w:num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11D5DF7C">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项目磋商活动模式：现场磋商模式，供应商须参加现场磋商活动。</w:t>
      </w:r>
    </w:p>
    <w:p w14:paraId="588B5769">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项目演示、样品、答辩等：无。</w:t>
      </w:r>
    </w:p>
    <w:p w14:paraId="4001A617">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073CD892">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AC8C5F1">
      <w:pPr>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1C881A88">
      <w:pPr>
        <w:numPr>
          <w:ilvl w:val="0"/>
          <w:numId w:val="4"/>
        </w:num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采购单位信息</w:t>
      </w:r>
    </w:p>
    <w:p w14:paraId="4B75EAFB">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名    称：南通市机关事务管理局</w:t>
      </w:r>
    </w:p>
    <w:p w14:paraId="5573E2AE">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地    址：南通市世纪大道6号</w:t>
      </w:r>
    </w:p>
    <w:p w14:paraId="668A9AEE">
      <w:pPr>
        <w:snapToGrid w:val="0"/>
        <w:spacing w:line="360" w:lineRule="auto"/>
        <w:ind w:firstLine="480" w:firstLineChars="200"/>
        <w:rPr>
          <w:rFonts w:hint="eastAsia" w:ascii="宋体" w:hAnsi="宋体" w:eastAsia="宋体" w:cs="宋体"/>
          <w:snapToGrid/>
          <w:kern w:val="2"/>
          <w:sz w:val="24"/>
          <w:lang w:eastAsia="zh-CN"/>
        </w:rPr>
      </w:pPr>
      <w:r>
        <w:rPr>
          <w:rFonts w:hint="eastAsia" w:ascii="宋体" w:hAnsi="宋体" w:eastAsia="宋体" w:cs="宋体"/>
          <w:snapToGrid/>
          <w:kern w:val="2"/>
          <w:sz w:val="24"/>
        </w:rPr>
        <w:t>联 系 人：</w:t>
      </w:r>
      <w:r>
        <w:rPr>
          <w:rFonts w:hint="eastAsia" w:ascii="宋体" w:hAnsi="宋体" w:eastAsia="宋体" w:cs="宋体"/>
          <w:snapToGrid/>
          <w:kern w:val="2"/>
          <w:sz w:val="24"/>
          <w:lang w:eastAsia="zh-CN"/>
        </w:rPr>
        <w:t>夏先生</w:t>
      </w:r>
    </w:p>
    <w:p w14:paraId="09E20A41">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联系电话：</w:t>
      </w:r>
      <w:r>
        <w:rPr>
          <w:rFonts w:hint="eastAsia" w:ascii="宋体" w:hAnsi="宋体" w:eastAsia="宋体" w:cs="宋体"/>
          <w:snapToGrid/>
          <w:kern w:val="2"/>
          <w:sz w:val="24"/>
          <w:lang w:val="en-US" w:eastAsia="zh-CN"/>
        </w:rPr>
        <w:t>138 1364 5582</w:t>
      </w:r>
    </w:p>
    <w:p w14:paraId="696D112F">
      <w:pPr>
        <w:numPr>
          <w:ilvl w:val="0"/>
          <w:numId w:val="5"/>
        </w:num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采购代理机构信息</w:t>
      </w:r>
    </w:p>
    <w:p w14:paraId="025DE940">
      <w:pPr>
        <w:snapToGrid w:val="0"/>
        <w:spacing w:line="360" w:lineRule="auto"/>
        <w:ind w:firstLine="480" w:firstLineChars="200"/>
        <w:rPr>
          <w:rFonts w:hint="eastAsia" w:ascii="宋体" w:hAnsi="宋体" w:eastAsia="宋体" w:cs="宋体"/>
          <w:snapToGrid/>
          <w:kern w:val="2"/>
          <w:sz w:val="24"/>
          <w:lang w:eastAsia="zh-CN"/>
        </w:rPr>
      </w:pPr>
      <w:r>
        <w:rPr>
          <w:rFonts w:hint="eastAsia" w:ascii="宋体" w:hAnsi="宋体" w:eastAsia="宋体" w:cs="宋体"/>
          <w:snapToGrid/>
          <w:kern w:val="2"/>
          <w:sz w:val="24"/>
        </w:rPr>
        <w:t>名    称：</w:t>
      </w:r>
      <w:r>
        <w:rPr>
          <w:rFonts w:hint="eastAsia" w:ascii="宋体" w:hAnsi="宋体" w:eastAsia="宋体" w:cs="宋体"/>
          <w:snapToGrid/>
          <w:kern w:val="2"/>
          <w:sz w:val="24"/>
          <w:lang w:eastAsia="zh-CN"/>
        </w:rPr>
        <w:t>中证房地产评估造价集团有限公司</w:t>
      </w:r>
    </w:p>
    <w:p w14:paraId="04C19B66">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地址：南通市崇川区工农路358号12层</w:t>
      </w:r>
    </w:p>
    <w:p w14:paraId="6FD40DF2">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 xml:space="preserve">联系人：张林丽  联系电话：13646287155     </w:t>
      </w:r>
    </w:p>
    <w:p w14:paraId="273D6B9F">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3.项目联系方式</w:t>
      </w:r>
    </w:p>
    <w:p w14:paraId="678CA3A4">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联 系 人：</w:t>
      </w:r>
      <w:r>
        <w:rPr>
          <w:rFonts w:hint="eastAsia" w:ascii="宋体" w:hAnsi="宋体" w:eastAsia="宋体" w:cs="宋体"/>
          <w:snapToGrid/>
          <w:kern w:val="2"/>
          <w:sz w:val="24"/>
          <w:lang w:eastAsia="zh-CN"/>
        </w:rPr>
        <w:t>夏先生</w:t>
      </w:r>
    </w:p>
    <w:p w14:paraId="329556F9">
      <w:pPr>
        <w:adjustRightInd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snapToGrid/>
          <w:kern w:val="2"/>
          <w:sz w:val="24"/>
        </w:rPr>
        <w:t>联系电话：</w:t>
      </w:r>
      <w:r>
        <w:rPr>
          <w:rFonts w:hint="eastAsia" w:ascii="宋体" w:hAnsi="宋体" w:eastAsia="宋体" w:cs="宋体"/>
          <w:snapToGrid/>
          <w:kern w:val="2"/>
          <w:sz w:val="24"/>
          <w:lang w:val="en-US" w:eastAsia="zh-CN"/>
        </w:rPr>
        <w:t>138 1364 5582</w:t>
      </w:r>
      <w:r>
        <w:rPr>
          <w:rFonts w:hint="eastAsia" w:ascii="宋体" w:hAnsi="宋体" w:eastAsia="宋体" w:cs="宋体"/>
          <w:snapToGrid/>
          <w:kern w:val="2"/>
          <w:sz w:val="24"/>
        </w:rPr>
        <w:t xml:space="preserve"> </w:t>
      </w:r>
      <w:r>
        <w:rPr>
          <w:rFonts w:hint="eastAsia" w:ascii="宋体" w:hAnsi="宋体" w:eastAsia="宋体" w:cs="宋体"/>
        </w:rPr>
        <w:t xml:space="preserve">                                 </w:t>
      </w:r>
    </w:p>
    <w:p w14:paraId="15B96ED3">
      <w:pPr>
        <w:adjustRightInd w:val="0"/>
        <w:snapToGrid w:val="0"/>
        <w:spacing w:line="360" w:lineRule="auto"/>
        <w:ind w:firstLine="480" w:firstLineChars="200"/>
        <w:jc w:val="center"/>
        <w:rPr>
          <w:rFonts w:ascii="宋体" w:hAnsi="宋体" w:eastAsia="宋体" w:cs="宋体"/>
          <w:sz w:val="24"/>
        </w:rPr>
      </w:pPr>
      <w:r>
        <w:rPr>
          <w:rFonts w:hint="eastAsia" w:ascii="宋体" w:hAnsi="宋体" w:eastAsia="宋体" w:cs="宋体"/>
          <w:sz w:val="24"/>
        </w:rPr>
        <w:t xml:space="preserve">                                          </w:t>
      </w:r>
    </w:p>
    <w:p w14:paraId="6E36C549">
      <w:pPr>
        <w:adjustRightInd w:val="0"/>
        <w:snapToGrid w:val="0"/>
        <w:spacing w:line="360" w:lineRule="auto"/>
        <w:ind w:firstLine="480" w:firstLineChars="200"/>
        <w:jc w:val="center"/>
        <w:rPr>
          <w:rFonts w:ascii="宋体" w:hAnsi="宋体" w:eastAsia="宋体" w:cs="宋体"/>
          <w:sz w:val="24"/>
        </w:rPr>
      </w:pPr>
    </w:p>
    <w:p w14:paraId="5E474B5C">
      <w:pPr>
        <w:adjustRightInd w:val="0"/>
        <w:snapToGrid w:val="0"/>
        <w:spacing w:line="360" w:lineRule="auto"/>
        <w:ind w:firstLine="480" w:firstLineChars="200"/>
        <w:jc w:val="center"/>
        <w:rPr>
          <w:rFonts w:ascii="宋体" w:hAnsi="宋体" w:eastAsia="宋体" w:cs="宋体"/>
          <w:b/>
          <w:bCs/>
          <w:snapToGrid/>
          <w:w w:val="80"/>
          <w:kern w:val="2"/>
          <w:sz w:val="44"/>
          <w:szCs w:val="44"/>
        </w:rPr>
      </w:pPr>
      <w:r>
        <w:rPr>
          <w:rFonts w:hint="eastAsia" w:ascii="宋体" w:hAnsi="宋体" w:eastAsia="宋体" w:cs="宋体"/>
          <w:sz w:val="24"/>
        </w:rPr>
        <w:t xml:space="preserve">                                  </w:t>
      </w: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2F54B72B">
      <w:pPr>
        <w:adjustRightInd w:val="0"/>
        <w:snapToGrid w:val="0"/>
        <w:spacing w:line="360" w:lineRule="auto"/>
        <w:ind w:firstLine="482" w:firstLineChars="200"/>
        <w:outlineLvl w:val="2"/>
        <w:rPr>
          <w:rFonts w:ascii="宋体" w:hAnsi="宋体" w:eastAsia="宋体" w:cs="宋体"/>
          <w:b/>
          <w:bCs/>
          <w:sz w:val="24"/>
        </w:rPr>
      </w:pPr>
      <w:bookmarkStart w:id="1" w:name="_Toc363573855"/>
      <w:bookmarkStart w:id="2" w:name="_Toc8895740"/>
      <w:bookmarkStart w:id="3" w:name="_Toc94585341"/>
      <w:bookmarkStart w:id="4" w:name="_Toc94544745"/>
      <w:bookmarkStart w:id="5" w:name="_Toc11554640"/>
      <w:bookmarkStart w:id="6" w:name="_Toc521203419"/>
      <w:bookmarkStart w:id="7" w:name="_Toc94544871"/>
      <w:bookmarkStart w:id="8" w:name="_Toc12670504"/>
      <w:bookmarkStart w:id="9" w:name="_Toc11500281"/>
      <w:bookmarkStart w:id="10" w:name="_Toc11499585"/>
      <w:bookmarkStart w:id="11" w:name="_Toc521201598"/>
      <w:r>
        <w:rPr>
          <w:rFonts w:hint="eastAsia" w:ascii="宋体" w:hAnsi="宋体" w:eastAsia="宋体" w:cs="宋体"/>
          <w:b/>
          <w:bCs/>
          <w:sz w:val="24"/>
        </w:rPr>
        <w:t>一、总则</w:t>
      </w:r>
    </w:p>
    <w:p w14:paraId="3493E0A1">
      <w:pPr>
        <w:adjustRightInd w:val="0"/>
        <w:snapToGrid w:val="0"/>
        <w:spacing w:line="360" w:lineRule="auto"/>
        <w:ind w:firstLine="480" w:firstLineChars="200"/>
        <w:outlineLvl w:val="3"/>
        <w:rPr>
          <w:rFonts w:ascii="宋体" w:hAnsi="宋体" w:eastAsia="宋体" w:cs="宋体"/>
          <w:b/>
          <w:bCs/>
          <w:sz w:val="24"/>
        </w:rPr>
      </w:pPr>
      <w:bookmarkStart w:id="12" w:name="_Hlt16619475"/>
      <w:bookmarkEnd w:id="12"/>
      <w:bookmarkStart w:id="13" w:name="_Toc458694821"/>
      <w:bookmarkStart w:id="14" w:name="_Toc513029204"/>
      <w:bookmarkStart w:id="15" w:name="_Toc16938520"/>
      <w:bookmarkStart w:id="16" w:name="_Toc20823276"/>
      <w:r>
        <w:rPr>
          <w:rFonts w:hint="eastAsia" w:ascii="宋体" w:hAnsi="宋体" w:eastAsia="宋体" w:cs="宋体"/>
          <w:sz w:val="24"/>
        </w:rPr>
        <w:t>1</w:t>
      </w:r>
      <w:bookmarkEnd w:id="13"/>
      <w:r>
        <w:rPr>
          <w:rFonts w:hint="eastAsia" w:ascii="宋体" w:hAnsi="宋体" w:eastAsia="宋体" w:cs="宋体"/>
          <w:sz w:val="24"/>
        </w:rPr>
        <w:t>、采购方式</w:t>
      </w:r>
      <w:bookmarkEnd w:id="14"/>
      <w:bookmarkEnd w:id="15"/>
      <w:bookmarkEnd w:id="16"/>
    </w:p>
    <w:p w14:paraId="076EB1F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20C3D0F5">
      <w:pPr>
        <w:adjustRightInd w:val="0"/>
        <w:snapToGrid w:val="0"/>
        <w:spacing w:line="360" w:lineRule="auto"/>
        <w:ind w:firstLine="480" w:firstLineChars="200"/>
        <w:outlineLvl w:val="3"/>
        <w:rPr>
          <w:rFonts w:ascii="宋体" w:hAnsi="宋体" w:eastAsia="宋体" w:cs="宋体"/>
          <w:b/>
          <w:bCs/>
          <w:sz w:val="24"/>
        </w:rPr>
      </w:pPr>
      <w:bookmarkStart w:id="17" w:name="_Toc513029205"/>
      <w:bookmarkStart w:id="18" w:name="_Toc20823277"/>
      <w:bookmarkStart w:id="19" w:name="_Toc16938521"/>
      <w:r>
        <w:rPr>
          <w:rFonts w:hint="eastAsia" w:ascii="宋体" w:hAnsi="宋体" w:eastAsia="宋体" w:cs="宋体"/>
          <w:sz w:val="24"/>
        </w:rPr>
        <w:t>2、合格的</w:t>
      </w:r>
      <w:bookmarkEnd w:id="17"/>
      <w:bookmarkEnd w:id="18"/>
      <w:bookmarkEnd w:id="19"/>
      <w:r>
        <w:rPr>
          <w:rFonts w:hint="eastAsia" w:ascii="宋体" w:hAnsi="宋体" w:eastAsia="宋体" w:cs="宋体"/>
          <w:sz w:val="24"/>
        </w:rPr>
        <w:t>供应商</w:t>
      </w:r>
    </w:p>
    <w:p w14:paraId="0D785BB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1007A3D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满足本文件实质性条款的规定。</w:t>
      </w:r>
    </w:p>
    <w:p w14:paraId="07DB2CFE">
      <w:pPr>
        <w:adjustRightInd w:val="0"/>
        <w:snapToGrid w:val="0"/>
        <w:spacing w:line="360" w:lineRule="auto"/>
        <w:ind w:firstLine="480" w:firstLineChars="200"/>
        <w:outlineLvl w:val="3"/>
        <w:rPr>
          <w:rFonts w:ascii="宋体" w:hAnsi="宋体" w:eastAsia="宋体" w:cs="宋体"/>
          <w:b/>
          <w:bCs/>
          <w:sz w:val="24"/>
        </w:rPr>
      </w:pPr>
      <w:bookmarkStart w:id="20" w:name="_Toc20823278"/>
      <w:bookmarkStart w:id="21" w:name="_Toc16938522"/>
      <w:bookmarkStart w:id="22" w:name="_Toc513029206"/>
      <w:r>
        <w:rPr>
          <w:rFonts w:hint="eastAsia" w:ascii="宋体" w:hAnsi="宋体" w:eastAsia="宋体" w:cs="宋体"/>
          <w:sz w:val="24"/>
        </w:rPr>
        <w:t>3、适用法律</w:t>
      </w:r>
      <w:bookmarkEnd w:id="20"/>
      <w:bookmarkEnd w:id="21"/>
      <w:bookmarkEnd w:id="22"/>
    </w:p>
    <w:p w14:paraId="2F9F3B4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6995F4B1">
      <w:pPr>
        <w:adjustRightInd w:val="0"/>
        <w:snapToGrid w:val="0"/>
        <w:spacing w:line="360" w:lineRule="auto"/>
        <w:ind w:firstLine="480" w:firstLineChars="200"/>
        <w:outlineLvl w:val="3"/>
        <w:rPr>
          <w:rFonts w:ascii="宋体" w:hAnsi="宋体" w:eastAsia="宋体" w:cs="宋体"/>
          <w:sz w:val="24"/>
        </w:rPr>
      </w:pPr>
      <w:bookmarkStart w:id="23" w:name="_Toc20823279"/>
      <w:bookmarkStart w:id="24" w:name="_Toc16938523"/>
      <w:bookmarkStart w:id="25" w:name="_Toc462564067"/>
      <w:bookmarkStart w:id="26" w:name="_Toc513029207"/>
      <w:r>
        <w:rPr>
          <w:rFonts w:hint="eastAsia" w:ascii="宋体" w:hAnsi="宋体" w:eastAsia="宋体" w:cs="宋体"/>
          <w:sz w:val="24"/>
        </w:rPr>
        <w:t>4、磋商费用</w:t>
      </w:r>
      <w:bookmarkEnd w:id="23"/>
      <w:bookmarkEnd w:id="24"/>
      <w:bookmarkEnd w:id="25"/>
      <w:bookmarkEnd w:id="26"/>
    </w:p>
    <w:p w14:paraId="4A84B49D">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供应商应自行承担所有与参加磋商有关的费用，无论磋商过程中的做法和结果如何，采购单位和采购代理机构在任何情况下均无义务和责任承担这些费用。</w:t>
      </w:r>
    </w:p>
    <w:p w14:paraId="6DAF3CEB">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4.2 本次磋商采购单位和采购代理机构收取标书工本费300元</w:t>
      </w:r>
      <w:r>
        <w:rPr>
          <w:rFonts w:hint="eastAsia" w:ascii="宋体" w:hAnsi="宋体" w:eastAsia="宋体" w:cs="宋体"/>
          <w:kern w:val="2"/>
          <w:sz w:val="24"/>
        </w:rPr>
        <w:t>，请参加磋商的供应商在成本中自行考虑。</w:t>
      </w:r>
    </w:p>
    <w:p w14:paraId="25B14B71">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3FA2BF1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44208378">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3258192E">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3C2472AE">
      <w:pPr>
        <w:adjustRightInd w:val="0"/>
        <w:snapToGrid w:val="0"/>
        <w:spacing w:line="360" w:lineRule="auto"/>
        <w:ind w:firstLine="482" w:firstLineChars="200"/>
        <w:outlineLvl w:val="2"/>
        <w:rPr>
          <w:rFonts w:ascii="宋体" w:hAnsi="宋体" w:eastAsia="宋体" w:cs="宋体"/>
          <w:b/>
          <w:bCs/>
          <w:sz w:val="24"/>
        </w:rPr>
      </w:pPr>
      <w:bookmarkStart w:id="27" w:name="_Toc16938525"/>
      <w:bookmarkStart w:id="28" w:name="_Toc513029209"/>
      <w:bookmarkStart w:id="29" w:name="_Toc120614215"/>
      <w:bookmarkStart w:id="30" w:name="_Toc20823281"/>
      <w:r>
        <w:rPr>
          <w:rFonts w:hint="eastAsia" w:ascii="宋体" w:hAnsi="宋体" w:eastAsia="宋体" w:cs="宋体"/>
          <w:b/>
          <w:bCs/>
          <w:sz w:val="24"/>
        </w:rPr>
        <w:t>二、磋商文件</w:t>
      </w:r>
      <w:bookmarkEnd w:id="27"/>
      <w:bookmarkEnd w:id="28"/>
      <w:bookmarkEnd w:id="29"/>
      <w:bookmarkEnd w:id="30"/>
    </w:p>
    <w:p w14:paraId="51415E79">
      <w:pPr>
        <w:adjustRightInd w:val="0"/>
        <w:snapToGrid w:val="0"/>
        <w:spacing w:line="360" w:lineRule="auto"/>
        <w:ind w:firstLine="480" w:firstLineChars="200"/>
        <w:outlineLvl w:val="3"/>
        <w:rPr>
          <w:rFonts w:ascii="宋体" w:hAnsi="宋体" w:eastAsia="宋体" w:cs="宋体"/>
          <w:b/>
          <w:bCs/>
          <w:sz w:val="24"/>
        </w:rPr>
      </w:pPr>
      <w:bookmarkStart w:id="31" w:name="_Toc16938526"/>
      <w:bookmarkStart w:id="32" w:name="_Toc20823282"/>
      <w:bookmarkStart w:id="33" w:name="_Toc513029210"/>
      <w:r>
        <w:rPr>
          <w:rFonts w:hint="eastAsia" w:ascii="宋体" w:hAnsi="宋体" w:eastAsia="宋体" w:cs="宋体"/>
          <w:sz w:val="24"/>
        </w:rPr>
        <w:t>1、磋商文件构成</w:t>
      </w:r>
      <w:bookmarkEnd w:id="31"/>
      <w:bookmarkEnd w:id="32"/>
      <w:bookmarkEnd w:id="33"/>
    </w:p>
    <w:p w14:paraId="5AB650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7A3593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6BE8B7A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5263D72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0E7A51F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6416013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3B957E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53E18DE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（7）附件</w:t>
      </w:r>
    </w:p>
    <w:p w14:paraId="3702BFA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（8）工程量清单</w:t>
      </w:r>
    </w:p>
    <w:p w14:paraId="2B40D8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4D1FB36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BDDAB86">
      <w:pPr>
        <w:adjustRightInd w:val="0"/>
        <w:snapToGrid w:val="0"/>
        <w:spacing w:line="360" w:lineRule="auto"/>
        <w:ind w:firstLine="480" w:firstLineChars="200"/>
        <w:outlineLvl w:val="3"/>
        <w:rPr>
          <w:rFonts w:ascii="宋体" w:hAnsi="宋体" w:eastAsia="宋体" w:cs="宋体"/>
          <w:b/>
          <w:bCs/>
          <w:sz w:val="24"/>
        </w:rPr>
      </w:pPr>
      <w:bookmarkStart w:id="34" w:name="_Toc462564070"/>
      <w:bookmarkStart w:id="35" w:name="_Toc513029211"/>
      <w:bookmarkStart w:id="36" w:name="_Toc20823283"/>
      <w:bookmarkStart w:id="37" w:name="_Toc16938527"/>
      <w:r>
        <w:rPr>
          <w:rFonts w:hint="eastAsia" w:ascii="宋体" w:hAnsi="宋体" w:eastAsia="宋体" w:cs="宋体"/>
          <w:sz w:val="24"/>
        </w:rPr>
        <w:t>2、磋商文件的澄清</w:t>
      </w:r>
      <w:bookmarkEnd w:id="34"/>
      <w:bookmarkEnd w:id="35"/>
      <w:bookmarkEnd w:id="36"/>
      <w:bookmarkEnd w:id="37"/>
    </w:p>
    <w:p w14:paraId="2A54688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w:t>
      </w:r>
      <w:r>
        <w:rPr>
          <w:rFonts w:hint="eastAsia" w:ascii="宋体" w:hAnsi="宋体" w:eastAsia="宋体" w:cs="宋体"/>
          <w:sz w:val="24"/>
          <w:lang w:val="en-US" w:eastAsia="zh-CN"/>
        </w:rPr>
        <w:t>1034154814</w:t>
      </w:r>
      <w:r>
        <w:rPr>
          <w:rFonts w:hint="eastAsia" w:ascii="宋体" w:hAnsi="宋体" w:eastAsia="宋体" w:cs="宋体"/>
          <w:sz w:val="24"/>
        </w:rPr>
        <w:t>@qq.com）。采购单位有权对发出的磋商文件进行必要的澄清或修改。</w:t>
      </w:r>
    </w:p>
    <w:p w14:paraId="2069DA0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2.2采购单位视情组织答疑会</w:t>
      </w:r>
    </w:p>
    <w:p w14:paraId="2075697C">
      <w:pPr>
        <w:adjustRightInd w:val="0"/>
        <w:snapToGrid w:val="0"/>
        <w:spacing w:line="360" w:lineRule="auto"/>
        <w:ind w:firstLine="480" w:firstLineChars="200"/>
        <w:outlineLvl w:val="3"/>
        <w:rPr>
          <w:rFonts w:ascii="宋体" w:hAnsi="宋体" w:eastAsia="宋体" w:cs="宋体"/>
          <w:b/>
          <w:bCs/>
          <w:sz w:val="24"/>
        </w:rPr>
      </w:pPr>
      <w:bookmarkStart w:id="38" w:name="_Toc20823284"/>
      <w:bookmarkStart w:id="39" w:name="_Toc16938528"/>
      <w:bookmarkStart w:id="40" w:name="_Toc513029212"/>
      <w:bookmarkStart w:id="41" w:name="_Toc462564071"/>
      <w:r>
        <w:rPr>
          <w:rFonts w:hint="eastAsia" w:ascii="宋体" w:hAnsi="宋体" w:eastAsia="宋体" w:cs="宋体"/>
          <w:sz w:val="24"/>
        </w:rPr>
        <w:t>3、磋商文件的修改</w:t>
      </w:r>
      <w:bookmarkEnd w:id="38"/>
      <w:bookmarkEnd w:id="39"/>
      <w:bookmarkEnd w:id="40"/>
      <w:bookmarkEnd w:id="41"/>
    </w:p>
    <w:p w14:paraId="2B6181A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608B4B3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6193078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磋商文件的修改将在“南通市机关事务管理局→公告公示”栏公布，补充文件将作为磋商文件的组成部分，并对供应商具有约束力。</w:t>
      </w:r>
    </w:p>
    <w:p w14:paraId="7BC36B8F">
      <w:pPr>
        <w:adjustRightInd w:val="0"/>
        <w:snapToGrid w:val="0"/>
        <w:spacing w:line="360" w:lineRule="auto"/>
        <w:ind w:firstLine="482" w:firstLineChars="200"/>
        <w:contextualSpacing/>
        <w:rPr>
          <w:rFonts w:ascii="宋体" w:hAnsi="宋体" w:eastAsia="宋体" w:cs="宋体"/>
          <w:b/>
          <w:bCs/>
          <w:snapToGrid/>
          <w:kern w:val="2"/>
          <w:sz w:val="24"/>
        </w:rPr>
      </w:pPr>
      <w:bookmarkStart w:id="42" w:name="_Toc462564072"/>
      <w:bookmarkStart w:id="43" w:name="_Toc120614216"/>
      <w:bookmarkStart w:id="44" w:name="_Toc16938529"/>
      <w:bookmarkStart w:id="45" w:name="_Toc513029213"/>
      <w:bookmarkStart w:id="46" w:name="_Toc20823285"/>
      <w:r>
        <w:rPr>
          <w:rFonts w:hint="eastAsia" w:ascii="宋体" w:hAnsi="宋体" w:eastAsia="宋体" w:cs="宋体"/>
          <w:b/>
          <w:bCs/>
          <w:sz w:val="24"/>
        </w:rPr>
        <w:t>三、</w:t>
      </w:r>
      <w:r>
        <w:rPr>
          <w:rFonts w:hint="eastAsia" w:ascii="宋体" w:hAnsi="宋体" w:eastAsia="宋体" w:cs="宋体"/>
          <w:b/>
          <w:bCs/>
          <w:snapToGrid/>
          <w:kern w:val="2"/>
          <w:sz w:val="24"/>
        </w:rPr>
        <w:t>磋商项目涉及到的现场勘察</w:t>
      </w:r>
    </w:p>
    <w:p w14:paraId="103CD08B">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1C6F9EB1">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2、采购单位向供应商提供的有关现场的资料和数据，是采购单位现有的并认为能使供应商可利用的资料。采购单位对供应商由此而做出的推论、理解和结论概不负责。</w:t>
      </w:r>
    </w:p>
    <w:p w14:paraId="121A40A3">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3、经采购单位允许，供应商可为勘察目的进入采购单位的项目现场，但供应商不得因此使采购单位承担有关的责任和蒙受损失。供应商应承担勘察现场的责任和风险。</w:t>
      </w:r>
    </w:p>
    <w:p w14:paraId="7FA02EB7">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bookmarkEnd w:id="42"/>
    <w:bookmarkEnd w:id="43"/>
    <w:bookmarkEnd w:id="44"/>
    <w:bookmarkEnd w:id="45"/>
    <w:bookmarkEnd w:id="46"/>
    <w:p w14:paraId="56302AE6">
      <w:pPr>
        <w:numPr>
          <w:ilvl w:val="0"/>
          <w:numId w:val="6"/>
        </w:num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响应文件的编制</w:t>
      </w:r>
    </w:p>
    <w:p w14:paraId="435F5ABA">
      <w:pPr>
        <w:adjustRightInd w:val="0"/>
        <w:snapToGrid w:val="0"/>
        <w:spacing w:line="360" w:lineRule="auto"/>
        <w:ind w:firstLine="480" w:firstLineChars="200"/>
        <w:outlineLvl w:val="3"/>
        <w:rPr>
          <w:rFonts w:ascii="宋体" w:hAnsi="宋体" w:eastAsia="宋体" w:cs="宋体"/>
          <w:bCs/>
          <w:sz w:val="24"/>
        </w:rPr>
      </w:pPr>
      <w:bookmarkStart w:id="47" w:name="_Toc20823286"/>
      <w:bookmarkStart w:id="48" w:name="_Toc513029214"/>
      <w:bookmarkStart w:id="49" w:name="_Toc462564073"/>
      <w:bookmarkStart w:id="50" w:name="_Toc16938530"/>
      <w:r>
        <w:rPr>
          <w:rFonts w:hint="eastAsia" w:ascii="宋体" w:hAnsi="宋体" w:eastAsia="宋体" w:cs="宋体"/>
          <w:sz w:val="24"/>
        </w:rPr>
        <w:t>1、响应文件的语言及度量衡单位</w:t>
      </w:r>
      <w:bookmarkEnd w:id="47"/>
      <w:bookmarkEnd w:id="48"/>
      <w:bookmarkEnd w:id="49"/>
      <w:bookmarkEnd w:id="50"/>
    </w:p>
    <w:p w14:paraId="5A68507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1D0CD40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1" w:name="_Toc462564074"/>
      <w:bookmarkStart w:id="52" w:name="_Toc16938531"/>
      <w:bookmarkStart w:id="53" w:name="_Toc20823287"/>
      <w:bookmarkStart w:id="54" w:name="_Toc513029215"/>
    </w:p>
    <w:p w14:paraId="7855B5CC">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2、响应文件构成</w:t>
      </w:r>
      <w:bookmarkEnd w:id="51"/>
      <w:bookmarkEnd w:id="52"/>
      <w:bookmarkEnd w:id="53"/>
      <w:bookmarkEnd w:id="54"/>
    </w:p>
    <w:p w14:paraId="49791F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689B7AE9">
      <w:pPr>
        <w:adjustRightInd w:val="0"/>
        <w:snapToGrid w:val="0"/>
        <w:spacing w:line="360" w:lineRule="auto"/>
        <w:ind w:firstLine="480" w:firstLineChars="200"/>
        <w:outlineLvl w:val="3"/>
        <w:rPr>
          <w:rFonts w:ascii="宋体" w:hAnsi="宋体" w:eastAsia="宋体" w:cs="宋体"/>
          <w:b/>
          <w:bCs/>
          <w:sz w:val="24"/>
        </w:rPr>
      </w:pPr>
      <w:bookmarkStart w:id="55" w:name="_Hlt26670360"/>
      <w:bookmarkEnd w:id="55"/>
      <w:bookmarkStart w:id="56" w:name="_Hlt26668975"/>
      <w:bookmarkEnd w:id="56"/>
      <w:bookmarkStart w:id="57" w:name="_Hlt26954838"/>
      <w:bookmarkEnd w:id="57"/>
      <w:bookmarkStart w:id="58" w:name="_Toc49090511"/>
      <w:bookmarkStart w:id="59" w:name="_Toc14577360"/>
      <w:r>
        <w:rPr>
          <w:rFonts w:hint="eastAsia" w:ascii="宋体" w:hAnsi="宋体" w:eastAsia="宋体" w:cs="宋体"/>
          <w:sz w:val="24"/>
        </w:rPr>
        <w:t>3</w:t>
      </w:r>
      <w:bookmarkEnd w:id="58"/>
      <w:bookmarkEnd w:id="59"/>
      <w:r>
        <w:rPr>
          <w:rFonts w:hint="eastAsia" w:ascii="宋体" w:hAnsi="宋体" w:eastAsia="宋体" w:cs="宋体"/>
          <w:sz w:val="24"/>
        </w:rPr>
        <w:t>、磋商响应有效期</w:t>
      </w:r>
    </w:p>
    <w:p w14:paraId="1C94D0A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0D1B997D">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62FCD51B">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1A7B9794">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五、响应文件的提交</w:t>
      </w:r>
    </w:p>
    <w:p w14:paraId="37F0C818">
      <w:pPr>
        <w:adjustRightInd w:val="0"/>
        <w:snapToGrid w:val="0"/>
        <w:spacing w:line="360" w:lineRule="auto"/>
        <w:ind w:firstLine="480" w:firstLineChars="200"/>
        <w:outlineLvl w:val="3"/>
        <w:rPr>
          <w:rFonts w:ascii="宋体" w:hAnsi="宋体" w:eastAsia="宋体" w:cs="宋体"/>
          <w:b/>
          <w:bCs/>
          <w:sz w:val="24"/>
        </w:rPr>
      </w:pPr>
      <w:bookmarkStart w:id="60" w:name="_Toc462564084"/>
      <w:bookmarkStart w:id="61" w:name="_Toc513029225"/>
      <w:bookmarkStart w:id="62" w:name="_Toc20823297"/>
      <w:bookmarkStart w:id="63" w:name="_Toc16938541"/>
      <w:bookmarkStart w:id="64" w:name="_Toc513029230"/>
      <w:bookmarkStart w:id="65" w:name="_Toc16938546"/>
      <w:bookmarkStart w:id="66" w:name="_Toc20823302"/>
      <w:r>
        <w:rPr>
          <w:rFonts w:hint="eastAsia" w:ascii="宋体" w:hAnsi="宋体" w:eastAsia="宋体" w:cs="宋体"/>
          <w:sz w:val="24"/>
        </w:rPr>
        <w:t>1、响应文件</w:t>
      </w:r>
      <w:bookmarkEnd w:id="60"/>
      <w:bookmarkEnd w:id="61"/>
      <w:bookmarkEnd w:id="62"/>
      <w:bookmarkEnd w:id="63"/>
      <w:r>
        <w:rPr>
          <w:rFonts w:hint="eastAsia" w:ascii="宋体" w:hAnsi="宋体" w:eastAsia="宋体" w:cs="宋体"/>
          <w:sz w:val="24"/>
        </w:rPr>
        <w:t>的提交</w:t>
      </w:r>
    </w:p>
    <w:p w14:paraId="2035EA8C">
      <w:pPr>
        <w:adjustRightInd w:val="0"/>
        <w:snapToGrid w:val="0"/>
        <w:spacing w:line="360" w:lineRule="auto"/>
        <w:ind w:firstLine="480" w:firstLineChars="200"/>
        <w:rPr>
          <w:rFonts w:ascii="宋体" w:hAnsi="宋体" w:eastAsia="宋体" w:cs="宋体"/>
          <w:bCs/>
          <w:sz w:val="24"/>
        </w:rPr>
      </w:pPr>
      <w:bookmarkStart w:id="67" w:name="_Toc513029226"/>
      <w:bookmarkStart w:id="68" w:name="_Toc16938542"/>
      <w:bookmarkStart w:id="69" w:name="_Toc20823298"/>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1C1CA68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1.2响应文件均为壹式叁份，其中“正本”壹份和“副本”贰份。</w:t>
      </w:r>
    </w:p>
    <w:p w14:paraId="363FA96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0A24B39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2D9825E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7AE9AC0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61C1A2B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40953202">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2、响应文件截止日期</w:t>
      </w:r>
      <w:bookmarkEnd w:id="67"/>
      <w:bookmarkEnd w:id="68"/>
      <w:bookmarkEnd w:id="69"/>
    </w:p>
    <w:p w14:paraId="357D90B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57FA4F1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478D7C6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05B08781">
      <w:pPr>
        <w:adjustRightInd w:val="0"/>
        <w:snapToGrid w:val="0"/>
        <w:spacing w:line="360" w:lineRule="auto"/>
        <w:ind w:firstLine="480" w:firstLineChars="200"/>
        <w:outlineLvl w:val="3"/>
        <w:rPr>
          <w:rFonts w:ascii="宋体" w:hAnsi="宋体" w:eastAsia="宋体" w:cs="宋体"/>
          <w:b/>
          <w:bCs/>
          <w:sz w:val="24"/>
        </w:rPr>
      </w:pPr>
      <w:bookmarkStart w:id="70" w:name="_Toc16938543"/>
      <w:bookmarkStart w:id="71" w:name="_Toc20823299"/>
      <w:bookmarkStart w:id="72" w:name="_Toc513029227"/>
      <w:r>
        <w:rPr>
          <w:rFonts w:hint="eastAsia" w:ascii="宋体" w:hAnsi="宋体" w:eastAsia="宋体" w:cs="宋体"/>
          <w:sz w:val="24"/>
        </w:rPr>
        <w:t>3、响应文件</w:t>
      </w:r>
      <w:bookmarkEnd w:id="70"/>
      <w:bookmarkEnd w:id="71"/>
      <w:bookmarkEnd w:id="72"/>
      <w:r>
        <w:rPr>
          <w:rFonts w:hint="eastAsia" w:ascii="宋体" w:hAnsi="宋体" w:eastAsia="宋体" w:cs="宋体"/>
          <w:sz w:val="24"/>
        </w:rPr>
        <w:t>的拒收</w:t>
      </w:r>
    </w:p>
    <w:p w14:paraId="19756A9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40FA8B5C">
      <w:pPr>
        <w:adjustRightInd w:val="0"/>
        <w:snapToGrid w:val="0"/>
        <w:spacing w:line="360" w:lineRule="auto"/>
        <w:ind w:firstLine="480" w:firstLineChars="200"/>
        <w:outlineLvl w:val="3"/>
        <w:rPr>
          <w:rFonts w:ascii="宋体" w:hAnsi="宋体" w:eastAsia="宋体" w:cs="宋体"/>
          <w:b/>
          <w:bCs/>
          <w:sz w:val="24"/>
        </w:rPr>
      </w:pPr>
      <w:bookmarkStart w:id="73" w:name="_Toc513029228"/>
      <w:bookmarkStart w:id="74" w:name="_Toc20823300"/>
      <w:bookmarkStart w:id="75" w:name="_Toc16938544"/>
      <w:r>
        <w:rPr>
          <w:rFonts w:hint="eastAsia" w:ascii="宋体" w:hAnsi="宋体" w:eastAsia="宋体" w:cs="宋体"/>
          <w:sz w:val="24"/>
        </w:rPr>
        <w:t>4、响应文件的撤回和修改</w:t>
      </w:r>
      <w:bookmarkEnd w:id="73"/>
      <w:bookmarkEnd w:id="74"/>
      <w:bookmarkEnd w:id="75"/>
    </w:p>
    <w:p w14:paraId="411CD5A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 响应文件的撤回</w:t>
      </w:r>
    </w:p>
    <w:p w14:paraId="073E87F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32F2513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 响应文件的修改</w:t>
      </w:r>
    </w:p>
    <w:p w14:paraId="7E212AB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1B9C93B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2DEBBBD1">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37802FD6">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六、磋商与评审</w:t>
      </w:r>
    </w:p>
    <w:p w14:paraId="5978061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55F2000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25AFFC2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221C04B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46A8ED4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3CB8B09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78D12FD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6B7AF36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2.4磋商小组独立工作，负责评审所有响应文件并确定成交</w:t>
      </w:r>
      <w:r>
        <w:rPr>
          <w:rFonts w:hint="eastAsia" w:ascii="宋体" w:hAnsi="宋体" w:eastAsia="宋体" w:cs="宋体"/>
          <w:sz w:val="24"/>
          <w:lang w:val="en-US" w:eastAsia="zh-CN"/>
        </w:rPr>
        <w:t>候</w:t>
      </w:r>
      <w:bookmarkStart w:id="93" w:name="_GoBack"/>
      <w:bookmarkEnd w:id="93"/>
      <w:r>
        <w:rPr>
          <w:rFonts w:hint="eastAsia" w:ascii="宋体" w:hAnsi="宋体" w:eastAsia="宋体" w:cs="宋体"/>
          <w:sz w:val="24"/>
        </w:rPr>
        <w:t>选人。</w:t>
      </w:r>
    </w:p>
    <w:p w14:paraId="7CD89A6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03EDB56A">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431FC94E">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22726E77">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AE17536">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4E05B7D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00DA8DB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2593F9D2">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5AA9883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7BFE878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2D590DF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2FA681A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40BC78E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5.1响应文件初审分为资格性审查和符合性审查。</w:t>
      </w:r>
    </w:p>
    <w:p w14:paraId="038159D7">
      <w:pPr>
        <w:pStyle w:val="9"/>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5.1.1资格性检查：依据法律法规和磋商文件的规定，由评审小组对响应文件中的资格审查证明材料进行审查。</w:t>
      </w:r>
    </w:p>
    <w:p w14:paraId="2F16C8B6">
      <w:pPr>
        <w:pStyle w:val="9"/>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0E3D73CF">
      <w:pPr>
        <w:pStyle w:val="9"/>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19215C61">
      <w:pPr>
        <w:pStyle w:val="9"/>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4D5D00DA">
      <w:pPr>
        <w:pStyle w:val="9"/>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14:paraId="605A65B8">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50A707AC">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64D0698">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248E91A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69E2863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26B2224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6794826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6801FCC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0F8C693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4DDDCE8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6D2D085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72BCC3B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5.7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1ADA2F0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5.8</w:t>
      </w:r>
      <w:r>
        <w:rPr>
          <w:rFonts w:hint="eastAsia" w:ascii="宋体" w:hAnsi="宋体" w:eastAsia="宋体" w:cs="宋体"/>
          <w:sz w:val="24"/>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54CDCB3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非单一产品采购项目，磋商文件中将载明其中的核心产品。多家供应商提供的核心产品品牌相同的，按前款规定处理。</w:t>
      </w:r>
    </w:p>
    <w:p w14:paraId="03B36E6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5.9供应商在评审全过程中应保证不离开现场，并随时能与采购代理机构及磋商小组联系。</w:t>
      </w:r>
    </w:p>
    <w:p w14:paraId="6827D8C4">
      <w:pPr>
        <w:tabs>
          <w:tab w:val="left" w:pos="6555"/>
          <w:tab w:val="right" w:pos="8306"/>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6、被认定为未实质性响应磋商文件的响应文件的情形。</w:t>
      </w:r>
    </w:p>
    <w:p w14:paraId="21B36033">
      <w:pPr>
        <w:tabs>
          <w:tab w:val="left" w:pos="6555"/>
          <w:tab w:val="right" w:pos="8306"/>
        </w:tabs>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6.1出现下列情形之一的，作无效响应处理。</w:t>
      </w:r>
      <w:r>
        <w:rPr>
          <w:rFonts w:hint="eastAsia" w:ascii="宋体" w:hAnsi="宋体" w:eastAsia="宋体" w:cs="宋体"/>
          <w:bCs/>
          <w:sz w:val="24"/>
        </w:rPr>
        <w:tab/>
      </w:r>
      <w:r>
        <w:rPr>
          <w:rFonts w:hint="eastAsia" w:ascii="宋体" w:hAnsi="宋体" w:eastAsia="宋体" w:cs="宋体"/>
          <w:b/>
          <w:sz w:val="24"/>
        </w:rPr>
        <w:tab/>
      </w:r>
    </w:p>
    <w:p w14:paraId="10725FE1">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6.1.1磋商响应文件未按磋商文件要求装订、密封、签署、盖章及主要资料不齐全的。</w:t>
      </w:r>
    </w:p>
    <w:p w14:paraId="1AFC0DEA">
      <w:pPr>
        <w:adjustRightInd w:val="0"/>
        <w:snapToGrid w:val="0"/>
        <w:spacing w:line="360" w:lineRule="auto"/>
        <w:ind w:firstLine="484" w:firstLineChars="202"/>
        <w:rPr>
          <w:rFonts w:ascii="宋体" w:hAnsi="宋体" w:eastAsia="宋体" w:cs="宋体"/>
          <w:snapToGrid/>
          <w:kern w:val="2"/>
          <w:sz w:val="24"/>
        </w:rPr>
      </w:pPr>
      <w:r>
        <w:rPr>
          <w:rFonts w:hint="eastAsia" w:ascii="宋体" w:hAnsi="宋体" w:eastAsia="宋体" w:cs="宋体"/>
          <w:bCs/>
          <w:sz w:val="24"/>
        </w:rPr>
        <w:t>6.1.2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534E8123">
      <w:pPr>
        <w:pStyle w:val="38"/>
        <w:snapToGrid w:val="0"/>
        <w:spacing w:line="360" w:lineRule="auto"/>
        <w:ind w:firstLine="480" w:firstLineChars="200"/>
        <w:rPr>
          <w:rFonts w:ascii="宋体" w:hAnsi="宋体" w:cs="宋体"/>
          <w:sz w:val="24"/>
          <w:szCs w:val="24"/>
        </w:rPr>
      </w:pPr>
      <w:r>
        <w:rPr>
          <w:rFonts w:hint="eastAsia" w:ascii="宋体" w:hAnsi="宋体" w:cs="宋体"/>
          <w:sz w:val="24"/>
          <w:szCs w:val="24"/>
        </w:rPr>
        <w:t>6.1.3磋商响应文件中资格审查文件及商务技术响应文件出现磋商报价的内容。</w:t>
      </w:r>
    </w:p>
    <w:p w14:paraId="5C998F45">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6.1.4未通过符合性检查或不具备磋商文件中规定的资格要求的。</w:t>
      </w:r>
    </w:p>
    <w:p w14:paraId="277AE3F2">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 xml:space="preserve">6.1.5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2702CF57">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2DB42B2C">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6.1.7同一供应商提交两个（含两个）以上不同的响应报价的。</w:t>
      </w:r>
    </w:p>
    <w:p w14:paraId="7EFDDC5D">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6.1.8</w:t>
      </w:r>
      <w:r>
        <w:rPr>
          <w:rFonts w:hint="eastAsia" w:ascii="宋体" w:hAnsi="宋体" w:eastAsia="宋体" w:cs="宋体"/>
          <w:snapToGrid/>
          <w:kern w:val="2"/>
          <w:sz w:val="24"/>
        </w:rPr>
        <w:t>磋商响应报价超出项目预算或最高限价的</w:t>
      </w:r>
      <w:r>
        <w:rPr>
          <w:rFonts w:hint="eastAsia" w:ascii="宋体" w:hAnsi="宋体" w:eastAsia="宋体" w:cs="宋体"/>
          <w:bCs/>
          <w:sz w:val="24"/>
        </w:rPr>
        <w:t>。</w:t>
      </w:r>
    </w:p>
    <w:p w14:paraId="0408D581">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45B65CA8">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6.1.10除非在磋商中磋商小组对采购单位需求内容作了调整，或对采购内容作了实质性变更，供应商的磋商报价高于自己前一轮的。</w:t>
      </w:r>
    </w:p>
    <w:p w14:paraId="3776B81E">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684167AD">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6.1.12响应文件含有采购单位不能接受的附加条件的。</w:t>
      </w:r>
    </w:p>
    <w:p w14:paraId="7870ACFA">
      <w:pPr>
        <w:snapToGrid w:val="0"/>
        <w:spacing w:line="360" w:lineRule="auto"/>
        <w:ind w:firstLine="482" w:firstLineChars="201"/>
      </w:pPr>
      <w:r>
        <w:rPr>
          <w:rFonts w:hint="eastAsia" w:ascii="宋体" w:hAnsi="宋体" w:eastAsia="宋体" w:cs="宋体"/>
          <w:bCs/>
          <w:sz w:val="24"/>
        </w:rPr>
        <w:t>6.1.13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0E4263CC">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6.1.14</w:t>
      </w:r>
      <w:r>
        <w:rPr>
          <w:rFonts w:hint="eastAsia" w:ascii="宋体" w:hAnsi="宋体" w:eastAsia="宋体" w:cs="宋体"/>
          <w:kern w:val="2"/>
          <w:sz w:val="24"/>
        </w:rPr>
        <w:t>磋商响应文件中已标价工程量清单与磋商文件规定的暂估价、暂列金额及甲供材料价格不一致的</w:t>
      </w:r>
      <w:r>
        <w:rPr>
          <w:rFonts w:hint="eastAsia" w:ascii="宋体" w:hAnsi="宋体" w:eastAsia="宋体" w:cs="宋体"/>
          <w:bCs/>
          <w:sz w:val="24"/>
        </w:rPr>
        <w:t>。</w:t>
      </w:r>
    </w:p>
    <w:p w14:paraId="785120CE">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6.1.15</w:t>
      </w:r>
      <w:r>
        <w:rPr>
          <w:rFonts w:hint="eastAsia" w:ascii="宋体" w:hAnsi="宋体" w:eastAsia="宋体" w:cs="宋体"/>
          <w:kern w:val="2"/>
          <w:sz w:val="24"/>
        </w:rPr>
        <w:t>磋商响应文件中已标价工程量清单与磋商文件明确列出的不可竞争费用项目或费率或计算基础不一致的</w:t>
      </w:r>
      <w:r>
        <w:rPr>
          <w:rFonts w:hint="eastAsia" w:ascii="宋体" w:hAnsi="宋体" w:eastAsia="宋体" w:cs="宋体"/>
          <w:bCs/>
          <w:sz w:val="24"/>
        </w:rPr>
        <w:t>。</w:t>
      </w:r>
    </w:p>
    <w:p w14:paraId="6ACD8621">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6.1.16</w:t>
      </w:r>
      <w:r>
        <w:rPr>
          <w:rFonts w:hint="eastAsia" w:ascii="宋体" w:hAnsi="宋体" w:eastAsia="宋体" w:cs="宋体"/>
          <w:kern w:val="2"/>
          <w:sz w:val="24"/>
        </w:rPr>
        <w:t>磋商响应文件中已标价工程量清单与磋商文件提供的工程量清单中的项目编码、项目名称、项目特征、计量单位、工程量不一致的</w:t>
      </w:r>
      <w:r>
        <w:rPr>
          <w:rFonts w:hint="eastAsia" w:ascii="宋体" w:hAnsi="宋体" w:eastAsia="宋体" w:cs="宋体"/>
          <w:bCs/>
          <w:sz w:val="24"/>
        </w:rPr>
        <w:t>。</w:t>
      </w:r>
    </w:p>
    <w:p w14:paraId="6DC58C44">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6.1.17</w:t>
      </w:r>
      <w:r>
        <w:rPr>
          <w:rFonts w:hint="eastAsia" w:ascii="宋体" w:hAnsi="宋体" w:eastAsia="宋体" w:cs="宋体"/>
          <w:kern w:val="2"/>
          <w:sz w:val="24"/>
        </w:rPr>
        <w:t>磋商响应文件载明的招标项目完成期限超过磋商文件规定的期限的；</w:t>
      </w:r>
    </w:p>
    <w:p w14:paraId="4F5D77CA">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6.1.18</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64BF0CF8">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6.1.19</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r>
        <w:rPr>
          <w:rFonts w:hint="eastAsia" w:ascii="宋体" w:hAnsi="宋体" w:eastAsia="宋体" w:cs="宋体"/>
          <w:kern w:val="2"/>
          <w:sz w:val="24"/>
        </w:rPr>
        <w:br w:type="textWrapping"/>
      </w:r>
      <w:r>
        <w:rPr>
          <w:rFonts w:hint="eastAsia" w:ascii="宋体" w:hAnsi="宋体" w:eastAsia="宋体" w:cs="宋体"/>
          <w:kern w:val="2"/>
          <w:sz w:val="24"/>
        </w:rPr>
        <w:t xml:space="preserve">    </w:t>
      </w:r>
      <w:r>
        <w:rPr>
          <w:rFonts w:hint="eastAsia" w:ascii="宋体" w:hAnsi="宋体" w:eastAsia="宋体" w:cs="宋体"/>
          <w:bCs/>
          <w:sz w:val="24"/>
        </w:rPr>
        <w:t>6.1.20</w:t>
      </w:r>
      <w:r>
        <w:rPr>
          <w:rFonts w:hint="eastAsia" w:ascii="宋体" w:hAnsi="宋体" w:eastAsia="宋体" w:cs="宋体"/>
          <w:kern w:val="2"/>
          <w:sz w:val="24"/>
        </w:rPr>
        <w:t>磋商响应文件提出了不能满足磋商文件要求或采购单位不能接受的工程验收、计量、价款结算和支付办法的</w:t>
      </w:r>
      <w:r>
        <w:rPr>
          <w:rFonts w:hint="eastAsia" w:ascii="宋体" w:hAnsi="宋体" w:eastAsia="宋体" w:cs="宋体"/>
          <w:bCs/>
          <w:sz w:val="24"/>
        </w:rPr>
        <w:t>。</w:t>
      </w:r>
    </w:p>
    <w:p w14:paraId="11D51133">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6.1.21</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229FBF4A">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6.1.22</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6F254DD6">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6.1.23</w:t>
      </w:r>
      <w:r>
        <w:rPr>
          <w:rFonts w:hint="eastAsia" w:ascii="宋体" w:hAnsi="宋体" w:eastAsia="宋体" w:cs="宋体"/>
          <w:bCs/>
          <w:sz w:val="24"/>
          <w:lang w:eastAsia="zh-CN"/>
        </w:rPr>
        <w:t>技术</w:t>
      </w:r>
      <w:r>
        <w:rPr>
          <w:rFonts w:hint="eastAsia" w:ascii="宋体" w:hAnsi="宋体" w:eastAsia="宋体" w:cs="宋体"/>
          <w:kern w:val="2"/>
          <w:sz w:val="24"/>
        </w:rPr>
        <w:t>方案存在明显技术方案错误、或者不符合磋商文件有关暗标（如有）的要求</w:t>
      </w:r>
      <w:r>
        <w:rPr>
          <w:rFonts w:hint="eastAsia" w:ascii="宋体" w:hAnsi="宋体" w:eastAsia="宋体" w:cs="宋体"/>
          <w:bCs/>
          <w:sz w:val="24"/>
        </w:rPr>
        <w:t>。</w:t>
      </w:r>
      <w:r>
        <w:rPr>
          <w:rFonts w:hint="eastAsia" w:ascii="宋体" w:hAnsi="宋体" w:eastAsia="宋体" w:cs="宋体"/>
          <w:kern w:val="2"/>
          <w:sz w:val="24"/>
        </w:rPr>
        <w:t xml:space="preserve"> </w:t>
      </w:r>
    </w:p>
    <w:p w14:paraId="593E8310">
      <w:pPr>
        <w:snapToGrid w:val="0"/>
        <w:spacing w:line="360" w:lineRule="auto"/>
        <w:ind w:firstLine="480" w:firstLineChars="200"/>
        <w:rPr>
          <w:rFonts w:ascii="宋体" w:hAnsi="宋体" w:eastAsia="宋体" w:cs="宋体"/>
          <w:kern w:val="2"/>
          <w:sz w:val="24"/>
        </w:rPr>
      </w:pPr>
      <w:r>
        <w:rPr>
          <w:rFonts w:hint="eastAsia" w:ascii="宋体" w:hAnsi="宋体" w:eastAsia="宋体" w:cs="宋体"/>
          <w:bCs/>
          <w:sz w:val="24"/>
        </w:rPr>
        <w:t>6.1.24</w:t>
      </w:r>
      <w:r>
        <w:rPr>
          <w:rFonts w:hint="eastAsia" w:ascii="宋体" w:hAnsi="宋体" w:eastAsia="宋体" w:cs="宋体"/>
          <w:kern w:val="2"/>
          <w:sz w:val="24"/>
        </w:rPr>
        <w:t>供应商在响应文件递交截止时间当日，建筑业企业资质（本项目要求的资质）动态监管结果处于不合格状态的。</w:t>
      </w:r>
    </w:p>
    <w:p w14:paraId="4F912FB7">
      <w:pPr>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6.1.25</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75AE49D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6.1.26</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24DEF50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6.2出现下列情形之一的，磋商失败。</w:t>
      </w:r>
    </w:p>
    <w:p w14:paraId="36FE44E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6.2.1符合条件的供应商或者对磋商文件作实质响应的供应商不足3家的（市场竞争不充分的科研项目，以及需要扶持的科技成果转化项目可以是2家）；</w:t>
      </w:r>
    </w:p>
    <w:p w14:paraId="455C32E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6.2.2出现影响采购公正的违法违规行为的；</w:t>
      </w:r>
    </w:p>
    <w:p w14:paraId="3E43488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6.2.3因重大变故，采购任务取消的。</w:t>
      </w:r>
    </w:p>
    <w:p w14:paraId="120804C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6.2.4磋商小组认定磋商文件存在歧义、重大缺陷导致评审工作无法进行。</w:t>
      </w:r>
    </w:p>
    <w:p w14:paraId="7AD86F7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6.2.5供应商的报价均超出了采购预算或最高限价，采购单位不能支付的；</w:t>
      </w:r>
    </w:p>
    <w:p w14:paraId="495B44D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 因情况变化，不再符合规定的竞争性磋商采购方式所适用情形的；</w:t>
      </w:r>
    </w:p>
    <w:p w14:paraId="01BE240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6.2.7磋商小组依据法律法规可以认定为废标的其他情况。</w:t>
      </w:r>
    </w:p>
    <w:p w14:paraId="445BAE0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62AD562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64"/>
    <w:bookmarkEnd w:id="65"/>
    <w:bookmarkEnd w:id="66"/>
    <w:p w14:paraId="3DC92D7D">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七、成交</w:t>
      </w:r>
    </w:p>
    <w:p w14:paraId="3C85B98E">
      <w:pPr>
        <w:adjustRightInd w:val="0"/>
        <w:snapToGrid w:val="0"/>
        <w:spacing w:line="360" w:lineRule="auto"/>
        <w:ind w:firstLine="480" w:firstLineChars="200"/>
        <w:outlineLvl w:val="3"/>
        <w:rPr>
          <w:rFonts w:ascii="宋体" w:hAnsi="宋体" w:eastAsia="宋体" w:cs="宋体"/>
          <w:b/>
          <w:sz w:val="24"/>
        </w:rPr>
      </w:pPr>
      <w:bookmarkStart w:id="76" w:name="_Toc20823310"/>
      <w:bookmarkStart w:id="77" w:name="_Toc16938554"/>
      <w:r>
        <w:rPr>
          <w:rFonts w:hint="eastAsia" w:ascii="宋体" w:hAnsi="宋体" w:eastAsia="宋体" w:cs="宋体"/>
          <w:sz w:val="24"/>
        </w:rPr>
        <w:t>1、确定</w:t>
      </w:r>
      <w:bookmarkEnd w:id="76"/>
      <w:bookmarkEnd w:id="77"/>
      <w:r>
        <w:rPr>
          <w:rFonts w:hint="eastAsia" w:ascii="宋体" w:hAnsi="宋体" w:eastAsia="宋体" w:cs="宋体"/>
          <w:sz w:val="24"/>
        </w:rPr>
        <w:t>成交单位</w:t>
      </w:r>
    </w:p>
    <w:p w14:paraId="4E97981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31139A2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1CBEBCA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采购单位将在“南通市机关事务管理局→公告公示”栏发布成交结果公告，公告期限为1个工作日。</w:t>
      </w:r>
    </w:p>
    <w:p w14:paraId="4E3650F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718F81E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27292EC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2194BF1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0D865B4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628B6DA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2D7348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6C7EACA2">
      <w:pPr>
        <w:adjustRightInd w:val="0"/>
        <w:snapToGrid w:val="0"/>
        <w:spacing w:line="360" w:lineRule="auto"/>
        <w:ind w:firstLine="480" w:firstLineChars="200"/>
        <w:rPr>
          <w:rFonts w:ascii="宋体" w:hAnsi="宋体" w:eastAsia="宋体" w:cs="宋体"/>
          <w:sz w:val="24"/>
        </w:rPr>
      </w:pPr>
      <w:bookmarkStart w:id="78" w:name="_Toc200451960"/>
      <w:r>
        <w:rPr>
          <w:rFonts w:hint="eastAsia" w:ascii="宋体" w:hAnsi="宋体" w:eastAsia="宋体" w:cs="宋体"/>
          <w:sz w:val="24"/>
        </w:rPr>
        <w:t>1.5.有下列情形之一的，视为供应商串通参与磋商，响应无效：</w:t>
      </w:r>
    </w:p>
    <w:p w14:paraId="08791F9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3BE6569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52781B1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112A687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0AE6690E">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78"/>
    </w:p>
    <w:p w14:paraId="4F5F79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05F2A90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1B1DB5F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7BADF01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61BB142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2.3质疑函必须按照《质疑函范本》要求的格式和内容进行填写。供应商如组成联合体参加磋商，则《质疑函范本》中要求签字、盖章、加盖公章之处，联合体各方均须按要求签字、盖章、加盖公章。</w:t>
      </w:r>
    </w:p>
    <w:p w14:paraId="6A1AC538">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40A72D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55EDEA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6CB4FBA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3377D28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5ADF2A4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60FB4B5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060641BF">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4E6FCD08">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78358B29">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2E4D2A6F">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12622FC3">
      <w:pPr>
        <w:adjustRightInd w:val="0"/>
        <w:snapToGrid w:val="0"/>
        <w:spacing w:line="360" w:lineRule="auto"/>
        <w:ind w:firstLine="482" w:firstLineChars="200"/>
        <w:outlineLvl w:val="2"/>
        <w:rPr>
          <w:rFonts w:ascii="宋体" w:hAnsi="宋体" w:eastAsia="宋体" w:cs="宋体"/>
          <w:b/>
          <w:bCs/>
          <w:sz w:val="24"/>
        </w:rPr>
      </w:pPr>
      <w:bookmarkStart w:id="79" w:name="_Toc120614220"/>
      <w:bookmarkStart w:id="80" w:name="_Toc16938552"/>
      <w:bookmarkStart w:id="81" w:name="_Toc513029236"/>
      <w:bookmarkStart w:id="82" w:name="_Toc20823308"/>
      <w:r>
        <w:rPr>
          <w:rFonts w:hint="eastAsia" w:ascii="宋体" w:hAnsi="宋体" w:eastAsia="宋体" w:cs="宋体"/>
          <w:b/>
          <w:bCs/>
          <w:sz w:val="24"/>
        </w:rPr>
        <w:t>八、授予合同</w:t>
      </w:r>
      <w:bookmarkEnd w:id="79"/>
    </w:p>
    <w:bookmarkEnd w:id="80"/>
    <w:bookmarkEnd w:id="81"/>
    <w:bookmarkEnd w:id="82"/>
    <w:p w14:paraId="36E88B77">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62F55E8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730978CA">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6B1098BA">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5968DD70">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14AC489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3E24D81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081D1768">
      <w:pPr>
        <w:pStyle w:val="9"/>
        <w:snapToGrid w:val="0"/>
        <w:spacing w:before="0" w:after="0" w:line="360" w:lineRule="auto"/>
        <w:ind w:firstLine="480" w:firstLineChars="200"/>
        <w:rPr>
          <w:rFonts w:ascii="宋体" w:hAnsi="宋体" w:eastAsia="宋体" w:cs="宋体"/>
          <w:b w:val="0"/>
          <w:bCs w:val="0"/>
          <w:sz w:val="24"/>
          <w:szCs w:val="24"/>
        </w:rPr>
        <w:sectPr>
          <w:headerReference r:id="rId7" w:type="default"/>
          <w:footerReference r:id="rId8" w:type="default"/>
          <w:pgSz w:w="11906" w:h="16838"/>
          <w:pgMar w:top="1361" w:right="1361" w:bottom="1361" w:left="1361" w:header="907" w:footer="737" w:gutter="0"/>
          <w:pgBorders>
            <w:top w:val="none" w:sz="0" w:space="0"/>
            <w:left w:val="none" w:sz="0" w:space="0"/>
            <w:bottom w:val="none" w:sz="0" w:space="0"/>
            <w:right w:val="none" w:sz="0" w:space="0"/>
          </w:pgBorders>
          <w:pgNumType w:fmt="numberInDash" w:start="1"/>
          <w:cols w:space="720" w:num="1"/>
          <w:docGrid w:linePitch="312" w:charSpace="0"/>
        </w:sectPr>
      </w:pPr>
    </w:p>
    <w:bookmarkEnd w:id="1"/>
    <w:bookmarkEnd w:id="2"/>
    <w:bookmarkEnd w:id="3"/>
    <w:bookmarkEnd w:id="4"/>
    <w:bookmarkEnd w:id="5"/>
    <w:bookmarkEnd w:id="6"/>
    <w:bookmarkEnd w:id="7"/>
    <w:bookmarkEnd w:id="8"/>
    <w:bookmarkEnd w:id="9"/>
    <w:bookmarkEnd w:id="10"/>
    <w:bookmarkEnd w:id="11"/>
    <w:p w14:paraId="014A3FF9">
      <w:pPr>
        <w:spacing w:before="156" w:beforeLines="50" w:after="156"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02DC1C3B">
      <w:pPr>
        <w:snapToGrid w:val="0"/>
        <w:spacing w:line="360" w:lineRule="auto"/>
        <w:ind w:firstLine="480" w:firstLineChars="200"/>
        <w:rPr>
          <w:rStyle w:val="96"/>
          <w:rFonts w:ascii="宋体" w:hAnsi="宋体" w:eastAsia="宋体" w:cs="宋体"/>
          <w:bCs/>
          <w:sz w:val="24"/>
          <w:szCs w:val="24"/>
        </w:rPr>
      </w:pPr>
    </w:p>
    <w:p w14:paraId="724836C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供应商在制作响应文件时仔细研究项目需求说明。</w:t>
      </w:r>
      <w:r>
        <w:rPr>
          <w:rFonts w:hint="eastAsia" w:ascii="宋体" w:hAnsi="宋体" w:eastAsia="宋体" w:cs="宋体"/>
          <w:b/>
          <w:bCs/>
          <w:sz w:val="24"/>
        </w:rPr>
        <w:t>具体施工内容请详见</w:t>
      </w:r>
      <w:r>
        <w:rPr>
          <w:rFonts w:hint="eastAsia" w:ascii="宋体" w:hAnsi="宋体" w:eastAsia="宋体" w:cs="宋体"/>
          <w:b/>
          <w:bCs/>
          <w:sz w:val="24"/>
          <w:lang w:eastAsia="zh-CN"/>
        </w:rPr>
        <w:t>采购</w:t>
      </w:r>
      <w:r>
        <w:rPr>
          <w:rFonts w:hint="eastAsia" w:ascii="宋体" w:hAnsi="宋体" w:eastAsia="宋体" w:cs="宋体"/>
          <w:b/>
          <w:bCs/>
          <w:sz w:val="24"/>
        </w:rPr>
        <w:t>文件、以及附件工程量清单。</w:t>
      </w:r>
      <w:r>
        <w:rPr>
          <w:rFonts w:hint="eastAsia" w:ascii="宋体" w:hAnsi="宋体" w:eastAsia="宋体" w:cs="宋体"/>
          <w:sz w:val="24"/>
        </w:rPr>
        <w:t>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5092A2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604BA73B">
      <w:pPr>
        <w:snapToGrid w:val="0"/>
        <w:spacing w:line="360" w:lineRule="auto"/>
        <w:ind w:firstLine="479" w:firstLineChars="199"/>
        <w:rPr>
          <w:rStyle w:val="96"/>
          <w:rFonts w:ascii="宋体" w:hAnsi="宋体" w:eastAsia="宋体" w:cs="宋体"/>
          <w:bCs/>
          <w:sz w:val="24"/>
          <w:szCs w:val="24"/>
        </w:rPr>
      </w:pPr>
      <w:r>
        <w:rPr>
          <w:rFonts w:hint="eastAsia" w:ascii="宋体" w:hAnsi="宋体" w:eastAsia="宋体" w:cs="宋体"/>
          <w:b/>
          <w:bCs/>
          <w:sz w:val="24"/>
        </w:rPr>
        <w:t>其内容包含：</w:t>
      </w:r>
    </w:p>
    <w:p w14:paraId="57006BE8">
      <w:pPr>
        <w:snapToGrid w:val="0"/>
        <w:spacing w:line="360" w:lineRule="auto"/>
        <w:ind w:firstLine="477" w:firstLineChars="199"/>
        <w:rPr>
          <w:rFonts w:ascii="宋体" w:hAnsi="宋体" w:eastAsia="宋体" w:cs="宋体"/>
          <w:bCs/>
          <w:sz w:val="24"/>
        </w:rPr>
      </w:pPr>
      <w:r>
        <w:rPr>
          <w:rStyle w:val="96"/>
          <w:rFonts w:hint="eastAsia" w:ascii="宋体" w:hAnsi="宋体" w:eastAsia="宋体" w:cs="宋体"/>
          <w:bCs/>
          <w:sz w:val="24"/>
        </w:rPr>
        <w:t>1、</w:t>
      </w:r>
      <w:r>
        <w:rPr>
          <w:rFonts w:hint="eastAsia" w:ascii="宋体" w:hAnsi="宋体" w:eastAsia="宋体" w:cs="宋体"/>
          <w:bCs/>
          <w:sz w:val="24"/>
        </w:rPr>
        <w:t>本项目为</w:t>
      </w:r>
      <w:r>
        <w:rPr>
          <w:rFonts w:hint="eastAsia" w:ascii="宋体" w:hAnsi="宋体" w:eastAsia="宋体" w:cs="宋体"/>
          <w:bCs/>
          <w:sz w:val="24"/>
          <w:lang w:eastAsia="zh-CN"/>
        </w:rPr>
        <w:t>南通市政务中心食堂服务中心设备采购项目（二次）</w:t>
      </w:r>
      <w:r>
        <w:rPr>
          <w:rFonts w:hint="eastAsia" w:ascii="宋体" w:hAnsi="宋体" w:eastAsia="宋体" w:cs="宋体"/>
          <w:bCs/>
          <w:sz w:val="24"/>
        </w:rPr>
        <w:t>，详细工程量清单。由各供应商结合磋商文件、图纸、工程量清单及相关资料等包括的全部内容，根据国家、地方规范和标准、各种文件规定、质监部门要求执行的而施工图和工程量清单中未明确的施工内容，以及为按磋商文件所确定的工期、质量、安全要求完成上述内容所必须的附属工程、临时工程、机械、设备、材料、存贮、运输（含二次搬运费）、劳务、安装、调试、测试、脚手架搭设使用、各工种间的协调配合工作、缺陷修补、维护、培训、售后服务、规费、措施费、管理、利润、税金、清洗、防水、管道清理、验收、安全措施、技术措施、设备（材料）档案、工程档案、工程定位、复测、点交、场地清理费用、垃圾清理外运费、环境保护费、测试费用、设置防撞设施、安全生产、文明施工、成品保护费等，在磋商报价时必须综合到相关子目中进行报价等合同履行过程中可能发生的风险及所需的全部费用。一旦成交，除本磋商文件约定的可调整事项外，其余均不调整。</w:t>
      </w:r>
    </w:p>
    <w:p w14:paraId="4FD5E0C2">
      <w:pPr>
        <w:adjustRightInd w:val="0"/>
        <w:snapToGrid w:val="0"/>
        <w:spacing w:line="360" w:lineRule="auto"/>
        <w:ind w:firstLine="480" w:firstLineChars="200"/>
        <w:rPr>
          <w:rStyle w:val="96"/>
          <w:rFonts w:ascii="宋体" w:hAnsi="宋体" w:eastAsia="宋体" w:cs="宋体"/>
          <w:bCs/>
          <w:sz w:val="24"/>
        </w:rPr>
      </w:pPr>
      <w:r>
        <w:rPr>
          <w:rStyle w:val="96"/>
          <w:rFonts w:hint="eastAsia" w:ascii="宋体" w:hAnsi="宋体" w:eastAsia="宋体" w:cs="宋体"/>
          <w:sz w:val="24"/>
        </w:rPr>
        <w:t>2、</w:t>
      </w:r>
      <w:r>
        <w:rPr>
          <w:rStyle w:val="96"/>
          <w:rFonts w:hint="eastAsia" w:ascii="宋体" w:hAnsi="宋体" w:eastAsia="宋体" w:cs="宋体"/>
          <w:bCs/>
          <w:sz w:val="24"/>
        </w:rPr>
        <w:t>本项目为固定单价合同。供应商应充分考虑本项目合同实施期间可能发生的费用，并承担由此而带来的风险（包含材料价格涨跌和人工工资调整）。</w:t>
      </w:r>
    </w:p>
    <w:p w14:paraId="711B4F4B">
      <w:pPr>
        <w:adjustRightInd w:val="0"/>
        <w:snapToGrid w:val="0"/>
        <w:spacing w:line="360" w:lineRule="auto"/>
        <w:ind w:firstLine="480" w:firstLineChars="200"/>
        <w:rPr>
          <w:rStyle w:val="96"/>
          <w:rFonts w:ascii="宋体" w:hAnsi="宋体" w:eastAsia="宋体" w:cs="宋体"/>
          <w:bCs/>
          <w:sz w:val="24"/>
        </w:rPr>
      </w:pPr>
      <w:r>
        <w:rPr>
          <w:rStyle w:val="96"/>
          <w:rFonts w:hint="eastAsia" w:ascii="宋体" w:hAnsi="宋体" w:eastAsia="宋体" w:cs="宋体"/>
          <w:bCs/>
          <w:sz w:val="24"/>
        </w:rPr>
        <w:t>3、各供应商在编制报价时须用预算软件编制。在报价时应认真阅读并充分理解磋商文件所有内容（含施工合同）后进行响应文件的编制，如有疑问请在规定时间内提出，如无异议，则视为认可，竣工结算时除磋商文件约定调整的内容外，其余均不调整。</w:t>
      </w:r>
    </w:p>
    <w:p w14:paraId="288D8886">
      <w:pPr>
        <w:adjustRightInd w:val="0"/>
        <w:snapToGrid w:val="0"/>
        <w:spacing w:line="360" w:lineRule="auto"/>
        <w:ind w:firstLine="480" w:firstLineChars="200"/>
        <w:rPr>
          <w:rStyle w:val="96"/>
          <w:rFonts w:ascii="宋体" w:hAnsi="宋体" w:eastAsia="宋体" w:cs="宋体"/>
          <w:bCs/>
          <w:snapToGrid/>
          <w:sz w:val="24"/>
        </w:rPr>
      </w:pPr>
      <w:r>
        <w:rPr>
          <w:rStyle w:val="96"/>
          <w:rFonts w:hint="eastAsia" w:ascii="宋体" w:hAnsi="宋体" w:eastAsia="宋体" w:cs="宋体"/>
          <w:bCs/>
          <w:sz w:val="24"/>
        </w:rPr>
        <w:t>3.</w:t>
      </w:r>
      <w:r>
        <w:rPr>
          <w:rStyle w:val="96"/>
          <w:rFonts w:hint="eastAsia" w:ascii="宋体" w:hAnsi="宋体" w:eastAsia="宋体" w:cs="宋体"/>
          <w:bCs/>
          <w:snapToGrid/>
          <w:sz w:val="24"/>
        </w:rPr>
        <w:t>1本工程竞争性磋商文件及答疑（如有）、施工图及其工程量清单。</w:t>
      </w:r>
    </w:p>
    <w:p w14:paraId="0F57CB7F">
      <w:pPr>
        <w:adjustRightInd w:val="0"/>
        <w:snapToGrid w:val="0"/>
        <w:spacing w:line="360" w:lineRule="auto"/>
        <w:ind w:firstLine="480" w:firstLineChars="200"/>
        <w:rPr>
          <w:rStyle w:val="96"/>
          <w:rFonts w:ascii="宋体" w:hAnsi="宋体" w:eastAsia="宋体" w:cs="宋体"/>
          <w:bCs/>
          <w:snapToGrid/>
          <w:sz w:val="24"/>
        </w:rPr>
      </w:pPr>
      <w:r>
        <w:rPr>
          <w:rStyle w:val="96"/>
          <w:rFonts w:hint="eastAsia" w:ascii="宋体" w:hAnsi="宋体" w:eastAsia="宋体" w:cs="宋体"/>
          <w:bCs/>
          <w:sz w:val="24"/>
        </w:rPr>
        <w:t xml:space="preserve">3.2 </w:t>
      </w:r>
      <w:r>
        <w:rPr>
          <w:rFonts w:hint="eastAsia" w:ascii="宋体" w:hAnsi="宋体" w:eastAsia="宋体" w:cs="宋体"/>
          <w:bCs/>
          <w:sz w:val="24"/>
        </w:rPr>
        <w:t>套用本企业定额，无本企业定额的企业可参照《建设工程工程量清单计价规范》（GB50500-2013）、《江苏房屋修缮工程计价定额》（2009年版）、《江苏房屋修缮工程计价表》（2019年）、《通用安装工程</w:t>
      </w:r>
      <w:r>
        <w:rPr>
          <w:rFonts w:ascii="宋体" w:hAnsi="宋体" w:eastAsia="宋体" w:cs="宋体"/>
          <w:bCs/>
          <w:sz w:val="24"/>
        </w:rPr>
        <w:t>工程量计算规范</w:t>
      </w:r>
      <w:r>
        <w:rPr>
          <w:rFonts w:hint="eastAsia" w:ascii="宋体" w:hAnsi="宋体" w:eastAsia="宋体" w:cs="宋体"/>
          <w:bCs/>
          <w:sz w:val="24"/>
        </w:rPr>
        <w:t>》（GB50856-2013）、</w:t>
      </w:r>
      <w:r>
        <w:rPr>
          <w:rStyle w:val="96"/>
          <w:rFonts w:hint="eastAsia" w:ascii="宋体" w:hAnsi="宋体" w:eastAsia="宋体" w:cs="宋体"/>
          <w:bCs/>
          <w:snapToGrid/>
          <w:sz w:val="24"/>
        </w:rPr>
        <w:t>《房屋建筑与装饰工程工程量计算规范》(GB50854-2013) 、《江苏省建筑与装饰工程计价定额》（</w:t>
      </w:r>
      <w:r>
        <w:rPr>
          <w:rStyle w:val="96"/>
          <w:rFonts w:ascii="宋体" w:hAnsi="宋体" w:eastAsia="宋体" w:cs="宋体"/>
          <w:bCs/>
          <w:snapToGrid/>
          <w:sz w:val="24"/>
        </w:rPr>
        <w:t>20</w:t>
      </w:r>
      <w:r>
        <w:rPr>
          <w:rStyle w:val="96"/>
          <w:rFonts w:hint="eastAsia" w:ascii="宋体" w:hAnsi="宋体" w:eastAsia="宋体" w:cs="宋体"/>
          <w:bCs/>
          <w:snapToGrid/>
          <w:sz w:val="24"/>
        </w:rPr>
        <w:t>1</w:t>
      </w:r>
      <w:r>
        <w:rPr>
          <w:rStyle w:val="96"/>
          <w:rFonts w:ascii="宋体" w:hAnsi="宋体" w:eastAsia="宋体" w:cs="宋体"/>
          <w:bCs/>
          <w:snapToGrid/>
          <w:sz w:val="24"/>
        </w:rPr>
        <w:t>4</w:t>
      </w:r>
      <w:r>
        <w:rPr>
          <w:rStyle w:val="96"/>
          <w:rFonts w:hint="eastAsia" w:ascii="宋体" w:hAnsi="宋体" w:eastAsia="宋体" w:cs="宋体"/>
          <w:bCs/>
          <w:snapToGrid/>
          <w:sz w:val="24"/>
        </w:rPr>
        <w:t>年版）、《江苏省安装工程计价定额》（</w:t>
      </w:r>
      <w:r>
        <w:rPr>
          <w:rStyle w:val="96"/>
          <w:rFonts w:ascii="宋体" w:hAnsi="宋体" w:eastAsia="宋体" w:cs="宋体"/>
          <w:bCs/>
          <w:snapToGrid/>
          <w:sz w:val="24"/>
        </w:rPr>
        <w:t>20</w:t>
      </w:r>
      <w:r>
        <w:rPr>
          <w:rStyle w:val="96"/>
          <w:rFonts w:hint="eastAsia" w:ascii="宋体" w:hAnsi="宋体" w:eastAsia="宋体" w:cs="宋体"/>
          <w:bCs/>
          <w:snapToGrid/>
          <w:sz w:val="24"/>
        </w:rPr>
        <w:t>1</w:t>
      </w:r>
      <w:r>
        <w:rPr>
          <w:rStyle w:val="96"/>
          <w:rFonts w:ascii="宋体" w:hAnsi="宋体" w:eastAsia="宋体" w:cs="宋体"/>
          <w:bCs/>
          <w:snapToGrid/>
          <w:sz w:val="24"/>
        </w:rPr>
        <w:t>4</w:t>
      </w:r>
      <w:r>
        <w:rPr>
          <w:rStyle w:val="96"/>
          <w:rFonts w:hint="eastAsia" w:ascii="宋体" w:hAnsi="宋体" w:eastAsia="宋体" w:cs="宋体"/>
          <w:bCs/>
          <w:snapToGrid/>
          <w:sz w:val="24"/>
        </w:rPr>
        <w:t>年版）、《江苏省建设工程费用定额》（2014年）、《省住房城乡建设厅关于建筑业实施营改增后江苏省建设工程计价依据调整的通知》（苏建价【2016】154号）、《省住房城乡建设厅关于调整建设工程计价增值税税率的通知》（苏建函价【2019】178号）以及相应的补充规定和江苏省、南通市现行的有关文件。本工程采用一般计税法。</w:t>
      </w:r>
    </w:p>
    <w:p w14:paraId="4AF71AC1">
      <w:pPr>
        <w:adjustRightInd w:val="0"/>
        <w:snapToGrid w:val="0"/>
        <w:spacing w:line="360" w:lineRule="auto"/>
        <w:ind w:firstLine="480" w:firstLineChars="200"/>
        <w:rPr>
          <w:rStyle w:val="96"/>
          <w:rFonts w:ascii="宋体" w:hAnsi="宋体" w:eastAsia="宋体" w:cs="宋体"/>
          <w:bCs/>
          <w:snapToGrid/>
          <w:sz w:val="24"/>
          <w:highlight w:val="yellow"/>
        </w:rPr>
      </w:pPr>
      <w:r>
        <w:rPr>
          <w:rStyle w:val="96"/>
          <w:rFonts w:hint="eastAsia" w:ascii="宋体" w:hAnsi="宋体" w:eastAsia="宋体" w:cs="宋体"/>
          <w:bCs/>
          <w:sz w:val="24"/>
        </w:rPr>
        <w:t>3.3</w:t>
      </w:r>
      <w:r>
        <w:rPr>
          <w:rFonts w:hint="eastAsia" w:ascii="宋体" w:hAnsi="宋体" w:eastAsia="宋体" w:cs="宋体"/>
          <w:bCs/>
          <w:sz w:val="24"/>
        </w:rPr>
        <w:t>人工工资执行江苏省住房和城乡建设厅《关于发布建设工程人工工资指导价的通知》（苏建函价</w:t>
      </w:r>
      <w:r>
        <w:rPr>
          <w:rFonts w:hint="eastAsia" w:ascii="宋体" w:hAnsi="宋体" w:eastAsia="宋体" w:cs="宋体"/>
          <w:bCs/>
          <w:sz w:val="24"/>
          <w:lang w:eastAsia="zh-CN"/>
        </w:rPr>
        <w:t>〔2025〕62号</w:t>
      </w:r>
      <w:r>
        <w:rPr>
          <w:rFonts w:ascii="宋体" w:hAnsi="宋体" w:eastAsia="宋体" w:cs="宋体"/>
          <w:bCs/>
          <w:sz w:val="24"/>
        </w:rPr>
        <w:t>）</w:t>
      </w:r>
      <w:r>
        <w:rPr>
          <w:rStyle w:val="96"/>
          <w:rFonts w:hint="eastAsia" w:ascii="宋体" w:hAnsi="宋体" w:eastAsia="宋体" w:cs="宋体"/>
          <w:bCs/>
          <w:snapToGrid/>
          <w:sz w:val="24"/>
        </w:rPr>
        <w:t>。</w:t>
      </w:r>
    </w:p>
    <w:p w14:paraId="31D7C018">
      <w:pPr>
        <w:adjustRightInd w:val="0"/>
        <w:snapToGrid w:val="0"/>
        <w:spacing w:line="360" w:lineRule="auto"/>
        <w:ind w:firstLine="480" w:firstLineChars="200"/>
        <w:rPr>
          <w:rStyle w:val="96"/>
          <w:rFonts w:ascii="宋体" w:hAnsi="宋体" w:eastAsia="宋体" w:cs="宋体"/>
          <w:bCs/>
          <w:sz w:val="24"/>
          <w:highlight w:val="yellow"/>
        </w:rPr>
      </w:pPr>
      <w:r>
        <w:rPr>
          <w:rStyle w:val="96"/>
          <w:rFonts w:hint="eastAsia" w:ascii="宋体" w:hAnsi="宋体" w:eastAsia="宋体" w:cs="宋体"/>
          <w:bCs/>
          <w:snapToGrid/>
          <w:sz w:val="24"/>
        </w:rPr>
        <w:t>3.4 材料价格执行《南通建设工程造价信息》</w:t>
      </w:r>
      <w:r>
        <w:rPr>
          <w:rStyle w:val="96"/>
          <w:rFonts w:hint="eastAsia" w:ascii="宋体" w:hAnsi="宋体" w:eastAsia="宋体" w:cs="宋体"/>
          <w:bCs/>
          <w:snapToGrid/>
          <w:sz w:val="24"/>
          <w:lang w:eastAsia="zh-CN"/>
        </w:rPr>
        <w:t xml:space="preserve"> 2025年第</w:t>
      </w:r>
      <w:r>
        <w:rPr>
          <w:rStyle w:val="96"/>
          <w:rFonts w:hint="eastAsia" w:ascii="宋体" w:hAnsi="宋体" w:eastAsia="宋体" w:cs="宋体"/>
          <w:bCs/>
          <w:snapToGrid/>
          <w:sz w:val="24"/>
          <w:lang w:val="en-US" w:eastAsia="zh-CN"/>
        </w:rPr>
        <w:t>1</w:t>
      </w:r>
      <w:r>
        <w:rPr>
          <w:rStyle w:val="96"/>
          <w:rFonts w:hint="eastAsia" w:ascii="宋体" w:hAnsi="宋体" w:eastAsia="宋体" w:cs="宋体"/>
          <w:bCs/>
          <w:snapToGrid/>
          <w:sz w:val="24"/>
          <w:lang w:eastAsia="zh-CN"/>
        </w:rPr>
        <w:t>期</w:t>
      </w:r>
      <w:r>
        <w:rPr>
          <w:rStyle w:val="96"/>
          <w:rFonts w:hint="eastAsia" w:ascii="宋体" w:hAnsi="宋体" w:eastAsia="宋体" w:cs="宋体"/>
          <w:bCs/>
          <w:snapToGrid/>
          <w:sz w:val="24"/>
        </w:rPr>
        <w:t>指导价，指导价缺项的材料价格则按市场询价，该价格已考虑营改增的调整内容，材料按指导价中含税价格除税；措施项</w:t>
      </w:r>
      <w:r>
        <w:rPr>
          <w:rStyle w:val="96"/>
          <w:rFonts w:hint="eastAsia" w:ascii="宋体" w:hAnsi="宋体" w:eastAsia="宋体" w:cs="宋体"/>
          <w:bCs/>
          <w:sz w:val="24"/>
        </w:rPr>
        <w:t xml:space="preserve">目费用考虑工程所在地常用的施工技术和施工方案计取。 </w:t>
      </w:r>
    </w:p>
    <w:p w14:paraId="433F41EB">
      <w:pPr>
        <w:snapToGrid w:val="0"/>
        <w:spacing w:line="360" w:lineRule="auto"/>
        <w:ind w:firstLine="480" w:firstLineChars="200"/>
        <w:rPr>
          <w:rFonts w:ascii="宋体" w:hAnsi="宋体" w:eastAsia="宋体" w:cs="宋体"/>
          <w:b/>
          <w:color w:val="000000"/>
          <w:sz w:val="24"/>
        </w:rPr>
      </w:pPr>
      <w:r>
        <w:rPr>
          <w:rStyle w:val="96"/>
          <w:rFonts w:hint="eastAsia" w:ascii="宋体" w:hAnsi="宋体" w:eastAsia="宋体" w:cs="宋体"/>
          <w:bCs/>
          <w:sz w:val="24"/>
        </w:rPr>
        <w:t>3.5 不可竞争费用按以下标准计取</w:t>
      </w:r>
      <w:r>
        <w:rPr>
          <w:rFonts w:hint="eastAsia" w:ascii="宋体" w:hAnsi="宋体" w:eastAsia="宋体" w:cs="宋体"/>
          <w:b/>
          <w:color w:val="000000"/>
          <w:sz w:val="24"/>
        </w:rPr>
        <w:t xml:space="preserve"> </w:t>
      </w:r>
    </w:p>
    <w:tbl>
      <w:tblPr>
        <w:tblStyle w:val="88"/>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81"/>
        <w:gridCol w:w="2127"/>
        <w:gridCol w:w="1531"/>
        <w:gridCol w:w="1531"/>
      </w:tblGrid>
      <w:tr w14:paraId="4704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2" w:type="dxa"/>
            <w:vAlign w:val="center"/>
          </w:tcPr>
          <w:p w14:paraId="17900E76">
            <w:pPr>
              <w:widowControl/>
              <w:jc w:val="center"/>
              <w:rPr>
                <w:rFonts w:ascii="宋体" w:hAnsi="宋体" w:eastAsia="宋体" w:cs="宋体"/>
                <w:snapToGrid/>
                <w:kern w:val="2"/>
                <w:sz w:val="24"/>
              </w:rPr>
            </w:pPr>
            <w:r>
              <w:rPr>
                <w:rFonts w:hint="eastAsia" w:ascii="宋体" w:hAnsi="宋体" w:eastAsia="宋体" w:cs="宋体"/>
                <w:snapToGrid/>
                <w:kern w:val="2"/>
                <w:sz w:val="24"/>
              </w:rPr>
              <w:t>序号</w:t>
            </w:r>
          </w:p>
        </w:tc>
        <w:tc>
          <w:tcPr>
            <w:tcW w:w="2381" w:type="dxa"/>
            <w:vAlign w:val="center"/>
          </w:tcPr>
          <w:p w14:paraId="1729F203">
            <w:pPr>
              <w:widowControl/>
              <w:jc w:val="center"/>
              <w:rPr>
                <w:rFonts w:ascii="宋体" w:hAnsi="宋体" w:eastAsia="宋体" w:cs="宋体"/>
                <w:snapToGrid/>
                <w:kern w:val="2"/>
                <w:sz w:val="24"/>
              </w:rPr>
            </w:pPr>
            <w:r>
              <w:rPr>
                <w:rFonts w:hint="eastAsia" w:ascii="宋体" w:hAnsi="宋体" w:eastAsia="宋体" w:cs="宋体"/>
                <w:snapToGrid/>
                <w:kern w:val="2"/>
                <w:sz w:val="24"/>
              </w:rPr>
              <w:t>费用</w:t>
            </w:r>
          </w:p>
          <w:p w14:paraId="65619535">
            <w:pPr>
              <w:widowControl/>
              <w:jc w:val="center"/>
              <w:rPr>
                <w:rFonts w:ascii="宋体" w:hAnsi="宋体" w:eastAsia="宋体" w:cs="宋体"/>
                <w:snapToGrid/>
                <w:kern w:val="2"/>
                <w:sz w:val="24"/>
              </w:rPr>
            </w:pPr>
            <w:r>
              <w:rPr>
                <w:rFonts w:hint="eastAsia" w:ascii="宋体" w:hAnsi="宋体" w:eastAsia="宋体" w:cs="宋体"/>
                <w:snapToGrid/>
                <w:kern w:val="2"/>
                <w:sz w:val="24"/>
              </w:rPr>
              <w:t>类别</w:t>
            </w:r>
          </w:p>
        </w:tc>
        <w:tc>
          <w:tcPr>
            <w:tcW w:w="2127" w:type="dxa"/>
            <w:vAlign w:val="center"/>
          </w:tcPr>
          <w:p w14:paraId="67A26549">
            <w:pPr>
              <w:widowControl/>
              <w:jc w:val="center"/>
              <w:rPr>
                <w:rFonts w:ascii="宋体" w:hAnsi="宋体" w:eastAsia="宋体" w:cs="宋体"/>
                <w:snapToGrid/>
                <w:kern w:val="2"/>
                <w:sz w:val="24"/>
              </w:rPr>
            </w:pPr>
            <w:r>
              <w:rPr>
                <w:rFonts w:hint="eastAsia" w:ascii="宋体" w:hAnsi="宋体" w:eastAsia="宋体" w:cs="宋体"/>
                <w:snapToGrid/>
                <w:kern w:val="2"/>
                <w:sz w:val="24"/>
              </w:rPr>
              <w:t>费用名称</w:t>
            </w:r>
          </w:p>
        </w:tc>
        <w:tc>
          <w:tcPr>
            <w:tcW w:w="1531" w:type="dxa"/>
            <w:vAlign w:val="center"/>
          </w:tcPr>
          <w:p w14:paraId="56E12F80">
            <w:pPr>
              <w:widowControl/>
              <w:jc w:val="center"/>
              <w:rPr>
                <w:rFonts w:ascii="宋体" w:hAnsi="宋体" w:eastAsia="宋体" w:cs="宋体"/>
                <w:snapToGrid/>
                <w:kern w:val="2"/>
                <w:sz w:val="24"/>
              </w:rPr>
            </w:pPr>
            <w:r>
              <w:rPr>
                <w:rFonts w:hint="eastAsia" w:ascii="宋体" w:hAnsi="宋体" w:eastAsia="宋体" w:cs="宋体"/>
                <w:snapToGrid/>
                <w:kern w:val="2"/>
                <w:sz w:val="24"/>
              </w:rPr>
              <w:t>计费基数</w:t>
            </w:r>
          </w:p>
        </w:tc>
        <w:tc>
          <w:tcPr>
            <w:tcW w:w="1531" w:type="dxa"/>
            <w:vAlign w:val="center"/>
          </w:tcPr>
          <w:p w14:paraId="5E7AC8A6">
            <w:pPr>
              <w:widowControl/>
              <w:jc w:val="center"/>
              <w:rPr>
                <w:rFonts w:ascii="宋体" w:hAnsi="宋体" w:eastAsia="宋体" w:cs="宋体"/>
                <w:snapToGrid/>
                <w:kern w:val="2"/>
                <w:sz w:val="24"/>
              </w:rPr>
            </w:pPr>
            <w:r>
              <w:rPr>
                <w:rFonts w:hint="eastAsia" w:ascii="宋体" w:hAnsi="宋体" w:eastAsia="宋体" w:cs="宋体"/>
                <w:snapToGrid/>
                <w:kern w:val="2"/>
                <w:sz w:val="24"/>
              </w:rPr>
              <w:t>安装%</w:t>
            </w:r>
          </w:p>
        </w:tc>
      </w:tr>
      <w:tr w14:paraId="6638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3FCDF265">
            <w:pPr>
              <w:widowControl/>
              <w:jc w:val="center"/>
              <w:rPr>
                <w:rFonts w:ascii="宋体" w:hAnsi="宋体" w:eastAsia="宋体" w:cs="宋体"/>
                <w:snapToGrid/>
                <w:kern w:val="2"/>
                <w:sz w:val="24"/>
              </w:rPr>
            </w:pPr>
            <w:r>
              <w:rPr>
                <w:rFonts w:hint="eastAsia" w:ascii="宋体" w:hAnsi="宋体" w:eastAsia="宋体" w:cs="宋体"/>
                <w:snapToGrid/>
                <w:kern w:val="2"/>
                <w:sz w:val="24"/>
              </w:rPr>
              <w:t>1</w:t>
            </w:r>
          </w:p>
        </w:tc>
        <w:tc>
          <w:tcPr>
            <w:tcW w:w="2381" w:type="dxa"/>
            <w:vMerge w:val="restart"/>
            <w:vAlign w:val="center"/>
          </w:tcPr>
          <w:p w14:paraId="13601104">
            <w:pPr>
              <w:widowControl/>
              <w:jc w:val="center"/>
              <w:rPr>
                <w:rFonts w:ascii="宋体" w:hAnsi="宋体" w:eastAsia="宋体" w:cs="宋体"/>
                <w:snapToGrid/>
                <w:kern w:val="2"/>
                <w:sz w:val="24"/>
              </w:rPr>
            </w:pPr>
            <w:r>
              <w:rPr>
                <w:rFonts w:hint="eastAsia" w:ascii="宋体" w:hAnsi="宋体" w:eastAsia="宋体" w:cs="宋体"/>
                <w:snapToGrid/>
                <w:kern w:val="2"/>
                <w:sz w:val="24"/>
              </w:rPr>
              <w:t>规 费</w:t>
            </w:r>
          </w:p>
        </w:tc>
        <w:tc>
          <w:tcPr>
            <w:tcW w:w="2127" w:type="dxa"/>
            <w:vAlign w:val="center"/>
          </w:tcPr>
          <w:p w14:paraId="49649ABB">
            <w:pPr>
              <w:widowControl/>
              <w:jc w:val="center"/>
              <w:rPr>
                <w:rFonts w:ascii="宋体" w:hAnsi="宋体" w:eastAsia="宋体" w:cs="宋体"/>
                <w:snapToGrid/>
                <w:kern w:val="2"/>
                <w:sz w:val="24"/>
              </w:rPr>
            </w:pPr>
            <w:r>
              <w:rPr>
                <w:rFonts w:hint="eastAsia" w:ascii="宋体" w:hAnsi="宋体" w:eastAsia="宋体" w:cs="宋体"/>
                <w:snapToGrid/>
                <w:kern w:val="2"/>
                <w:sz w:val="24"/>
              </w:rPr>
              <w:t>社会保险费</w:t>
            </w:r>
          </w:p>
        </w:tc>
        <w:tc>
          <w:tcPr>
            <w:tcW w:w="1531" w:type="dxa"/>
            <w:vAlign w:val="center"/>
          </w:tcPr>
          <w:p w14:paraId="550D438F">
            <w:pPr>
              <w:widowControl/>
              <w:jc w:val="center"/>
              <w:rPr>
                <w:rFonts w:ascii="宋体" w:hAnsi="宋体" w:eastAsia="宋体" w:cs="宋体"/>
                <w:snapToGrid/>
                <w:kern w:val="2"/>
                <w:sz w:val="24"/>
              </w:rPr>
            </w:pPr>
            <w:r>
              <w:rPr>
                <w:rFonts w:hint="eastAsia" w:ascii="宋体" w:hAnsi="宋体" w:eastAsia="宋体" w:cs="宋体"/>
                <w:snapToGrid/>
                <w:kern w:val="2"/>
                <w:sz w:val="24"/>
              </w:rPr>
              <w:t>A+B+C-D</w:t>
            </w:r>
          </w:p>
        </w:tc>
        <w:tc>
          <w:tcPr>
            <w:tcW w:w="1531" w:type="dxa"/>
            <w:vAlign w:val="center"/>
          </w:tcPr>
          <w:p w14:paraId="5E009543">
            <w:pPr>
              <w:widowControl/>
              <w:jc w:val="center"/>
              <w:rPr>
                <w:rFonts w:ascii="宋体" w:hAnsi="宋体" w:eastAsia="宋体" w:cs="宋体"/>
                <w:snapToGrid/>
                <w:kern w:val="2"/>
                <w:sz w:val="24"/>
              </w:rPr>
            </w:pPr>
            <w:r>
              <w:rPr>
                <w:rFonts w:hint="eastAsia" w:ascii="宋体" w:hAnsi="宋体" w:eastAsia="宋体" w:cs="宋体"/>
                <w:snapToGrid/>
                <w:kern w:val="2"/>
                <w:sz w:val="24"/>
              </w:rPr>
              <w:t>2.40</w:t>
            </w:r>
          </w:p>
        </w:tc>
      </w:tr>
      <w:tr w14:paraId="4758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1B089025">
            <w:pPr>
              <w:widowControl/>
              <w:jc w:val="center"/>
              <w:rPr>
                <w:rFonts w:ascii="宋体" w:hAnsi="宋体" w:eastAsia="宋体" w:cs="宋体"/>
                <w:snapToGrid/>
                <w:kern w:val="2"/>
                <w:sz w:val="24"/>
              </w:rPr>
            </w:pPr>
            <w:r>
              <w:rPr>
                <w:rFonts w:hint="eastAsia" w:ascii="宋体" w:hAnsi="宋体" w:eastAsia="宋体" w:cs="宋体"/>
                <w:snapToGrid/>
                <w:kern w:val="2"/>
                <w:sz w:val="24"/>
              </w:rPr>
              <w:t>2</w:t>
            </w:r>
          </w:p>
        </w:tc>
        <w:tc>
          <w:tcPr>
            <w:tcW w:w="2381" w:type="dxa"/>
            <w:vMerge w:val="continue"/>
            <w:vAlign w:val="center"/>
          </w:tcPr>
          <w:p w14:paraId="5E40C99D">
            <w:pPr>
              <w:jc w:val="center"/>
              <w:rPr>
                <w:rFonts w:ascii="宋体" w:hAnsi="宋体" w:eastAsia="宋体"/>
                <w:snapToGrid/>
                <w:kern w:val="2"/>
                <w:sz w:val="24"/>
              </w:rPr>
            </w:pPr>
          </w:p>
        </w:tc>
        <w:tc>
          <w:tcPr>
            <w:tcW w:w="2127" w:type="dxa"/>
            <w:vAlign w:val="center"/>
          </w:tcPr>
          <w:p w14:paraId="0ADB47B8">
            <w:pPr>
              <w:widowControl/>
              <w:jc w:val="center"/>
              <w:rPr>
                <w:rFonts w:ascii="宋体" w:hAnsi="宋体" w:eastAsia="宋体" w:cs="宋体"/>
                <w:snapToGrid/>
                <w:kern w:val="2"/>
                <w:sz w:val="24"/>
              </w:rPr>
            </w:pPr>
            <w:r>
              <w:rPr>
                <w:rFonts w:hint="eastAsia" w:ascii="宋体" w:hAnsi="宋体" w:eastAsia="宋体" w:cs="宋体"/>
                <w:snapToGrid/>
                <w:kern w:val="2"/>
                <w:sz w:val="24"/>
              </w:rPr>
              <w:t>住房公积金</w:t>
            </w:r>
          </w:p>
        </w:tc>
        <w:tc>
          <w:tcPr>
            <w:tcW w:w="1531" w:type="dxa"/>
            <w:vAlign w:val="center"/>
          </w:tcPr>
          <w:p w14:paraId="2D50F4F6">
            <w:pPr>
              <w:widowControl/>
              <w:jc w:val="center"/>
              <w:rPr>
                <w:rFonts w:ascii="宋体" w:hAnsi="宋体" w:eastAsia="宋体" w:cs="宋体"/>
                <w:snapToGrid/>
                <w:kern w:val="2"/>
                <w:sz w:val="24"/>
              </w:rPr>
            </w:pPr>
            <w:r>
              <w:rPr>
                <w:rFonts w:hint="eastAsia" w:ascii="宋体" w:hAnsi="宋体" w:eastAsia="宋体" w:cs="宋体"/>
                <w:snapToGrid/>
                <w:kern w:val="2"/>
                <w:sz w:val="24"/>
              </w:rPr>
              <w:t>A+B+C-D</w:t>
            </w:r>
          </w:p>
        </w:tc>
        <w:tc>
          <w:tcPr>
            <w:tcW w:w="1531" w:type="dxa"/>
            <w:vAlign w:val="center"/>
          </w:tcPr>
          <w:p w14:paraId="2D792061">
            <w:pPr>
              <w:widowControl/>
              <w:jc w:val="center"/>
              <w:rPr>
                <w:rFonts w:ascii="宋体" w:hAnsi="宋体" w:eastAsia="宋体" w:cs="宋体"/>
                <w:snapToGrid/>
                <w:kern w:val="2"/>
                <w:sz w:val="24"/>
              </w:rPr>
            </w:pPr>
            <w:r>
              <w:rPr>
                <w:rFonts w:hint="eastAsia" w:ascii="宋体" w:hAnsi="宋体" w:eastAsia="宋体" w:cs="宋体"/>
                <w:snapToGrid/>
                <w:kern w:val="2"/>
                <w:sz w:val="24"/>
              </w:rPr>
              <w:t>0.42</w:t>
            </w:r>
          </w:p>
        </w:tc>
      </w:tr>
      <w:tr w14:paraId="6391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723D5B00">
            <w:pPr>
              <w:widowControl/>
              <w:jc w:val="center"/>
              <w:rPr>
                <w:rFonts w:ascii="宋体" w:hAnsi="宋体" w:eastAsia="宋体" w:cs="宋体"/>
                <w:snapToGrid/>
                <w:kern w:val="2"/>
                <w:sz w:val="24"/>
              </w:rPr>
            </w:pPr>
            <w:r>
              <w:rPr>
                <w:rFonts w:hint="eastAsia" w:ascii="宋体" w:hAnsi="宋体" w:eastAsia="宋体" w:cs="宋体"/>
                <w:snapToGrid/>
                <w:kern w:val="2"/>
                <w:sz w:val="24"/>
              </w:rPr>
              <w:t>3</w:t>
            </w:r>
          </w:p>
        </w:tc>
        <w:tc>
          <w:tcPr>
            <w:tcW w:w="2381" w:type="dxa"/>
            <w:vMerge w:val="restart"/>
            <w:vAlign w:val="center"/>
          </w:tcPr>
          <w:p w14:paraId="371B7EE0">
            <w:pPr>
              <w:widowControl/>
              <w:jc w:val="center"/>
              <w:rPr>
                <w:rFonts w:ascii="宋体" w:hAnsi="宋体" w:eastAsia="宋体" w:cs="宋体"/>
                <w:snapToGrid/>
                <w:kern w:val="2"/>
                <w:sz w:val="24"/>
              </w:rPr>
            </w:pPr>
            <w:r>
              <w:rPr>
                <w:rFonts w:hint="eastAsia" w:ascii="宋体" w:hAnsi="宋体" w:eastAsia="宋体" w:cs="宋体"/>
                <w:snapToGrid/>
                <w:kern w:val="2"/>
                <w:sz w:val="24"/>
              </w:rPr>
              <w:t>安全文明施工措施费</w:t>
            </w:r>
          </w:p>
        </w:tc>
        <w:tc>
          <w:tcPr>
            <w:tcW w:w="2127" w:type="dxa"/>
            <w:vAlign w:val="center"/>
          </w:tcPr>
          <w:p w14:paraId="035E1256">
            <w:pPr>
              <w:adjustRightInd w:val="0"/>
              <w:snapToGrid w:val="0"/>
              <w:jc w:val="center"/>
              <w:rPr>
                <w:rFonts w:ascii="宋体" w:hAnsi="宋体" w:eastAsia="宋体" w:cs="宋体"/>
                <w:snapToGrid/>
                <w:kern w:val="2"/>
                <w:sz w:val="24"/>
              </w:rPr>
            </w:pPr>
            <w:r>
              <w:rPr>
                <w:rFonts w:hint="eastAsia" w:ascii="宋体" w:hAnsi="宋体" w:eastAsia="宋体" w:cs="宋体"/>
                <w:snapToGrid/>
                <w:kern w:val="2"/>
                <w:sz w:val="24"/>
              </w:rPr>
              <w:t>基本费</w:t>
            </w:r>
          </w:p>
        </w:tc>
        <w:tc>
          <w:tcPr>
            <w:tcW w:w="1531" w:type="dxa"/>
            <w:vAlign w:val="center"/>
          </w:tcPr>
          <w:p w14:paraId="2A45A399">
            <w:pPr>
              <w:adjustRightInd w:val="0"/>
              <w:snapToGrid w:val="0"/>
              <w:jc w:val="center"/>
              <w:rPr>
                <w:rFonts w:ascii="宋体" w:hAnsi="宋体" w:eastAsia="宋体" w:cs="宋体"/>
                <w:snapToGrid/>
                <w:kern w:val="2"/>
                <w:sz w:val="24"/>
              </w:rPr>
            </w:pPr>
            <w:r>
              <w:rPr>
                <w:rFonts w:hint="eastAsia" w:ascii="宋体" w:hAnsi="宋体" w:eastAsia="宋体" w:cs="宋体"/>
                <w:snapToGrid/>
                <w:kern w:val="2"/>
                <w:sz w:val="24"/>
              </w:rPr>
              <w:t>A+</w:t>
            </w:r>
            <w:r>
              <w:rPr>
                <w:rFonts w:ascii="宋体" w:hAnsi="宋体" w:eastAsia="宋体" w:cs="宋体"/>
                <w:snapToGrid/>
                <w:kern w:val="2"/>
                <w:sz w:val="24"/>
              </w:rPr>
              <w:t>E</w:t>
            </w:r>
            <w:r>
              <w:rPr>
                <w:rFonts w:hint="eastAsia" w:ascii="宋体" w:hAnsi="宋体" w:eastAsia="宋体" w:cs="宋体"/>
                <w:snapToGrid/>
                <w:kern w:val="2"/>
                <w:sz w:val="24"/>
              </w:rPr>
              <w:t>-D</w:t>
            </w:r>
          </w:p>
        </w:tc>
        <w:tc>
          <w:tcPr>
            <w:tcW w:w="1531" w:type="dxa"/>
            <w:vAlign w:val="center"/>
          </w:tcPr>
          <w:p w14:paraId="6D932384">
            <w:pPr>
              <w:adjustRightInd w:val="0"/>
              <w:snapToGrid w:val="0"/>
              <w:jc w:val="center"/>
              <w:rPr>
                <w:rFonts w:ascii="宋体" w:hAnsi="宋体" w:eastAsia="宋体" w:cs="宋体"/>
                <w:snapToGrid/>
                <w:kern w:val="2"/>
                <w:sz w:val="24"/>
              </w:rPr>
            </w:pPr>
            <w:r>
              <w:rPr>
                <w:rFonts w:hint="eastAsia" w:ascii="宋体" w:hAnsi="宋体" w:eastAsia="宋体" w:cs="宋体"/>
                <w:snapToGrid/>
                <w:kern w:val="2"/>
                <w:sz w:val="24"/>
              </w:rPr>
              <w:t>1.50</w:t>
            </w:r>
          </w:p>
        </w:tc>
      </w:tr>
      <w:tr w14:paraId="2842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52252CE2">
            <w:pPr>
              <w:widowControl/>
              <w:jc w:val="center"/>
              <w:rPr>
                <w:rFonts w:ascii="宋体" w:hAnsi="宋体" w:eastAsia="宋体" w:cs="宋体"/>
                <w:snapToGrid/>
                <w:kern w:val="2"/>
                <w:sz w:val="24"/>
              </w:rPr>
            </w:pPr>
            <w:r>
              <w:rPr>
                <w:rFonts w:hint="eastAsia" w:ascii="宋体" w:hAnsi="宋体" w:eastAsia="宋体" w:cs="宋体"/>
                <w:snapToGrid/>
                <w:kern w:val="2"/>
                <w:sz w:val="24"/>
              </w:rPr>
              <w:t>4</w:t>
            </w:r>
          </w:p>
        </w:tc>
        <w:tc>
          <w:tcPr>
            <w:tcW w:w="2381" w:type="dxa"/>
            <w:vMerge w:val="continue"/>
            <w:vAlign w:val="center"/>
          </w:tcPr>
          <w:p w14:paraId="54FB4C2C">
            <w:pPr>
              <w:jc w:val="center"/>
              <w:rPr>
                <w:rFonts w:ascii="宋体" w:hAnsi="宋体" w:eastAsia="宋体" w:cs="宋体"/>
                <w:snapToGrid/>
                <w:kern w:val="2"/>
                <w:sz w:val="24"/>
              </w:rPr>
            </w:pPr>
          </w:p>
        </w:tc>
        <w:tc>
          <w:tcPr>
            <w:tcW w:w="2127" w:type="dxa"/>
            <w:vAlign w:val="center"/>
          </w:tcPr>
          <w:p w14:paraId="2CD82273">
            <w:pPr>
              <w:jc w:val="center"/>
              <w:rPr>
                <w:rFonts w:ascii="宋体" w:hAnsi="宋体" w:eastAsia="宋体" w:cs="宋体"/>
                <w:snapToGrid/>
                <w:kern w:val="2"/>
                <w:sz w:val="24"/>
              </w:rPr>
            </w:pPr>
            <w:r>
              <w:rPr>
                <w:rFonts w:hint="eastAsia" w:ascii="宋体" w:hAnsi="宋体" w:eastAsia="宋体" w:cs="宋体"/>
                <w:snapToGrid/>
                <w:kern w:val="2"/>
                <w:sz w:val="24"/>
              </w:rPr>
              <w:t>扬尘污染防治增加费</w:t>
            </w:r>
          </w:p>
        </w:tc>
        <w:tc>
          <w:tcPr>
            <w:tcW w:w="1531" w:type="dxa"/>
            <w:vAlign w:val="center"/>
          </w:tcPr>
          <w:p w14:paraId="5523CF7D">
            <w:pPr>
              <w:jc w:val="center"/>
              <w:rPr>
                <w:rFonts w:ascii="宋体" w:hAnsi="宋体" w:eastAsia="宋体" w:cs="宋体"/>
                <w:snapToGrid/>
                <w:kern w:val="2"/>
                <w:sz w:val="24"/>
              </w:rPr>
            </w:pPr>
            <w:r>
              <w:rPr>
                <w:rFonts w:hint="eastAsia" w:ascii="宋体" w:hAnsi="宋体" w:eastAsia="宋体" w:cs="宋体"/>
                <w:snapToGrid/>
                <w:kern w:val="2"/>
                <w:sz w:val="24"/>
              </w:rPr>
              <w:t>A+</w:t>
            </w:r>
            <w:r>
              <w:rPr>
                <w:rFonts w:ascii="宋体" w:hAnsi="宋体" w:eastAsia="宋体" w:cs="宋体"/>
                <w:snapToGrid/>
                <w:kern w:val="2"/>
                <w:sz w:val="24"/>
              </w:rPr>
              <w:t>E</w:t>
            </w:r>
            <w:r>
              <w:rPr>
                <w:rFonts w:hint="eastAsia" w:ascii="宋体" w:hAnsi="宋体" w:eastAsia="宋体" w:cs="宋体"/>
                <w:snapToGrid/>
                <w:kern w:val="2"/>
                <w:sz w:val="24"/>
              </w:rPr>
              <w:t>-D</w:t>
            </w:r>
          </w:p>
        </w:tc>
        <w:tc>
          <w:tcPr>
            <w:tcW w:w="1531" w:type="dxa"/>
            <w:vAlign w:val="center"/>
          </w:tcPr>
          <w:p w14:paraId="1A4637D5">
            <w:pPr>
              <w:jc w:val="center"/>
              <w:rPr>
                <w:rFonts w:ascii="宋体" w:hAnsi="宋体" w:eastAsia="宋体" w:cs="宋体"/>
                <w:snapToGrid/>
                <w:kern w:val="2"/>
                <w:sz w:val="24"/>
              </w:rPr>
            </w:pPr>
            <w:r>
              <w:rPr>
                <w:rFonts w:hint="eastAsia" w:ascii="宋体" w:hAnsi="宋体" w:eastAsia="宋体" w:cs="宋体"/>
                <w:snapToGrid/>
                <w:kern w:val="2"/>
                <w:sz w:val="24"/>
              </w:rPr>
              <w:t>0.21</w:t>
            </w:r>
          </w:p>
        </w:tc>
      </w:tr>
      <w:tr w14:paraId="4AA2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5076B759">
            <w:pPr>
              <w:widowControl/>
              <w:jc w:val="center"/>
              <w:rPr>
                <w:rFonts w:ascii="宋体" w:hAnsi="宋体" w:eastAsia="宋体" w:cs="宋体"/>
                <w:snapToGrid/>
                <w:kern w:val="2"/>
                <w:sz w:val="24"/>
              </w:rPr>
            </w:pPr>
            <w:r>
              <w:rPr>
                <w:rFonts w:hint="eastAsia" w:ascii="宋体" w:hAnsi="宋体" w:eastAsia="宋体" w:cs="宋体"/>
                <w:snapToGrid/>
                <w:kern w:val="2"/>
                <w:sz w:val="24"/>
              </w:rPr>
              <w:t>5</w:t>
            </w:r>
          </w:p>
        </w:tc>
        <w:tc>
          <w:tcPr>
            <w:tcW w:w="2381" w:type="dxa"/>
            <w:vAlign w:val="center"/>
          </w:tcPr>
          <w:p w14:paraId="2F9B2742">
            <w:pPr>
              <w:widowControl/>
              <w:jc w:val="center"/>
              <w:rPr>
                <w:rFonts w:ascii="宋体" w:hAnsi="宋体" w:eastAsia="宋体" w:cs="宋体"/>
                <w:snapToGrid/>
                <w:kern w:val="2"/>
                <w:sz w:val="24"/>
              </w:rPr>
            </w:pPr>
            <w:r>
              <w:rPr>
                <w:rFonts w:hint="eastAsia" w:ascii="宋体" w:hAnsi="宋体" w:eastAsia="宋体" w:cs="宋体"/>
                <w:snapToGrid/>
                <w:kern w:val="2"/>
                <w:sz w:val="24"/>
              </w:rPr>
              <w:t>税  金</w:t>
            </w:r>
          </w:p>
        </w:tc>
        <w:tc>
          <w:tcPr>
            <w:tcW w:w="2127" w:type="dxa"/>
            <w:vAlign w:val="center"/>
          </w:tcPr>
          <w:p w14:paraId="21368507">
            <w:pPr>
              <w:widowControl/>
              <w:jc w:val="center"/>
              <w:rPr>
                <w:rFonts w:ascii="宋体" w:hAnsi="宋体" w:eastAsia="宋体" w:cs="宋体"/>
                <w:snapToGrid/>
                <w:kern w:val="2"/>
                <w:sz w:val="24"/>
              </w:rPr>
            </w:pPr>
            <w:r>
              <w:rPr>
                <w:rFonts w:hint="eastAsia" w:ascii="宋体" w:hAnsi="宋体" w:eastAsia="宋体" w:cs="宋体"/>
                <w:snapToGrid/>
                <w:kern w:val="2"/>
                <w:sz w:val="24"/>
              </w:rPr>
              <w:t>税   金</w:t>
            </w:r>
          </w:p>
        </w:tc>
        <w:tc>
          <w:tcPr>
            <w:tcW w:w="1531" w:type="dxa"/>
            <w:vAlign w:val="center"/>
          </w:tcPr>
          <w:p w14:paraId="5FB48D1F">
            <w:pPr>
              <w:widowControl/>
              <w:jc w:val="center"/>
              <w:rPr>
                <w:rFonts w:ascii="宋体" w:hAnsi="宋体" w:eastAsia="宋体" w:cs="宋体"/>
                <w:snapToGrid/>
                <w:kern w:val="2"/>
                <w:sz w:val="24"/>
              </w:rPr>
            </w:pPr>
            <w:r>
              <w:rPr>
                <w:rFonts w:hint="eastAsia" w:ascii="宋体" w:hAnsi="宋体" w:eastAsia="宋体" w:cs="宋体"/>
                <w:snapToGrid/>
                <w:kern w:val="2"/>
                <w:sz w:val="24"/>
              </w:rPr>
              <w:t>税前造价</w:t>
            </w:r>
          </w:p>
        </w:tc>
        <w:tc>
          <w:tcPr>
            <w:tcW w:w="1531" w:type="dxa"/>
            <w:vAlign w:val="center"/>
          </w:tcPr>
          <w:p w14:paraId="0BEDA409">
            <w:pPr>
              <w:widowControl/>
              <w:jc w:val="center"/>
              <w:rPr>
                <w:rFonts w:ascii="宋体" w:hAnsi="宋体" w:eastAsia="宋体" w:cs="宋体"/>
                <w:snapToGrid/>
                <w:kern w:val="2"/>
                <w:sz w:val="24"/>
              </w:rPr>
            </w:pPr>
            <w:r>
              <w:rPr>
                <w:rFonts w:hint="eastAsia" w:ascii="宋体" w:hAnsi="宋体" w:eastAsia="宋体" w:cs="宋体"/>
                <w:snapToGrid/>
                <w:kern w:val="2"/>
                <w:sz w:val="24"/>
              </w:rPr>
              <w:t>9.00</w:t>
            </w:r>
          </w:p>
        </w:tc>
      </w:tr>
    </w:tbl>
    <w:p w14:paraId="01B81B07">
      <w:pPr>
        <w:snapToGrid w:val="0"/>
        <w:spacing w:line="360" w:lineRule="auto"/>
        <w:ind w:firstLine="472" w:firstLineChars="196"/>
        <w:rPr>
          <w:rFonts w:ascii="宋体" w:hAnsi="宋体" w:eastAsia="宋体" w:cs="宋体"/>
          <w:sz w:val="24"/>
        </w:rPr>
      </w:pPr>
      <w:r>
        <w:rPr>
          <w:rFonts w:hint="eastAsia" w:ascii="宋体" w:hAnsi="宋体" w:eastAsia="宋体" w:cs="宋体"/>
          <w:b/>
          <w:sz w:val="24"/>
        </w:rPr>
        <w:t>注：1、计算基数：A为分部分项工程量清单费用，B为措施项目清单费用，C其它项目的费用，D除税工程设备费，E单价措施项目费。</w:t>
      </w:r>
    </w:p>
    <w:p w14:paraId="57DAD09C">
      <w:pPr>
        <w:snapToGrid w:val="0"/>
        <w:spacing w:line="360" w:lineRule="auto"/>
        <w:ind w:firstLine="954" w:firstLineChars="396"/>
        <w:rPr>
          <w:rFonts w:ascii="宋体" w:hAnsi="宋体" w:eastAsia="宋体" w:cs="宋体"/>
          <w:b/>
          <w:sz w:val="24"/>
        </w:rPr>
      </w:pPr>
      <w:r>
        <w:rPr>
          <w:rFonts w:hint="eastAsia" w:ascii="宋体" w:hAnsi="宋体" w:eastAsia="宋体" w:cs="宋体"/>
          <w:b/>
          <w:sz w:val="24"/>
        </w:rPr>
        <w:t>2、安全文明施工措施费最终以有关部门核定的为准，否则在总价中扣除。</w:t>
      </w:r>
    </w:p>
    <w:p w14:paraId="2BB29289">
      <w:pPr>
        <w:tabs>
          <w:tab w:val="left" w:pos="0"/>
          <w:tab w:val="left" w:pos="993"/>
          <w:tab w:val="left" w:pos="1134"/>
        </w:tabs>
        <w:snapToGrid w:val="0"/>
        <w:spacing w:line="360" w:lineRule="auto"/>
        <w:ind w:firstLine="482" w:firstLineChars="200"/>
        <w:rPr>
          <w:rStyle w:val="96"/>
          <w:rFonts w:ascii="宋体" w:hAnsi="宋体" w:eastAsia="宋体" w:cs="宋体"/>
          <w:bCs/>
          <w:sz w:val="24"/>
        </w:rPr>
      </w:pPr>
      <w:r>
        <w:rPr>
          <w:rFonts w:hint="eastAsia" w:ascii="宋体" w:hAnsi="宋体" w:eastAsia="宋体" w:cs="宋体"/>
          <w:b/>
          <w:sz w:val="24"/>
        </w:rPr>
        <w:t>3.5.</w:t>
      </w:r>
      <w:r>
        <w:rPr>
          <w:rFonts w:hint="eastAsia" w:ascii="宋体" w:hAnsi="宋体" w:eastAsia="宋体" w:cs="宋体"/>
          <w:b/>
          <w:sz w:val="24"/>
          <w:lang w:val="en-US" w:eastAsia="zh-CN"/>
        </w:rPr>
        <w:t>1</w:t>
      </w:r>
      <w:r>
        <w:rPr>
          <w:rFonts w:hint="eastAsia" w:ascii="宋体" w:hAnsi="宋体" w:eastAsia="宋体" w:cs="宋体"/>
          <w:bCs/>
          <w:sz w:val="24"/>
        </w:rPr>
        <w:t>其它有关费率</w:t>
      </w:r>
      <w:r>
        <w:rPr>
          <w:rFonts w:hint="eastAsia" w:ascii="宋体" w:hAnsi="宋体" w:eastAsia="宋体" w:cs="宋体"/>
          <w:b/>
          <w:sz w:val="24"/>
        </w:rPr>
        <w:t>：详见工程量清单。</w:t>
      </w:r>
    </w:p>
    <w:p w14:paraId="05E48B0E">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4、磋商响应报价的计价依据</w:t>
      </w:r>
    </w:p>
    <w:p w14:paraId="1616AC25">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按照国家统一的工程量清单计价规范，配套使用江苏省建筑与装饰、安装工程定额、费用计算规则和项目指引，由采购单位提供工程量，各供应商自主报价确定工程造价的计价方式。</w:t>
      </w:r>
    </w:p>
    <w:p w14:paraId="7F0D4F1B">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5、磋商响应报价方式：</w:t>
      </w:r>
    </w:p>
    <w:p w14:paraId="3D72B9ED">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本工程项目采用</w:t>
      </w:r>
      <w:r>
        <w:rPr>
          <w:rFonts w:hint="eastAsia" w:ascii="宋体" w:hAnsi="宋体" w:eastAsia="宋体" w:cs="宋体"/>
          <w:b/>
          <w:bCs/>
          <w:color w:val="000000"/>
          <w:sz w:val="24"/>
          <w:u w:val="single"/>
        </w:rPr>
        <w:t>固定单价报价</w:t>
      </w:r>
      <w:r>
        <w:rPr>
          <w:rFonts w:hint="eastAsia" w:ascii="宋体" w:hAnsi="宋体" w:eastAsia="宋体" w:cs="宋体"/>
          <w:bCs/>
          <w:color w:val="000000"/>
          <w:sz w:val="24"/>
        </w:rPr>
        <w:t>方式。工程量的风险由采购单位承担，价格风险在约定风险范围内的，由成交供应商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793E0D9F">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6、磋商响应报价编制要求</w:t>
      </w:r>
      <w:bookmarkStart w:id="83" w:name="_Toc288209247"/>
      <w:bookmarkStart w:id="84" w:name="_Toc268498924"/>
      <w:bookmarkStart w:id="85" w:name="_Toc289792062"/>
    </w:p>
    <w:p w14:paraId="6D85A5F6">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6.1供应商按本企业定额，无企业定额的，参照招标控制价编制依据。</w:t>
      </w:r>
    </w:p>
    <w:p w14:paraId="66B5C3B4">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6.2采用工程量清单计价方式，供应商不得采用总价让利或以总价百分比让利等办法进行磋商响应报价。</w:t>
      </w:r>
    </w:p>
    <w:p w14:paraId="41A83D8A">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6.3除供应商自行补充的措施项目外，磋商响应报价的项目编码、项目名称、计量单位、工程量必须与采购单位提供的一致。</w:t>
      </w:r>
    </w:p>
    <w:p w14:paraId="0AD29BE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6.4工程量清单中供应商没有填入单价或价格的子目，其费用视为已分摊在工程量清单中其他子目的单价或价格之中。</w:t>
      </w:r>
    </w:p>
    <w:p w14:paraId="57C47F25">
      <w:pPr>
        <w:snapToGrid w:val="0"/>
        <w:spacing w:line="360" w:lineRule="auto"/>
        <w:ind w:firstLine="482"/>
        <w:rPr>
          <w:rFonts w:ascii="宋体" w:hAnsi="宋体" w:eastAsia="宋体" w:cs="宋体"/>
          <w:color w:val="000000"/>
          <w:sz w:val="24"/>
        </w:rPr>
      </w:pPr>
      <w:r>
        <w:rPr>
          <w:rFonts w:hint="eastAsia" w:ascii="宋体" w:hAnsi="宋体" w:eastAsia="宋体" w:cs="宋体"/>
          <w:color w:val="000000"/>
          <w:sz w:val="24"/>
        </w:rPr>
        <w:t>6.5</w:t>
      </w:r>
      <w:r>
        <w:rPr>
          <w:rFonts w:hint="eastAsia" w:ascii="宋体" w:hAnsi="宋体" w:eastAsia="宋体" w:cs="宋体"/>
          <w:bCs/>
          <w:color w:val="000000"/>
          <w:sz w:val="24"/>
        </w:rPr>
        <w:t>磋商响应报价</w:t>
      </w:r>
      <w:r>
        <w:rPr>
          <w:rFonts w:hint="eastAsia" w:ascii="宋体" w:hAnsi="宋体" w:eastAsia="宋体" w:cs="宋体"/>
          <w:color w:val="000000"/>
          <w:sz w:val="24"/>
        </w:rPr>
        <w:t>应根据磋商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磋商响应报价中所报设备、材料其规格、尺寸、等级不得低于清单的要求。成交供应商应根据清单确定的标准、等级、规格组织施工。</w:t>
      </w:r>
    </w:p>
    <w:p w14:paraId="70B1C0C5">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6.6供应商不得擅自改动采购单位提供的工程量清单上的内容。若对提供的工程量清单内容有疑义，请将书面疑问材料在规定的时间和方法向</w:t>
      </w:r>
      <w:r>
        <w:rPr>
          <w:rFonts w:hint="eastAsia" w:ascii="宋体" w:hAnsi="宋体" w:eastAsia="宋体" w:cs="宋体"/>
          <w:snapToGrid/>
          <w:kern w:val="2"/>
          <w:sz w:val="24"/>
        </w:rPr>
        <w:t>采购代理机构</w:t>
      </w:r>
      <w:r>
        <w:rPr>
          <w:rFonts w:hint="eastAsia" w:ascii="宋体" w:hAnsi="宋体" w:eastAsia="宋体" w:cs="宋体"/>
          <w:color w:val="000000"/>
          <w:sz w:val="24"/>
        </w:rPr>
        <w:t>提出，其中清单内容的书面疑问材料经采购单位组织核实确认后提供最终工程量清单，供应商在磋商响应报价时，不得增减清单工程量。</w:t>
      </w:r>
    </w:p>
    <w:p w14:paraId="595B2DE6">
      <w:pPr>
        <w:snapToGrid w:val="0"/>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6.7本工程施工期间涉及环保、城市卫生、市政、居委会、派出所等相关部门收取的费用，以及夜间文明施工、保护周边地下管线和架空线的安全的费用等，供应商</w:t>
      </w:r>
      <w:r>
        <w:rPr>
          <w:rFonts w:hint="eastAsia" w:ascii="宋体" w:hAnsi="宋体" w:eastAsia="宋体" w:cs="宋体"/>
          <w:sz w:val="24"/>
        </w:rPr>
        <w:t>均应综合考虑在磋商响应报价中，竣工结算时一律不作调整。</w:t>
      </w:r>
    </w:p>
    <w:p w14:paraId="301E4026">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sz w:val="24"/>
        </w:rPr>
        <w:t>6.8</w:t>
      </w:r>
      <w:r>
        <w:rPr>
          <w:rFonts w:hint="eastAsia" w:ascii="宋体" w:hAnsi="宋体" w:eastAsia="宋体" w:cs="宋体"/>
          <w:color w:val="000000"/>
          <w:sz w:val="24"/>
        </w:rPr>
        <w:t>供应商</w:t>
      </w:r>
      <w:r>
        <w:rPr>
          <w:rFonts w:hint="eastAsia" w:ascii="宋体" w:hAnsi="宋体" w:eastAsia="宋体" w:cs="宋体"/>
          <w:sz w:val="24"/>
        </w:rPr>
        <w:t>应认真踏勘施工现场，考虑因各种困难因素所发生的一切费用由</w:t>
      </w:r>
      <w:r>
        <w:rPr>
          <w:rFonts w:hint="eastAsia" w:ascii="宋体" w:hAnsi="宋体" w:eastAsia="宋体" w:cs="宋体"/>
          <w:color w:val="000000"/>
          <w:sz w:val="24"/>
        </w:rPr>
        <w:t>供应商</w:t>
      </w:r>
      <w:r>
        <w:rPr>
          <w:rFonts w:hint="eastAsia" w:ascii="宋体" w:hAnsi="宋体" w:eastAsia="宋体" w:cs="宋体"/>
          <w:sz w:val="24"/>
        </w:rPr>
        <w:t>自行考虑，并在</w:t>
      </w:r>
      <w:r>
        <w:rPr>
          <w:rFonts w:hint="eastAsia" w:ascii="宋体" w:hAnsi="宋体" w:eastAsia="宋体" w:cs="宋体"/>
          <w:color w:val="000000"/>
          <w:sz w:val="24"/>
        </w:rPr>
        <w:t>磋商响应报价中予以体现，以后不得以此为由提出额外增加费用的要求。水、电接驳，按发包人指定地点，定量表记、接至施工现场管线由供应商自行考虑，费用包含在磋商响应报价中。现场自来水及电源接入点现场具体位置由供应商现场踏勘。</w:t>
      </w:r>
    </w:p>
    <w:p w14:paraId="55B181F1">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6.9施工场地周围地下管线和临近建筑物及构筑物的保护，由成交供应商采取保护措施，协调处理，费用包含在磋商响应报价中，竣工结算时一律不作调整。</w:t>
      </w:r>
    </w:p>
    <w:p w14:paraId="5D618ED4">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6.10因施工场地狭小发生的一切费用由各供应商自行考虑，所有费用包含在磋商响应报价中，竣工结算时一律不作调整。</w:t>
      </w:r>
    </w:p>
    <w:p w14:paraId="5E8DA4B9">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6.11赶工费、按质论价费、二次搬运费、特殊条件下施工增加费、冬雨季施工增加费、夜间施工增加费、临时设施费、已完工程及设备保护费、检验试验费等措施费由各供应商自行考虑，列入磋商响应报价，一次性包定，结算时一律不作调整。 </w:t>
      </w:r>
    </w:p>
    <w:p w14:paraId="2E557D99">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6.12本工程垂直运输及安装脚手架由供应商自行考虑，并计入报价，结算时一律不做调整。</w:t>
      </w:r>
    </w:p>
    <w:p w14:paraId="450448ED">
      <w:pPr>
        <w:snapToGrid w:val="0"/>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6.13</w:t>
      </w:r>
      <w:r>
        <w:rPr>
          <w:rFonts w:hint="eastAsia" w:ascii="宋体" w:hAnsi="宋体" w:eastAsia="宋体" w:cs="宋体"/>
          <w:sz w:val="24"/>
        </w:rPr>
        <w:t>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1AB0C6D0">
      <w:pPr>
        <w:snapToGrid w:val="0"/>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6.14</w:t>
      </w:r>
      <w:r>
        <w:rPr>
          <w:rFonts w:hint="eastAsia" w:ascii="宋体" w:hAnsi="宋体" w:eastAsia="宋体" w:cs="宋体"/>
          <w:sz w:val="24"/>
        </w:rPr>
        <w:t>成交供应商</w:t>
      </w:r>
      <w:r>
        <w:rPr>
          <w:rFonts w:hint="eastAsia" w:ascii="宋体" w:hAnsi="宋体" w:eastAsia="宋体" w:cs="宋体"/>
          <w:color w:val="000000"/>
          <w:sz w:val="24"/>
        </w:rPr>
        <w:t>应</w:t>
      </w:r>
      <w:r>
        <w:rPr>
          <w:rFonts w:hint="eastAsia" w:ascii="宋体" w:hAnsi="宋体" w:eastAsia="宋体" w:cs="宋体"/>
          <w:sz w:val="24"/>
        </w:rPr>
        <w:t>独立、有效地做好该工程周边的有关群众工作，如噪音、扬尘等，独立、有效地做好该工程周边的有关群众工作并充分考虑工程实施范围内外的单位、个人和其他可能出现阻挠施工的情况，若发生的机械台班停置费、二次机械进退场费、人员窝工、处理周边群众纠纷等费用和损失，由供应商自行考虑，并列入磋商响应报价，工程竣工结算时不作调整。</w:t>
      </w:r>
    </w:p>
    <w:p w14:paraId="18CD0257">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sz w:val="24"/>
        </w:rPr>
        <w:t>6.15供应商应自行踏勘施工现场，并在磋商响应报价中综合考虑施工机械设备、材料进出场、二次搬运等涉及所有费用并</w:t>
      </w:r>
      <w:r>
        <w:rPr>
          <w:rFonts w:hint="eastAsia" w:ascii="宋体" w:hAnsi="宋体" w:eastAsia="宋体" w:cs="宋体"/>
          <w:color w:val="000000"/>
          <w:sz w:val="24"/>
        </w:rPr>
        <w:t>计入报价，成交后不得以场地现状及条件为由提出额外要求和增加工程费用，采购单位不再对此项费用另行签证。</w:t>
      </w:r>
    </w:p>
    <w:p w14:paraId="3C458102">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6.16作为一个有经验的承包商，磋商响应报价时应考虑施工过程中可能发生的各种风险因素，在整个工程施工过程中，若发生对周边相关构筑物、设施损坏的，</w:t>
      </w:r>
      <w:r>
        <w:rPr>
          <w:rFonts w:hint="eastAsia" w:ascii="宋体" w:hAnsi="宋体" w:eastAsia="宋体" w:cs="宋体"/>
          <w:sz w:val="24"/>
        </w:rPr>
        <w:t>成交供应商</w:t>
      </w:r>
      <w:r>
        <w:rPr>
          <w:rFonts w:hint="eastAsia" w:ascii="宋体" w:hAnsi="宋体" w:eastAsia="宋体" w:cs="宋体"/>
          <w:color w:val="000000"/>
          <w:sz w:val="24"/>
        </w:rPr>
        <w:t>必须负责更换或修复，直至得到采购单位的认可，期间涉及的所有费用由供应商承担，采购单位不再另行支付该项费用，结算时一律不作调整。</w:t>
      </w:r>
    </w:p>
    <w:p w14:paraId="0E7835D2">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6.17在实际施工中，采购单位可以无条件要求施工单位更换不符合要求的产品，购进的材料设备与提供的样品不一致时，由</w:t>
      </w:r>
      <w:r>
        <w:rPr>
          <w:rFonts w:hint="eastAsia" w:ascii="宋体" w:hAnsi="宋体" w:eastAsia="宋体" w:cs="宋体"/>
          <w:sz w:val="24"/>
        </w:rPr>
        <w:t>成交供应商</w:t>
      </w:r>
      <w:r>
        <w:rPr>
          <w:rFonts w:hint="eastAsia" w:ascii="宋体" w:hAnsi="宋体" w:eastAsia="宋体" w:cs="宋体"/>
          <w:color w:val="000000"/>
          <w:sz w:val="24"/>
        </w:rPr>
        <w:t>无条件退货，如因使用不符合国家标准及各项指标的材料，由此引起的相关费用由</w:t>
      </w:r>
      <w:r>
        <w:rPr>
          <w:rFonts w:hint="eastAsia" w:ascii="宋体" w:hAnsi="宋体" w:eastAsia="宋体" w:cs="宋体"/>
          <w:sz w:val="24"/>
        </w:rPr>
        <w:t>成交供应商</w:t>
      </w:r>
      <w:r>
        <w:rPr>
          <w:rFonts w:hint="eastAsia" w:ascii="宋体" w:hAnsi="宋体" w:eastAsia="宋体" w:cs="宋体"/>
          <w:color w:val="000000"/>
          <w:sz w:val="24"/>
        </w:rPr>
        <w:t>承担，结算时一律不作调整。</w:t>
      </w:r>
    </w:p>
    <w:p w14:paraId="6D8DA6C8">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6.18</w:t>
      </w:r>
      <w:r>
        <w:rPr>
          <w:rFonts w:hint="eastAsia" w:ascii="宋体" w:hAnsi="宋体" w:eastAsia="宋体" w:cs="宋体"/>
          <w:color w:val="000000"/>
          <w:sz w:val="24"/>
        </w:rPr>
        <w:t>供应商根据施工现场情况及现行规定，自行根据可行的施工方案对措施费自行增加清单进行报价，结算时，除工程变更引起施工方案改变外，</w:t>
      </w:r>
      <w:r>
        <w:rPr>
          <w:rFonts w:hint="eastAsia" w:ascii="宋体" w:hAnsi="宋体" w:eastAsia="宋体" w:cs="宋体"/>
          <w:sz w:val="24"/>
        </w:rPr>
        <w:t>成交供应商</w:t>
      </w:r>
      <w:r>
        <w:rPr>
          <w:rFonts w:hint="eastAsia" w:ascii="宋体" w:hAnsi="宋体" w:eastAsia="宋体" w:cs="宋体"/>
          <w:color w:val="000000"/>
          <w:sz w:val="24"/>
        </w:rPr>
        <w:t>不得以采购工程</w:t>
      </w:r>
      <w:r>
        <w:rPr>
          <w:rFonts w:hint="eastAsia" w:ascii="宋体" w:hAnsi="宋体" w:eastAsia="宋体" w:cs="宋体"/>
          <w:sz w:val="24"/>
        </w:rPr>
        <w:t>措施项目缺项为由要求新增措施项目，结算时一律不作调整。</w:t>
      </w:r>
    </w:p>
    <w:p w14:paraId="1411FA93">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6.19若供应商在磋商响应报价时擅自改变磋商文件及清单内容，评审时未被发现，实际施工时均按磋商文件及清单内容执行，结算时不予调整。</w:t>
      </w:r>
    </w:p>
    <w:p w14:paraId="3A1DE923">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6.20供应商确定磋商响应报价，同时应考虑合同中包含的风险、责任等各项费用。</w:t>
      </w:r>
    </w:p>
    <w:p w14:paraId="5F09CC3D">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6.21</w:t>
      </w:r>
      <w:r>
        <w:rPr>
          <w:rFonts w:hint="eastAsia" w:ascii="宋体" w:hAnsi="宋体" w:eastAsia="宋体" w:cs="宋体"/>
          <w:sz w:val="24"/>
        </w:rPr>
        <w:t>供应商工地踏勘应充分了解工地位</w:t>
      </w:r>
      <w:r>
        <w:rPr>
          <w:rFonts w:hint="eastAsia" w:ascii="宋体" w:hAnsi="宋体" w:eastAsia="宋体" w:cs="宋体"/>
          <w:color w:val="000000"/>
          <w:sz w:val="24"/>
        </w:rPr>
        <w:t>置情况，道路、储存空间、装卸限制及任何其它足以影响报价的情况，任何忽视或误解工地情况而导致的索赔及工期延长申请将不被批准。</w:t>
      </w:r>
    </w:p>
    <w:p w14:paraId="041F25E7">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6.22成交供应商不得拒绝完成采购单位在施工地点范围内变更或要求增加和减少的工程内容。</w:t>
      </w:r>
    </w:p>
    <w:p w14:paraId="3DAA3448">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6.23报价书中的工程数量乘以综合单价必须等于合价。</w:t>
      </w:r>
    </w:p>
    <w:p w14:paraId="1C7DA3EE">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6.24磋商确定磋商响应报价时应考虑施工过程中运出的建筑垃圾等必须运出施工现场范围以外，否则，除须接受相关部门的处罚外，发现一次采购单位将视情节严重向成交供应商收取的履约保证金的10-20%，并有权要求其重新清运出。清运前成交供应商必须向采购单位指明堆放地点(该地点必须符合建筑垃圾(渣土)管理中心要求)，建筑垃圾(渣土)管理中心收取的建筑垃圾处置费由供应商考虑在报价中。</w:t>
      </w:r>
    </w:p>
    <w:p w14:paraId="7ADF1B1A">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6.25成交供应商须在工程竣工前拆除现场所有临时设施，包括所有的机械设备、建筑垃圾及剩余材料全部清运出场，相关费用由各供应商在报价时自行考虑到磋商响应报价中，竣工结算时不作任何调整。清理标准应得到采购单位的认可，否则如发生相关费用则由采购单位在工程结算价款中扣除。</w:t>
      </w:r>
    </w:p>
    <w:p w14:paraId="3F502439">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6.26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4CFF78BF">
      <w:pPr>
        <w:snapToGrid w:val="0"/>
        <w:spacing w:line="360" w:lineRule="auto"/>
        <w:ind w:firstLine="480" w:firstLineChars="200"/>
        <w:rPr>
          <w:rFonts w:hint="eastAsia" w:ascii="宋体" w:hAnsi="宋体" w:eastAsia="宋体" w:cs="宋体"/>
          <w:b/>
          <w:bCs/>
          <w:color w:val="000000"/>
          <w:sz w:val="24"/>
        </w:rPr>
      </w:pPr>
      <w:r>
        <w:rPr>
          <w:rFonts w:hint="eastAsia" w:ascii="宋体" w:hAnsi="宋体" w:eastAsia="宋体" w:cs="宋体"/>
          <w:color w:val="000000"/>
          <w:sz w:val="24"/>
        </w:rPr>
        <w:t>6.27</w:t>
      </w:r>
      <w:r>
        <w:rPr>
          <w:rFonts w:hint="eastAsia" w:ascii="宋体" w:hAnsi="宋体" w:eastAsia="宋体" w:cs="宋体"/>
          <w:b/>
          <w:bCs/>
          <w:color w:val="000000"/>
          <w:sz w:val="24"/>
        </w:rPr>
        <w:t>本</w:t>
      </w:r>
      <w:r>
        <w:rPr>
          <w:rFonts w:hint="eastAsia" w:ascii="宋体" w:hAnsi="宋体" w:eastAsia="宋体" w:cs="宋体"/>
          <w:b/>
          <w:bCs/>
          <w:color w:val="000000"/>
          <w:sz w:val="24"/>
          <w:lang w:eastAsia="zh-CN"/>
        </w:rPr>
        <w:t>项目</w:t>
      </w:r>
      <w:r>
        <w:rPr>
          <w:rFonts w:hint="eastAsia" w:ascii="宋体" w:hAnsi="宋体" w:eastAsia="宋体" w:cs="宋体"/>
          <w:b/>
          <w:bCs/>
          <w:color w:val="000000"/>
          <w:sz w:val="24"/>
        </w:rPr>
        <w:t>主要设备、材料推荐品牌如下表，供应商须按照</w:t>
      </w: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人推荐的品牌范围并根据市场行情自行考虑报价</w:t>
      </w:r>
      <w:r>
        <w:rPr>
          <w:rFonts w:hint="eastAsia" w:ascii="宋体" w:hAnsi="宋体" w:eastAsia="宋体" w:cs="宋体"/>
          <w:b/>
          <w:bCs/>
          <w:color w:val="000000"/>
          <w:sz w:val="24"/>
          <w:lang w:eastAsia="zh-CN"/>
        </w:rPr>
        <w:t>并</w:t>
      </w:r>
      <w:r>
        <w:rPr>
          <w:rFonts w:hint="eastAsia" w:ascii="宋体" w:hAnsi="宋体" w:eastAsia="宋体" w:cs="宋体"/>
          <w:b/>
          <w:bCs/>
          <w:color w:val="000000"/>
          <w:sz w:val="24"/>
        </w:rPr>
        <w:t>注明所报品牌，若供应商在报价文件中未注明品牌的，则</w:t>
      </w: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人可指定下列推荐品牌中的任一种，且价格不予调整。主要材料推荐品牌如下：</w:t>
      </w:r>
    </w:p>
    <w:tbl>
      <w:tblPr>
        <w:tblStyle w:val="88"/>
        <w:tblW w:w="91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3054"/>
        <w:gridCol w:w="5372"/>
      </w:tblGrid>
      <w:tr w14:paraId="7A01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9" w:type="dxa"/>
            <w:vAlign w:val="center"/>
          </w:tcPr>
          <w:p w14:paraId="47472092">
            <w:pPr>
              <w:snapToGrid w:val="0"/>
              <w:spacing w:line="360" w:lineRule="auto"/>
              <w:ind w:firstLine="482" w:firstLineChars="200"/>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1</w:t>
            </w:r>
          </w:p>
        </w:tc>
        <w:tc>
          <w:tcPr>
            <w:tcW w:w="3054" w:type="dxa"/>
            <w:vAlign w:val="center"/>
          </w:tcPr>
          <w:p w14:paraId="51288626">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五级净水器</w:t>
            </w:r>
          </w:p>
        </w:tc>
        <w:tc>
          <w:tcPr>
            <w:tcW w:w="5372" w:type="dxa"/>
            <w:vAlign w:val="center"/>
          </w:tcPr>
          <w:p w14:paraId="71748622">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泉帝、白雪、碧涞</w:t>
            </w:r>
          </w:p>
        </w:tc>
      </w:tr>
      <w:tr w14:paraId="79E8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9" w:type="dxa"/>
            <w:vAlign w:val="center"/>
          </w:tcPr>
          <w:p w14:paraId="27F76D4A">
            <w:pPr>
              <w:snapToGrid w:val="0"/>
              <w:spacing w:line="360" w:lineRule="auto"/>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w:t>
            </w:r>
          </w:p>
        </w:tc>
        <w:tc>
          <w:tcPr>
            <w:tcW w:w="3054" w:type="dxa"/>
            <w:vAlign w:val="center"/>
          </w:tcPr>
          <w:p w14:paraId="2F0BC606">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滤渣型榨汁机</w:t>
            </w:r>
          </w:p>
        </w:tc>
        <w:tc>
          <w:tcPr>
            <w:tcW w:w="5372" w:type="dxa"/>
            <w:vAlign w:val="center"/>
          </w:tcPr>
          <w:p w14:paraId="43E20370">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禧膳、美菱、慧仁</w:t>
            </w:r>
          </w:p>
        </w:tc>
      </w:tr>
      <w:tr w14:paraId="357A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9" w:type="dxa"/>
            <w:vAlign w:val="center"/>
          </w:tcPr>
          <w:p w14:paraId="5007526B">
            <w:pPr>
              <w:snapToGrid w:val="0"/>
              <w:spacing w:line="360" w:lineRule="auto"/>
              <w:ind w:firstLine="482" w:firstLineChars="200"/>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3</w:t>
            </w:r>
          </w:p>
        </w:tc>
        <w:tc>
          <w:tcPr>
            <w:tcW w:w="3054" w:type="dxa"/>
            <w:vAlign w:val="center"/>
          </w:tcPr>
          <w:p w14:paraId="34315932">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风幕柜</w:t>
            </w:r>
          </w:p>
        </w:tc>
        <w:tc>
          <w:tcPr>
            <w:tcW w:w="5372" w:type="dxa"/>
            <w:vAlign w:val="center"/>
          </w:tcPr>
          <w:p w14:paraId="2B57341B">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auto"/>
                <w:sz w:val="24"/>
              </w:rPr>
              <w:t>星星</w:t>
            </w:r>
            <w:r>
              <w:rPr>
                <w:rFonts w:hint="eastAsia" w:ascii="宋体" w:hAnsi="宋体" w:eastAsia="宋体" w:cs="宋体"/>
                <w:b/>
                <w:bCs/>
                <w:color w:val="000000"/>
                <w:sz w:val="24"/>
              </w:rPr>
              <w:t>、喜莱盛、鲁戈</w:t>
            </w:r>
          </w:p>
        </w:tc>
      </w:tr>
      <w:tr w14:paraId="32A3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9" w:type="dxa"/>
            <w:vAlign w:val="center"/>
          </w:tcPr>
          <w:p w14:paraId="2EEA203B">
            <w:pPr>
              <w:snapToGrid w:val="0"/>
              <w:spacing w:line="360" w:lineRule="auto"/>
              <w:ind w:firstLine="482" w:firstLineChars="200"/>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4</w:t>
            </w:r>
          </w:p>
        </w:tc>
        <w:tc>
          <w:tcPr>
            <w:tcW w:w="3054" w:type="dxa"/>
            <w:vAlign w:val="center"/>
          </w:tcPr>
          <w:p w14:paraId="76D5694F">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冷冻展示柜</w:t>
            </w:r>
          </w:p>
        </w:tc>
        <w:tc>
          <w:tcPr>
            <w:tcW w:w="5372" w:type="dxa"/>
            <w:vAlign w:val="center"/>
          </w:tcPr>
          <w:p w14:paraId="7AAB4305">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星星、智冰客、星奥雪</w:t>
            </w:r>
          </w:p>
        </w:tc>
      </w:tr>
      <w:tr w14:paraId="0AD0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9" w:type="dxa"/>
            <w:vAlign w:val="center"/>
          </w:tcPr>
          <w:p w14:paraId="642D2DA2">
            <w:pPr>
              <w:snapToGrid w:val="0"/>
              <w:spacing w:line="360" w:lineRule="auto"/>
              <w:ind w:firstLine="482" w:firstLineChars="200"/>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5</w:t>
            </w:r>
          </w:p>
        </w:tc>
        <w:tc>
          <w:tcPr>
            <w:tcW w:w="3054" w:type="dxa"/>
            <w:vAlign w:val="center"/>
          </w:tcPr>
          <w:p w14:paraId="30286CAF">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柜式空调</w:t>
            </w:r>
          </w:p>
        </w:tc>
        <w:tc>
          <w:tcPr>
            <w:tcW w:w="5372" w:type="dxa"/>
            <w:vAlign w:val="center"/>
          </w:tcPr>
          <w:p w14:paraId="0253648B">
            <w:pPr>
              <w:snapToGrid w:val="0"/>
              <w:spacing w:line="360" w:lineRule="auto"/>
              <w:ind w:firstLine="482" w:firstLineChars="200"/>
              <w:rPr>
                <w:rFonts w:hint="eastAsia" w:ascii="宋体" w:hAnsi="宋体" w:eastAsia="宋体" w:cs="宋体"/>
                <w:b/>
                <w:bCs/>
                <w:color w:val="000000"/>
                <w:sz w:val="24"/>
                <w:lang w:eastAsia="zh-CN"/>
              </w:rPr>
            </w:pPr>
            <w:r>
              <w:rPr>
                <w:rFonts w:hint="eastAsia" w:ascii="宋体" w:hAnsi="宋体" w:eastAsia="宋体" w:cs="宋体"/>
                <w:b/>
                <w:bCs/>
                <w:color w:val="000000"/>
                <w:sz w:val="24"/>
              </w:rPr>
              <w:t>格力、美的、大金</w:t>
            </w:r>
            <w:r>
              <w:rPr>
                <w:rFonts w:hint="eastAsia" w:ascii="宋体" w:hAnsi="宋体" w:eastAsia="宋体" w:cs="宋体"/>
                <w:b/>
                <w:bCs/>
                <w:color w:val="000000"/>
                <w:sz w:val="24"/>
                <w:lang w:eastAsia="zh-CN"/>
              </w:rPr>
              <w:t>（2级及以上能效标准）</w:t>
            </w:r>
          </w:p>
        </w:tc>
      </w:tr>
    </w:tbl>
    <w:p w14:paraId="361FFA6C">
      <w:pPr>
        <w:snapToGrid w:val="0"/>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注：</w:t>
      </w:r>
      <w:r>
        <w:rPr>
          <w:rFonts w:hint="eastAsia" w:ascii="宋体" w:hAnsi="宋体" w:eastAsia="宋体" w:cs="宋体"/>
          <w:b/>
          <w:bCs/>
          <w:color w:val="000000"/>
          <w:sz w:val="24"/>
          <w:lang w:val="en-US" w:eastAsia="zh-CN"/>
        </w:rPr>
        <w:t>能耗要求：</w:t>
      </w:r>
      <w:r>
        <w:rPr>
          <w:rFonts w:hint="eastAsia" w:ascii="宋体" w:hAnsi="宋体" w:eastAsia="宋体" w:cs="宋体"/>
          <w:b/>
          <w:bCs/>
          <w:color w:val="000000"/>
          <w:sz w:val="24"/>
        </w:rPr>
        <w:t>水处理器</w:t>
      </w:r>
      <w:r>
        <w:rPr>
          <w:rFonts w:hint="eastAsia" w:ascii="宋体" w:hAnsi="宋体" w:eastAsia="宋体" w:cs="宋体"/>
          <w:b/>
          <w:bCs/>
          <w:color w:val="000000"/>
          <w:sz w:val="24"/>
          <w:lang w:eastAsia="zh-CN"/>
        </w:rPr>
        <w:t>：能耗2级及以上水效标准；热水器、开水炉：能耗2级及以上能效标准；显示设备液晶电视机：2级及以上能效标准；成交供应商</w:t>
      </w:r>
      <w:r>
        <w:rPr>
          <w:rFonts w:hint="eastAsia" w:ascii="宋体" w:hAnsi="宋体" w:eastAsia="宋体" w:cs="宋体"/>
          <w:b/>
          <w:bCs/>
          <w:color w:val="000000"/>
          <w:sz w:val="24"/>
          <w:lang w:val="en-US" w:eastAsia="zh-CN"/>
        </w:rPr>
        <w:t>提供的设备不能低于以上能耗标准；</w:t>
      </w:r>
      <w:r>
        <w:rPr>
          <w:rFonts w:hint="eastAsia" w:ascii="宋体" w:hAnsi="宋体" w:eastAsia="宋体" w:cs="宋体"/>
          <w:b/>
          <w:bCs/>
          <w:color w:val="000000"/>
          <w:sz w:val="24"/>
        </w:rPr>
        <w:t>名录库外的材料采用国产中高档国标产品，所有材料须经</w:t>
      </w:r>
      <w:r>
        <w:rPr>
          <w:rFonts w:hint="eastAsia" w:ascii="宋体" w:hAnsi="宋体" w:eastAsia="宋体" w:cs="宋体"/>
          <w:b/>
          <w:bCs/>
          <w:color w:val="000000"/>
          <w:sz w:val="24"/>
          <w:lang w:eastAsia="zh-CN"/>
        </w:rPr>
        <w:t>采购人</w:t>
      </w:r>
      <w:r>
        <w:rPr>
          <w:rFonts w:hint="eastAsia" w:ascii="宋体" w:hAnsi="宋体" w:eastAsia="宋体" w:cs="宋体"/>
          <w:b/>
          <w:bCs/>
          <w:color w:val="000000"/>
          <w:sz w:val="24"/>
        </w:rPr>
        <w:t>确认后使用。</w:t>
      </w:r>
    </w:p>
    <w:p w14:paraId="0E749830">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6.28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4073347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6.29成交供应商在磋商响应文件中未明确品牌的，采购单位有权要求使用磋商文件工程推荐品牌表中任意一种品牌，成交供应商不得提出异议且不得提出增加任何费用的要求。</w:t>
      </w:r>
    </w:p>
    <w:p w14:paraId="0A59E08F">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sz w:val="24"/>
        </w:rPr>
        <w:t>6.30</w:t>
      </w:r>
      <w:r>
        <w:rPr>
          <w:rFonts w:hint="eastAsia" w:ascii="宋体" w:hAnsi="宋体" w:eastAsia="宋体" w:cs="宋体"/>
          <w:color w:val="000000"/>
          <w:sz w:val="24"/>
        </w:rPr>
        <w:t>因本项目位于办公楼内部，施工期间应尽量减少噪音或灰尘对周边的环境影响，并服从物业安排，各供应商必须在报价时综合考虑。</w:t>
      </w:r>
    </w:p>
    <w:p w14:paraId="2E6CA4D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6.31成交供应商的管理人员临时办公室、工人宿舍及配套生活用房须另行自理，不得设在施工场地区域内。因工程需要临时向其他单位租用场地的，由成交供应商自行解决，相关费用列入报价。</w:t>
      </w:r>
    </w:p>
    <w:p w14:paraId="7575220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6.32本工程量清单应与磋商文件（含合同条款）、技术要求、技术规范等文件结合起来阅读，除设计变更外，采购单位在工程量清单中未列明或项目特征描述不全，但供应商为满足采购单位、设计图纸的要求及国家、地方规范和标准等各种文件规定而必须完成的工作，供应商应计入工程量清单相应子目中，施工时不另行签证，结算时不作调整，工程结算时采购单位不为此类项目另外支付费用。 </w:t>
      </w:r>
    </w:p>
    <w:p w14:paraId="41FDE51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6.33成交供应商在施工过程中必须收集齐全所有隐蔽项目（包含但不限于管道开挖安放、开挖砌筑抹灰等）等施工全过程影像视频资料以供后期审计使用，在送审结算资料必须一并提交。所有签证资料必须附有详细影像彩色照片，所摄照片必须有可参照性。如影像资料未能反映签证、清单或磋商文件列明的工作内容，则结算时该项内容不予认可。</w:t>
      </w:r>
    </w:p>
    <w:p w14:paraId="4F76F2A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6.34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7B8663B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6.35如成交供应商在进场后发现施工图纸与现场不一致时，在施工前须与采购单位及监理方、设计方商定一致后，并按书面会商结果进行施工。</w:t>
      </w:r>
    </w:p>
    <w:p w14:paraId="615BBF0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6.36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1C238A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w:t>
      </w:r>
      <w:r>
        <w:rPr>
          <w:rFonts w:hint="eastAsia" w:ascii="宋体" w:hAnsi="宋体" w:eastAsia="宋体" w:cs="宋体"/>
          <w:sz w:val="24"/>
          <w:lang w:val="en-US" w:eastAsia="zh-CN"/>
        </w:rPr>
        <w:t>7</w:t>
      </w:r>
      <w:r>
        <w:rPr>
          <w:rFonts w:hint="eastAsia" w:ascii="宋体" w:hAnsi="宋体" w:eastAsia="宋体" w:cs="宋体"/>
          <w:sz w:val="24"/>
        </w:rPr>
        <w:t>其他未尽事宜在书面答疑中明确。</w:t>
      </w:r>
      <w:bookmarkEnd w:id="83"/>
      <w:bookmarkEnd w:id="84"/>
      <w:bookmarkEnd w:id="85"/>
    </w:p>
    <w:p w14:paraId="324C58E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hint="eastAsia" w:ascii="宋体" w:hAnsi="宋体" w:eastAsia="宋体" w:cs="宋体"/>
          <w:b/>
          <w:bCs/>
          <w:sz w:val="24"/>
          <w:szCs w:val="24"/>
          <w:highlight w:val="none"/>
        </w:rPr>
        <w:t>产品设备交付及安装调试服务日期：合同签订生效后</w:t>
      </w:r>
      <w:r>
        <w:rPr>
          <w:rFonts w:hint="eastAsia" w:ascii="宋体" w:hAnsi="宋体" w:eastAsia="宋体" w:cs="宋体"/>
          <w:b/>
          <w:bCs/>
          <w:sz w:val="24"/>
          <w:szCs w:val="24"/>
          <w:highlight w:val="none"/>
          <w:u w:val="single"/>
          <w:lang w:val="en-US" w:eastAsia="zh-CN"/>
        </w:rPr>
        <w:t>30</w:t>
      </w:r>
      <w:r>
        <w:rPr>
          <w:rFonts w:hint="eastAsia" w:ascii="宋体" w:hAnsi="宋体" w:eastAsia="宋体" w:cs="宋体"/>
          <w:b/>
          <w:bCs/>
          <w:sz w:val="24"/>
          <w:szCs w:val="24"/>
          <w:highlight w:val="none"/>
          <w:u w:val="none"/>
          <w:lang w:val="en-US" w:eastAsia="zh-CN"/>
        </w:rPr>
        <w:t>日</w:t>
      </w:r>
      <w:r>
        <w:rPr>
          <w:rFonts w:hint="eastAsia" w:ascii="宋体" w:hAnsi="宋体" w:eastAsia="宋体" w:cs="宋体"/>
          <w:b/>
          <w:bCs/>
          <w:sz w:val="24"/>
          <w:szCs w:val="24"/>
          <w:highlight w:val="none"/>
        </w:rPr>
        <w:t>历天完成所有产品生产及安装调试。</w:t>
      </w:r>
    </w:p>
    <w:p w14:paraId="26514D9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8、采购单位提供的工程量清单详见本文件第七部分。</w:t>
      </w:r>
    </w:p>
    <w:p w14:paraId="66E694D7">
      <w:pPr>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lang w:val="en-US" w:eastAsia="zh-CN"/>
        </w:rPr>
        <w:t>9</w:t>
      </w:r>
      <w:r>
        <w:rPr>
          <w:rFonts w:hint="eastAsia" w:ascii="宋体" w:hAnsi="宋体" w:eastAsia="宋体" w:cs="宋体"/>
          <w:snapToGrid/>
          <w:kern w:val="2"/>
          <w:sz w:val="24"/>
        </w:rPr>
        <w:t>、</w:t>
      </w:r>
      <w:r>
        <w:rPr>
          <w:rFonts w:hint="eastAsia" w:ascii="宋体" w:hAnsi="宋体" w:eastAsia="宋体" w:cs="宋体"/>
          <w:sz w:val="24"/>
        </w:rPr>
        <w:t>其他未尽事宜按磋商文件相关规定执行。如磋商文件或合同文件未提及，则由双方协商解决处理。</w:t>
      </w:r>
    </w:p>
    <w:p w14:paraId="2AA3F7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、履约保证金</w:t>
      </w:r>
    </w:p>
    <w:p w14:paraId="4692FD09">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1本项目成交后的履约保证金为项目成交价的10%，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350C924E">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.2成交供应商全部履约合同义务，经采购单位验收合格无质量、进度等问题的，采购单位在验收合格后一次性退还履约保证金。</w:t>
      </w:r>
    </w:p>
    <w:p w14:paraId="28B6E71E">
      <w:pPr>
        <w:adjustRightInd w:val="0"/>
        <w:snapToGrid w:val="0"/>
        <w:spacing w:line="360" w:lineRule="auto"/>
        <w:ind w:left="479" w:leftChars="228"/>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.3发生以下情况的，履约保证金不予退还或部分退还：</w:t>
      </w:r>
    </w:p>
    <w:p w14:paraId="6BE6E85A">
      <w:pPr>
        <w:adjustRightInd w:val="0"/>
        <w:snapToGrid w:val="0"/>
        <w:spacing w:line="360" w:lineRule="auto"/>
        <w:ind w:left="19" w:leftChars="9" w:firstLine="458" w:firstLineChars="191"/>
        <w:rPr>
          <w:rFonts w:ascii="宋体" w:hAnsi="宋体" w:eastAsia="宋体" w:cs="宋体"/>
          <w:snapToGrid/>
          <w:kern w:val="2"/>
          <w:sz w:val="24"/>
        </w:rPr>
      </w:pPr>
      <w:r>
        <w:rPr>
          <w:rFonts w:hint="eastAsia" w:ascii="宋体" w:hAnsi="宋体" w:eastAsia="宋体" w:cs="宋体"/>
          <w:snapToGrid/>
          <w:kern w:val="2"/>
          <w:sz w:val="24"/>
        </w:rPr>
        <w:t>a.签订合同后，成交供应商不履行合同义务的，采购单位有权全额扣除履约保证金，全额不予退还，同时采购单位亦有权终止合同，成交供应商还须承担相应的法律赔偿责任。</w:t>
      </w:r>
    </w:p>
    <w:p w14:paraId="6A270D45">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b.成交供应商在履约过程中发生违约行为，给采购单位造成损失的，采购单位有权在成交供应商缴纳的履约保证金中予以扣款，以弥补采购单位经济损失，不足的部分成交供应商另外补齐。</w:t>
      </w:r>
    </w:p>
    <w:p w14:paraId="4A98AC47">
      <w:pPr>
        <w:snapToGrid w:val="0"/>
        <w:spacing w:line="360" w:lineRule="auto"/>
        <w:ind w:firstLine="494" w:firstLineChars="206"/>
        <w:textAlignment w:val="baseline"/>
        <w:rPr>
          <w:rFonts w:ascii="宋体" w:hAnsi="宋体" w:eastAsia="宋体" w:cs="宋体"/>
          <w:color w:val="000000"/>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color w:val="000000"/>
          <w:sz w:val="24"/>
        </w:rPr>
        <w:t>付款方式</w:t>
      </w:r>
    </w:p>
    <w:p w14:paraId="6B613C04">
      <w:pPr>
        <w:adjustRightInd w:val="0"/>
        <w:snapToGrid w:val="0"/>
        <w:spacing w:line="360" w:lineRule="auto"/>
        <w:ind w:firstLine="480" w:firstLineChars="200"/>
        <w:rPr>
          <w:rFonts w:ascii="宋体" w:hAnsi="宋体" w:eastAsia="宋体" w:cs="宋体"/>
          <w:snapToGrid/>
          <w:kern w:val="2"/>
          <w:sz w:val="24"/>
          <w:u w:val="single"/>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1</w:t>
      </w:r>
      <w:r>
        <w:rPr>
          <w:rFonts w:hint="eastAsia" w:ascii="宋体" w:hAnsi="宋体" w:eastAsia="宋体" w:cs="宋体"/>
          <w:snapToGrid/>
          <w:kern w:val="2"/>
          <w:sz w:val="24"/>
        </w:rPr>
        <w:t>.1成交供应商履约</w:t>
      </w:r>
      <w:r>
        <w:rPr>
          <w:rFonts w:hint="eastAsia" w:ascii="宋体" w:hAnsi="宋体" w:eastAsia="宋体" w:cs="宋体"/>
          <w:snapToGrid/>
          <w:kern w:val="2"/>
          <w:sz w:val="24"/>
          <w:u w:val="single"/>
        </w:rPr>
        <w:t>保证金缴纳且合同签订生效后15日内，</w:t>
      </w:r>
      <w:r>
        <w:rPr>
          <w:rFonts w:hint="eastAsia" w:ascii="宋体" w:hAnsi="宋体" w:eastAsia="宋体" w:cs="宋体"/>
          <w:b/>
          <w:bCs/>
          <w:snapToGrid/>
          <w:kern w:val="2"/>
          <w:sz w:val="24"/>
          <w:u w:val="single"/>
        </w:rPr>
        <w:t>成交供应商提供的货物经采购人确认合格后</w:t>
      </w:r>
      <w:r>
        <w:rPr>
          <w:rFonts w:hint="eastAsia" w:ascii="宋体" w:hAnsi="宋体" w:eastAsia="宋体" w:cs="宋体"/>
          <w:snapToGrid/>
          <w:kern w:val="2"/>
          <w:sz w:val="24"/>
          <w:u w:val="single"/>
        </w:rPr>
        <w:t>，采购人支付合同价的30%作为预付款；</w:t>
      </w:r>
    </w:p>
    <w:p w14:paraId="0712DB7C">
      <w:pPr>
        <w:adjustRightInd w:val="0"/>
        <w:snapToGrid w:val="0"/>
        <w:spacing w:line="360" w:lineRule="auto"/>
        <w:ind w:firstLine="480" w:firstLineChars="200"/>
        <w:rPr>
          <w:rFonts w:ascii="宋体" w:hAnsi="宋体" w:eastAsia="宋体" w:cs="宋体"/>
          <w:snapToGrid/>
          <w:kern w:val="2"/>
          <w:sz w:val="24"/>
          <w:u w:val="single"/>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1</w:t>
      </w:r>
      <w:r>
        <w:rPr>
          <w:rFonts w:hint="eastAsia" w:ascii="宋体" w:hAnsi="宋体" w:eastAsia="宋体" w:cs="宋体"/>
          <w:snapToGrid/>
          <w:kern w:val="2"/>
          <w:sz w:val="24"/>
        </w:rPr>
        <w:t>.2工程竣工验收合格后；</w:t>
      </w:r>
      <w:r>
        <w:rPr>
          <w:rFonts w:hint="eastAsia" w:ascii="宋体" w:hAnsi="宋体" w:eastAsia="宋体" w:cs="宋体"/>
          <w:snapToGrid/>
          <w:kern w:val="2"/>
          <w:sz w:val="24"/>
          <w:u w:val="single"/>
        </w:rPr>
        <w:t>审计结束后15日(收到审计报告及成交供应商正式合法有效税务发票)内付至审定价的97%；余款3%作为质量保修金</w:t>
      </w:r>
      <w:r>
        <w:rPr>
          <w:rFonts w:hint="eastAsia" w:ascii="宋体" w:hAnsi="宋体" w:eastAsia="宋体" w:cs="宋体"/>
          <w:b w:val="0"/>
          <w:bCs w:val="0"/>
          <w:snapToGrid/>
          <w:color w:val="auto"/>
          <w:kern w:val="2"/>
          <w:sz w:val="24"/>
          <w:u w:val="single"/>
        </w:rPr>
        <w:t>，质保期满叁年且无质量问</w:t>
      </w:r>
      <w:r>
        <w:rPr>
          <w:rFonts w:hint="eastAsia" w:ascii="宋体" w:hAnsi="宋体" w:eastAsia="宋体" w:cs="宋体"/>
          <w:snapToGrid/>
          <w:kern w:val="2"/>
          <w:sz w:val="24"/>
          <w:u w:val="single"/>
        </w:rPr>
        <w:t>题并经甲方书面确认后15日内无息返还。</w:t>
      </w:r>
    </w:p>
    <w:p w14:paraId="0F6C1676">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1</w:t>
      </w:r>
      <w:r>
        <w:rPr>
          <w:rFonts w:hint="eastAsia" w:ascii="宋体" w:hAnsi="宋体" w:eastAsia="宋体" w:cs="宋体"/>
          <w:snapToGrid/>
          <w:kern w:val="2"/>
          <w:sz w:val="24"/>
        </w:rPr>
        <w:t>.3采购项目结算必须按规范编制，并经采购人确认后报有关部门审计。结算审计核减额超过送审数额的5%以外部分的审计费用由中标供应商承担，超额部分按核减额的6%计取。核减额=初审核减额+终审核减额。</w:t>
      </w:r>
    </w:p>
    <w:p w14:paraId="4335745A">
      <w:pPr>
        <w:snapToGrid w:val="0"/>
        <w:spacing w:line="360" w:lineRule="auto"/>
        <w:ind w:firstLine="480" w:firstLineChars="200"/>
        <w:rPr>
          <w:rFonts w:ascii="宋体" w:hAnsi="宋体" w:eastAsia="宋体" w:cs="宋体"/>
          <w:b/>
          <w:bCs/>
          <w:snapToGrid/>
          <w:w w:val="80"/>
          <w:kern w:val="2"/>
          <w:sz w:val="44"/>
          <w:szCs w:val="4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1</w:t>
      </w:r>
      <w:r>
        <w:rPr>
          <w:rFonts w:hint="eastAsia" w:ascii="宋体" w:hAnsi="宋体" w:eastAsia="宋体" w:cs="宋体"/>
          <w:snapToGrid/>
          <w:kern w:val="2"/>
          <w:sz w:val="24"/>
        </w:rPr>
        <w:t>.4所有款项由采购人按相关财务支付规定办理支付手续，不得故意拖延支付时间。</w:t>
      </w:r>
      <w:r>
        <w:rPr>
          <w:rFonts w:hint="eastAsia" w:ascii="宋体" w:hAnsi="宋体" w:eastAsia="宋体" w:cs="宋体"/>
          <w:b/>
          <w:bCs/>
          <w:snapToGrid/>
          <w:w w:val="80"/>
          <w:kern w:val="2"/>
          <w:sz w:val="44"/>
          <w:szCs w:val="44"/>
        </w:rPr>
        <w:br w:type="page"/>
      </w:r>
    </w:p>
    <w:p w14:paraId="5D06B4FA">
      <w:pPr>
        <w:snapToGrid w:val="0"/>
        <w:spacing w:before="24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86" w:name="_Toc182848996"/>
      <w:bookmarkStart w:id="87" w:name="_Toc37322565"/>
      <w:bookmarkStart w:id="88" w:name="_Toc38121794"/>
      <w:bookmarkStart w:id="89" w:name="_Toc43217893"/>
      <w:bookmarkStart w:id="90" w:name="_Toc85627670"/>
      <w:r>
        <w:rPr>
          <w:rFonts w:hint="eastAsia" w:ascii="宋体" w:hAnsi="宋体" w:eastAsia="宋体" w:cs="宋体"/>
          <w:b/>
          <w:bCs/>
          <w:snapToGrid/>
          <w:w w:val="80"/>
          <w:kern w:val="2"/>
          <w:sz w:val="44"/>
          <w:szCs w:val="44"/>
        </w:rPr>
        <w:t xml:space="preserve">部分 </w:t>
      </w:r>
      <w:bookmarkEnd w:id="86"/>
      <w:bookmarkEnd w:id="87"/>
      <w:bookmarkEnd w:id="88"/>
      <w:bookmarkEnd w:id="89"/>
      <w:bookmarkEnd w:id="90"/>
      <w:r>
        <w:rPr>
          <w:rFonts w:hint="eastAsia" w:ascii="宋体" w:hAnsi="宋体" w:eastAsia="宋体" w:cs="宋体"/>
          <w:b/>
          <w:bCs/>
          <w:snapToGrid/>
          <w:w w:val="80"/>
          <w:kern w:val="2"/>
          <w:sz w:val="44"/>
          <w:szCs w:val="44"/>
        </w:rPr>
        <w:t>评审方法和评审标准</w:t>
      </w:r>
    </w:p>
    <w:p w14:paraId="04138984">
      <w:pPr>
        <w:adjustRightInd w:val="0"/>
        <w:snapToGrid w:val="0"/>
        <w:spacing w:line="360" w:lineRule="auto"/>
        <w:ind w:firstLine="482" w:firstLineChars="200"/>
        <w:jc w:val="left"/>
        <w:textAlignment w:val="baseline"/>
        <w:rPr>
          <w:rFonts w:ascii="宋体" w:hAnsi="宋体" w:eastAsia="宋体" w:cs="宋体"/>
          <w:b/>
          <w:sz w:val="24"/>
        </w:rPr>
      </w:pPr>
      <w:bookmarkStart w:id="91" w:name="OLE_LINK1"/>
      <w:bookmarkStart w:id="92" w:name="OLE_LINK2"/>
      <w:r>
        <w:rPr>
          <w:rFonts w:hint="eastAsia" w:ascii="宋体" w:hAnsi="宋体" w:eastAsia="宋体" w:cs="宋体"/>
          <w:b/>
          <w:sz w:val="24"/>
        </w:rPr>
        <w:t>一、磋商方式</w:t>
      </w:r>
    </w:p>
    <w:p w14:paraId="74D9D03F">
      <w:pPr>
        <w:tabs>
          <w:tab w:val="left" w:pos="3585"/>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项目磋商活动模式：本项目采用现场开标模式。</w:t>
      </w:r>
    </w:p>
    <w:p w14:paraId="63466F3A">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70754B1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7EDE8D3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73F5ECB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30BB4941">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7468648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42AD9F9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07C1708F">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75B0F754">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67A69C19">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7566DF7A">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1908F211">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0D23651A">
      <w:pPr>
        <w:numPr>
          <w:ilvl w:val="0"/>
          <w:numId w:val="7"/>
        </w:numPr>
        <w:adjustRightInd w:val="0"/>
        <w:snapToGrid w:val="0"/>
        <w:spacing w:line="360" w:lineRule="auto"/>
        <w:ind w:firstLine="496" w:firstLineChars="206"/>
        <w:rPr>
          <w:rFonts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5EF286A8">
      <w:pPr>
        <w:pStyle w:val="9"/>
        <w:keepNext w:val="0"/>
        <w:keepLines w:val="0"/>
        <w:snapToGrid w:val="0"/>
        <w:spacing w:before="0" w:after="0" w:line="360" w:lineRule="auto"/>
        <w:ind w:firstLine="480" w:firstLineChars="200"/>
        <w:rPr>
          <w:rFonts w:asciiTheme="majorEastAsia" w:hAnsiTheme="majorEastAsia" w:eastAsiaTheme="majorEastAsia" w:cstheme="majorEastAsia"/>
          <w:b w:val="0"/>
          <w:bCs w:val="0"/>
          <w:sz w:val="24"/>
          <w:szCs w:val="24"/>
          <w:lang w:val="zh-CN"/>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8"/>
        <w:tblW w:w="9072" w:type="dxa"/>
        <w:tblInd w:w="3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58"/>
        <w:gridCol w:w="6396"/>
        <w:gridCol w:w="709"/>
      </w:tblGrid>
      <w:tr w14:paraId="7A7EC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right w:val="single" w:color="auto" w:sz="4" w:space="0"/>
            </w:tcBorders>
            <w:vAlign w:val="center"/>
          </w:tcPr>
          <w:p w14:paraId="0C27D9A2">
            <w:pPr>
              <w:autoSpaceDE w:val="0"/>
              <w:autoSpaceDN w:val="0"/>
              <w:adjustRightInd w:val="0"/>
              <w:spacing w:line="360" w:lineRule="auto"/>
              <w:jc w:val="center"/>
              <w:rPr>
                <w:rFonts w:ascii="宋体" w:hAnsi="宋体" w:eastAsia="宋体"/>
                <w:b/>
                <w:bCs/>
                <w:snapToGrid/>
                <w:sz w:val="24"/>
              </w:rPr>
            </w:pPr>
            <w:r>
              <w:rPr>
                <w:rFonts w:ascii="宋体" w:hAnsi="宋体" w:eastAsia="宋体"/>
                <w:b/>
                <w:bCs/>
                <w:snapToGrid/>
                <w:sz w:val="24"/>
              </w:rPr>
              <w:t>序号</w:t>
            </w:r>
          </w:p>
        </w:tc>
        <w:tc>
          <w:tcPr>
            <w:tcW w:w="1258" w:type="dxa"/>
            <w:tcBorders>
              <w:top w:val="single" w:color="auto" w:sz="4" w:space="0"/>
              <w:bottom w:val="single" w:color="auto" w:sz="4" w:space="0"/>
              <w:right w:val="single" w:color="auto" w:sz="4" w:space="0"/>
            </w:tcBorders>
            <w:vAlign w:val="center"/>
          </w:tcPr>
          <w:p w14:paraId="203B1431">
            <w:pPr>
              <w:autoSpaceDE w:val="0"/>
              <w:autoSpaceDN w:val="0"/>
              <w:adjustRightInd w:val="0"/>
              <w:spacing w:line="360" w:lineRule="auto"/>
              <w:jc w:val="center"/>
              <w:rPr>
                <w:rFonts w:ascii="宋体" w:hAnsi="宋体" w:eastAsia="宋体"/>
                <w:b/>
                <w:bCs/>
                <w:snapToGrid/>
                <w:sz w:val="24"/>
              </w:rPr>
            </w:pPr>
            <w:r>
              <w:rPr>
                <w:rFonts w:hint="eastAsia" w:ascii="宋体" w:hAnsi="宋体" w:eastAsia="宋体" w:cs="宋体"/>
                <w:b/>
                <w:bCs/>
                <w:snapToGrid/>
                <w:sz w:val="24"/>
                <w:lang w:val="zh-CN"/>
              </w:rPr>
              <w:t>评标项目</w:t>
            </w:r>
          </w:p>
        </w:tc>
        <w:tc>
          <w:tcPr>
            <w:tcW w:w="6396" w:type="dxa"/>
            <w:tcBorders>
              <w:top w:val="single" w:color="auto" w:sz="4" w:space="0"/>
              <w:left w:val="single" w:color="auto" w:sz="4" w:space="0"/>
              <w:bottom w:val="single" w:color="auto" w:sz="4" w:space="0"/>
              <w:right w:val="single" w:color="auto" w:sz="4" w:space="0"/>
            </w:tcBorders>
            <w:vAlign w:val="center"/>
          </w:tcPr>
          <w:p w14:paraId="7FB1AB76">
            <w:pPr>
              <w:autoSpaceDE w:val="0"/>
              <w:autoSpaceDN w:val="0"/>
              <w:adjustRightInd w:val="0"/>
              <w:spacing w:line="360" w:lineRule="auto"/>
              <w:jc w:val="center"/>
              <w:rPr>
                <w:rFonts w:ascii="宋体" w:hAnsi="宋体" w:eastAsia="宋体"/>
                <w:b/>
                <w:bCs/>
                <w:snapToGrid/>
                <w:kern w:val="2"/>
                <w:sz w:val="24"/>
              </w:rPr>
            </w:pPr>
            <w:r>
              <w:rPr>
                <w:rFonts w:hint="eastAsia" w:ascii="宋体" w:hAnsi="宋体" w:eastAsia="宋体" w:cs="宋体"/>
                <w:b/>
                <w:bCs/>
                <w:snapToGrid/>
                <w:sz w:val="24"/>
                <w:lang w:val="zh-CN"/>
              </w:rPr>
              <w:t>评分要求及得分要点</w:t>
            </w:r>
          </w:p>
        </w:tc>
        <w:tc>
          <w:tcPr>
            <w:tcW w:w="709" w:type="dxa"/>
            <w:tcBorders>
              <w:top w:val="single" w:color="auto" w:sz="4" w:space="0"/>
              <w:left w:val="single" w:color="auto" w:sz="4" w:space="0"/>
              <w:bottom w:val="single" w:color="auto" w:sz="4" w:space="0"/>
            </w:tcBorders>
            <w:vAlign w:val="center"/>
          </w:tcPr>
          <w:p w14:paraId="126B0ECE">
            <w:pPr>
              <w:autoSpaceDE w:val="0"/>
              <w:autoSpaceDN w:val="0"/>
              <w:adjustRightInd w:val="0"/>
              <w:spacing w:line="360" w:lineRule="auto"/>
              <w:jc w:val="center"/>
              <w:rPr>
                <w:rFonts w:ascii="宋体" w:hAnsi="宋体" w:eastAsia="宋体"/>
                <w:b/>
                <w:bCs/>
                <w:snapToGrid/>
                <w:kern w:val="2"/>
                <w:sz w:val="24"/>
              </w:rPr>
            </w:pPr>
            <w:r>
              <w:rPr>
                <w:rFonts w:hint="eastAsia" w:ascii="宋体" w:hAnsi="宋体" w:eastAsia="宋体"/>
                <w:b/>
                <w:bCs/>
                <w:snapToGrid/>
                <w:kern w:val="2"/>
                <w:sz w:val="24"/>
              </w:rPr>
              <w:t>分值</w:t>
            </w:r>
          </w:p>
        </w:tc>
      </w:tr>
      <w:tr w14:paraId="451C9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1106B2DF">
            <w:pPr>
              <w:autoSpaceDE w:val="0"/>
              <w:autoSpaceDN w:val="0"/>
              <w:adjustRightInd w:val="0"/>
              <w:spacing w:line="360" w:lineRule="auto"/>
              <w:jc w:val="center"/>
              <w:rPr>
                <w:rFonts w:ascii="宋体" w:hAnsi="宋体" w:eastAsia="宋体"/>
                <w:snapToGrid/>
                <w:kern w:val="2"/>
                <w:sz w:val="24"/>
              </w:rPr>
            </w:pPr>
            <w:r>
              <w:rPr>
                <w:rFonts w:hint="eastAsia" w:ascii="宋体" w:hAnsi="宋体" w:eastAsia="宋体"/>
                <w:snapToGrid/>
                <w:kern w:val="2"/>
                <w:sz w:val="24"/>
              </w:rPr>
              <w:t>1</w:t>
            </w:r>
          </w:p>
        </w:tc>
        <w:tc>
          <w:tcPr>
            <w:tcW w:w="1258" w:type="dxa"/>
            <w:tcBorders>
              <w:top w:val="single" w:color="auto" w:sz="4" w:space="0"/>
              <w:left w:val="single" w:color="auto" w:sz="4" w:space="0"/>
              <w:bottom w:val="single" w:color="auto" w:sz="4" w:space="0"/>
              <w:right w:val="single" w:color="auto" w:sz="4" w:space="0"/>
            </w:tcBorders>
            <w:vAlign w:val="center"/>
          </w:tcPr>
          <w:p w14:paraId="6BBB0BFB">
            <w:pPr>
              <w:spacing w:line="360" w:lineRule="auto"/>
              <w:jc w:val="center"/>
              <w:rPr>
                <w:rFonts w:ascii="宋体" w:hAnsi="宋体" w:eastAsia="宋体" w:cs="宋体"/>
                <w:snapToGrid/>
                <w:kern w:val="2"/>
                <w:sz w:val="24"/>
                <w:lang w:val="en-GB"/>
              </w:rPr>
            </w:pPr>
            <w:r>
              <w:rPr>
                <w:rFonts w:hint="eastAsia" w:ascii="宋体" w:hAnsi="宋体" w:eastAsia="宋体" w:cs="宋体"/>
                <w:snapToGrid/>
                <w:kern w:val="2"/>
                <w:sz w:val="24"/>
                <w:lang w:val="en-GB"/>
              </w:rPr>
              <w:t>类似业绩</w:t>
            </w:r>
          </w:p>
        </w:tc>
        <w:tc>
          <w:tcPr>
            <w:tcW w:w="6396" w:type="dxa"/>
            <w:tcBorders>
              <w:top w:val="single" w:color="auto" w:sz="4" w:space="0"/>
              <w:left w:val="single" w:color="auto" w:sz="4" w:space="0"/>
              <w:right w:val="single" w:color="auto" w:sz="4" w:space="0"/>
            </w:tcBorders>
            <w:vAlign w:val="center"/>
          </w:tcPr>
          <w:p w14:paraId="68C6975C">
            <w:pPr>
              <w:widowControl/>
              <w:adjustRightInd w:val="0"/>
              <w:snapToGrid w:val="0"/>
              <w:spacing w:line="276" w:lineRule="auto"/>
              <w:textAlignment w:val="center"/>
              <w:rPr>
                <w:rFonts w:ascii="宋体" w:hAnsi="宋体" w:eastAsia="宋体" w:cs="仿宋"/>
                <w:snapToGrid/>
                <w:color w:val="000000"/>
                <w:sz w:val="24"/>
                <w:lang w:bidi="ar"/>
              </w:rPr>
            </w:pPr>
            <w:r>
              <w:rPr>
                <w:rFonts w:hint="eastAsia" w:ascii="宋体" w:hAnsi="宋体" w:eastAsia="宋体" w:cs="仿宋"/>
                <w:snapToGrid/>
                <w:color w:val="000000"/>
                <w:sz w:val="24"/>
                <w:lang w:bidi="ar"/>
              </w:rPr>
              <w:t>供应商自2021年1月1日以来（以竣工验收证明时间为准）承担过的</w:t>
            </w:r>
            <w:r>
              <w:rPr>
                <w:rFonts w:hint="eastAsia" w:ascii="宋体" w:hAnsi="宋体" w:eastAsia="宋体" w:cs="仿宋"/>
                <w:snapToGrid/>
                <w:color w:val="000000"/>
                <w:sz w:val="24"/>
                <w:lang w:eastAsia="zh-CN" w:bidi="ar"/>
              </w:rPr>
              <w:t>类似食堂设备采购</w:t>
            </w:r>
            <w:r>
              <w:rPr>
                <w:rFonts w:hint="eastAsia" w:ascii="宋体" w:hAnsi="宋体" w:eastAsia="宋体" w:cs="仿宋"/>
                <w:snapToGrid/>
                <w:color w:val="000000"/>
                <w:sz w:val="24"/>
                <w:lang w:bidi="ar"/>
              </w:rPr>
              <w:t>业绩的，有一个得5分，最多得</w:t>
            </w:r>
            <w:r>
              <w:rPr>
                <w:rFonts w:hint="eastAsia" w:ascii="宋体" w:hAnsi="宋体" w:eastAsia="宋体" w:cs="仿宋"/>
                <w:snapToGrid/>
                <w:color w:val="000000"/>
                <w:sz w:val="24"/>
                <w:lang w:val="en-US" w:eastAsia="zh-CN" w:bidi="ar"/>
              </w:rPr>
              <w:t>20</w:t>
            </w:r>
            <w:r>
              <w:rPr>
                <w:rFonts w:hint="eastAsia" w:ascii="宋体" w:hAnsi="宋体" w:eastAsia="宋体" w:cs="仿宋"/>
                <w:snapToGrid/>
                <w:color w:val="000000"/>
                <w:sz w:val="24"/>
                <w:lang w:bidi="ar"/>
              </w:rPr>
              <w:t>分。</w:t>
            </w:r>
          </w:p>
          <w:p w14:paraId="14D109CD">
            <w:pPr>
              <w:widowControl/>
              <w:adjustRightInd w:val="0"/>
              <w:snapToGrid w:val="0"/>
              <w:spacing w:line="276" w:lineRule="auto"/>
              <w:textAlignment w:val="center"/>
              <w:rPr>
                <w:rFonts w:ascii="宋体" w:hAnsi="宋体" w:eastAsia="宋体" w:cs="宋体"/>
                <w:bCs/>
                <w:snapToGrid/>
                <w:kern w:val="2"/>
                <w:sz w:val="24"/>
              </w:rPr>
            </w:pPr>
            <w:r>
              <w:rPr>
                <w:rFonts w:hint="eastAsia" w:ascii="宋体" w:hAnsi="宋体" w:eastAsia="宋体" w:cs="仿宋"/>
                <w:snapToGrid/>
                <w:color w:val="000000"/>
                <w:sz w:val="24"/>
                <w:lang w:bidi="ar"/>
              </w:rPr>
              <w:t>注：提供合同原件的复印件或扫描件，并加盖公章，合同中须能明确体现业绩的相关要求，合同中未能提供的则另需提供业主加盖公章的证明材料，否则不得分。</w:t>
            </w:r>
          </w:p>
        </w:tc>
        <w:tc>
          <w:tcPr>
            <w:tcW w:w="709" w:type="dxa"/>
            <w:tcBorders>
              <w:top w:val="single" w:color="auto" w:sz="4" w:space="0"/>
              <w:left w:val="single" w:color="auto" w:sz="4" w:space="0"/>
            </w:tcBorders>
            <w:vAlign w:val="center"/>
          </w:tcPr>
          <w:p w14:paraId="426BE6FD">
            <w:pPr>
              <w:spacing w:line="360" w:lineRule="auto"/>
              <w:jc w:val="center"/>
              <w:rPr>
                <w:rFonts w:hint="default" w:ascii="宋体" w:hAnsi="宋体" w:eastAsia="宋体"/>
                <w:snapToGrid/>
                <w:kern w:val="2"/>
                <w:sz w:val="24"/>
                <w:lang w:val="en-US" w:eastAsia="zh-CN"/>
              </w:rPr>
            </w:pPr>
            <w:r>
              <w:rPr>
                <w:rFonts w:hint="eastAsia" w:ascii="宋体" w:hAnsi="宋体" w:eastAsia="宋体"/>
                <w:snapToGrid/>
                <w:kern w:val="2"/>
                <w:sz w:val="24"/>
                <w:lang w:val="en-US" w:eastAsia="zh-CN"/>
              </w:rPr>
              <w:t>20</w:t>
            </w:r>
          </w:p>
        </w:tc>
      </w:tr>
      <w:tr w14:paraId="1DA25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53D61E57">
            <w:pPr>
              <w:autoSpaceDE w:val="0"/>
              <w:autoSpaceDN w:val="0"/>
              <w:adjustRightInd w:val="0"/>
              <w:spacing w:line="360" w:lineRule="auto"/>
              <w:jc w:val="center"/>
              <w:rPr>
                <w:rFonts w:ascii="宋体" w:hAnsi="宋体" w:eastAsia="宋体"/>
                <w:snapToGrid/>
                <w:kern w:val="2"/>
                <w:sz w:val="24"/>
              </w:rPr>
            </w:pPr>
            <w:r>
              <w:rPr>
                <w:rFonts w:hint="eastAsia" w:ascii="宋体" w:hAnsi="宋体" w:eastAsia="宋体"/>
                <w:snapToGrid/>
                <w:kern w:val="2"/>
                <w:sz w:val="24"/>
              </w:rPr>
              <w:t>2</w:t>
            </w:r>
          </w:p>
        </w:tc>
        <w:tc>
          <w:tcPr>
            <w:tcW w:w="1258" w:type="dxa"/>
            <w:tcBorders>
              <w:top w:val="single" w:color="auto" w:sz="4" w:space="0"/>
              <w:left w:val="single" w:color="auto" w:sz="4" w:space="0"/>
              <w:bottom w:val="single" w:color="auto" w:sz="4" w:space="0"/>
              <w:right w:val="single" w:color="auto" w:sz="4" w:space="0"/>
            </w:tcBorders>
            <w:vAlign w:val="center"/>
          </w:tcPr>
          <w:p w14:paraId="04BC4E24">
            <w:pPr>
              <w:spacing w:line="360" w:lineRule="auto"/>
              <w:jc w:val="center"/>
              <w:rPr>
                <w:rFonts w:ascii="宋体" w:hAnsi="宋体" w:eastAsia="宋体" w:cs="宋体"/>
                <w:b w:val="0"/>
                <w:bCs w:val="0"/>
                <w:snapToGrid/>
                <w:kern w:val="2"/>
                <w:sz w:val="24"/>
                <w:lang w:val="en-GB"/>
              </w:rPr>
            </w:pPr>
            <w:r>
              <w:rPr>
                <w:rFonts w:hint="eastAsia" w:ascii="宋体" w:hAnsi="宋体" w:eastAsia="宋体" w:cs="宋体"/>
                <w:b w:val="0"/>
                <w:bCs w:val="0"/>
                <w:snapToGrid/>
                <w:kern w:val="2"/>
                <w:sz w:val="24"/>
                <w:lang w:val="en-GB"/>
              </w:rPr>
              <w:t>设备参数</w:t>
            </w:r>
          </w:p>
        </w:tc>
        <w:tc>
          <w:tcPr>
            <w:tcW w:w="6396" w:type="dxa"/>
            <w:tcBorders>
              <w:top w:val="single" w:color="auto" w:sz="4" w:space="0"/>
              <w:left w:val="single" w:color="auto" w:sz="4" w:space="0"/>
              <w:right w:val="single" w:color="auto" w:sz="4" w:space="0"/>
            </w:tcBorders>
            <w:vAlign w:val="center"/>
          </w:tcPr>
          <w:p w14:paraId="6989C92C">
            <w:pPr>
              <w:widowControl/>
              <w:adjustRightInd w:val="0"/>
              <w:snapToGrid w:val="0"/>
              <w:spacing w:line="276" w:lineRule="auto"/>
              <w:textAlignment w:val="center"/>
              <w:rPr>
                <w:rFonts w:ascii="宋体" w:hAnsi="宋体" w:eastAsia="宋体" w:cs="仿宋"/>
                <w:b w:val="0"/>
                <w:bCs w:val="0"/>
                <w:snapToGrid/>
                <w:color w:val="000000"/>
                <w:sz w:val="24"/>
                <w:lang w:bidi="ar"/>
              </w:rPr>
            </w:pPr>
            <w:r>
              <w:rPr>
                <w:rFonts w:hint="eastAsia" w:ascii="宋体" w:hAnsi="宋体" w:eastAsia="宋体" w:cs="仿宋"/>
                <w:b w:val="0"/>
                <w:bCs w:val="0"/>
                <w:snapToGrid/>
                <w:color w:val="000000"/>
                <w:sz w:val="24"/>
                <w:lang w:bidi="ar"/>
              </w:rPr>
              <w:t>提供拟投入本项目使用</w:t>
            </w:r>
            <w:r>
              <w:rPr>
                <w:rFonts w:hint="eastAsia" w:ascii="宋体" w:hAnsi="宋体" w:eastAsia="宋体" w:cs="仿宋"/>
                <w:b w:val="0"/>
                <w:bCs w:val="0"/>
                <w:snapToGrid/>
                <w:sz w:val="24"/>
                <w:lang w:bidi="ar"/>
              </w:rPr>
              <w:t>的风幕柜、冷冻展示柜</w:t>
            </w:r>
            <w:r>
              <w:rPr>
                <w:rFonts w:hint="eastAsia" w:ascii="宋体" w:hAnsi="宋体" w:eastAsia="宋体" w:cs="仿宋"/>
                <w:b w:val="0"/>
                <w:bCs w:val="0"/>
                <w:snapToGrid/>
                <w:sz w:val="24"/>
                <w:lang w:eastAsia="zh-CN" w:bidi="ar"/>
              </w:rPr>
              <w:t>、柜式空调</w:t>
            </w:r>
            <w:r>
              <w:rPr>
                <w:rFonts w:hint="eastAsia" w:ascii="宋体" w:hAnsi="宋体" w:eastAsia="宋体" w:cs="仿宋"/>
                <w:b w:val="0"/>
                <w:bCs w:val="0"/>
                <w:snapToGrid/>
                <w:sz w:val="24"/>
                <w:lang w:bidi="ar"/>
              </w:rPr>
              <w:t>的技术参数及品牌，</w:t>
            </w:r>
            <w:r>
              <w:rPr>
                <w:rFonts w:hint="eastAsia" w:ascii="宋体" w:hAnsi="宋体" w:eastAsia="宋体" w:cs="仿宋"/>
                <w:b w:val="0"/>
                <w:bCs w:val="0"/>
                <w:snapToGrid/>
                <w:color w:val="000000"/>
                <w:sz w:val="24"/>
                <w:lang w:bidi="ar"/>
              </w:rPr>
              <w:t>优于或能够满足清单中提出的参数及品牌要求的每个得</w:t>
            </w:r>
            <w:r>
              <w:rPr>
                <w:rFonts w:hint="eastAsia" w:ascii="宋体" w:hAnsi="宋体" w:eastAsia="宋体" w:cs="仿宋"/>
                <w:b w:val="0"/>
                <w:bCs w:val="0"/>
                <w:snapToGrid/>
                <w:color w:val="000000"/>
                <w:sz w:val="24"/>
                <w:lang w:val="en-US" w:eastAsia="zh-CN" w:bidi="ar"/>
              </w:rPr>
              <w:t>5</w:t>
            </w:r>
            <w:r>
              <w:rPr>
                <w:rFonts w:hint="eastAsia" w:ascii="宋体" w:hAnsi="宋体" w:eastAsia="宋体" w:cs="仿宋"/>
                <w:b w:val="0"/>
                <w:bCs w:val="0"/>
                <w:snapToGrid/>
                <w:color w:val="000000"/>
                <w:sz w:val="24"/>
                <w:lang w:bidi="ar"/>
              </w:rPr>
              <w:t>分，低于要求的或未提供的不得分，本项最多得1</w:t>
            </w:r>
            <w:r>
              <w:rPr>
                <w:rFonts w:hint="eastAsia" w:ascii="宋体" w:hAnsi="宋体" w:eastAsia="宋体" w:cs="仿宋"/>
                <w:b w:val="0"/>
                <w:bCs w:val="0"/>
                <w:snapToGrid/>
                <w:color w:val="000000"/>
                <w:sz w:val="24"/>
                <w:lang w:val="en-US" w:eastAsia="zh-CN" w:bidi="ar"/>
              </w:rPr>
              <w:t>5</w:t>
            </w:r>
            <w:r>
              <w:rPr>
                <w:rFonts w:hint="eastAsia" w:ascii="宋体" w:hAnsi="宋体" w:eastAsia="宋体" w:cs="仿宋"/>
                <w:b w:val="0"/>
                <w:bCs w:val="0"/>
                <w:snapToGrid/>
                <w:color w:val="000000"/>
                <w:sz w:val="24"/>
                <w:lang w:bidi="ar"/>
              </w:rPr>
              <w:t>分。</w:t>
            </w:r>
          </w:p>
          <w:p w14:paraId="46C1F47D">
            <w:pPr>
              <w:widowControl/>
              <w:adjustRightInd w:val="0"/>
              <w:snapToGrid w:val="0"/>
              <w:spacing w:line="276" w:lineRule="auto"/>
              <w:textAlignment w:val="center"/>
              <w:rPr>
                <w:rFonts w:ascii="宋体" w:hAnsi="宋体" w:eastAsia="宋体" w:cs="仿宋"/>
                <w:b w:val="0"/>
                <w:bCs w:val="0"/>
                <w:snapToGrid/>
                <w:color w:val="000000"/>
                <w:sz w:val="24"/>
                <w:lang w:bidi="ar"/>
              </w:rPr>
            </w:pPr>
            <w:r>
              <w:rPr>
                <w:rFonts w:hint="eastAsia" w:ascii="宋体" w:hAnsi="宋体" w:eastAsia="宋体" w:cs="仿宋"/>
                <w:b w:val="0"/>
                <w:bCs w:val="0"/>
                <w:snapToGrid/>
                <w:color w:val="000000"/>
                <w:sz w:val="24"/>
                <w:lang w:bidi="ar"/>
              </w:rPr>
              <w:t>磋商文件项目需求提供的设备、参数规格、品牌等，仅作为说明并没有限制性，供应商在磋商时可以选用替代，但这些替代的品牌、产品技术标准要优于或相当于项目需求技术规格中要求的标准，以满足采购人的需要。</w:t>
            </w:r>
          </w:p>
        </w:tc>
        <w:tc>
          <w:tcPr>
            <w:tcW w:w="709" w:type="dxa"/>
            <w:tcBorders>
              <w:top w:val="single" w:color="auto" w:sz="4" w:space="0"/>
              <w:left w:val="single" w:color="auto" w:sz="4" w:space="0"/>
            </w:tcBorders>
            <w:vAlign w:val="center"/>
          </w:tcPr>
          <w:p w14:paraId="15821094">
            <w:pPr>
              <w:spacing w:line="360" w:lineRule="auto"/>
              <w:jc w:val="center"/>
              <w:rPr>
                <w:rFonts w:hint="eastAsia" w:ascii="宋体" w:hAnsi="宋体" w:eastAsia="宋体"/>
                <w:snapToGrid/>
                <w:kern w:val="2"/>
                <w:sz w:val="24"/>
                <w:lang w:eastAsia="zh-CN"/>
              </w:rPr>
            </w:pPr>
            <w:r>
              <w:rPr>
                <w:rFonts w:hint="eastAsia" w:ascii="宋体" w:hAnsi="宋体" w:eastAsia="宋体"/>
                <w:snapToGrid/>
                <w:kern w:val="2"/>
                <w:sz w:val="24"/>
              </w:rPr>
              <w:t>1</w:t>
            </w:r>
            <w:r>
              <w:rPr>
                <w:rFonts w:hint="eastAsia" w:ascii="宋体" w:hAnsi="宋体" w:eastAsia="宋体"/>
                <w:snapToGrid/>
                <w:kern w:val="2"/>
                <w:sz w:val="24"/>
                <w:lang w:val="en-US" w:eastAsia="zh-CN"/>
              </w:rPr>
              <w:t>5</w:t>
            </w:r>
          </w:p>
        </w:tc>
      </w:tr>
      <w:tr w14:paraId="7DA52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1C3DFD4E">
            <w:pPr>
              <w:autoSpaceDE w:val="0"/>
              <w:autoSpaceDN w:val="0"/>
              <w:adjustRightInd w:val="0"/>
              <w:spacing w:line="360" w:lineRule="auto"/>
              <w:jc w:val="center"/>
              <w:rPr>
                <w:rFonts w:hint="eastAsia" w:ascii="宋体" w:hAnsi="宋体" w:eastAsia="宋体"/>
                <w:snapToGrid/>
                <w:kern w:val="2"/>
                <w:sz w:val="24"/>
                <w:lang w:val="en-US" w:eastAsia="zh-CN"/>
              </w:rPr>
            </w:pPr>
            <w:r>
              <w:rPr>
                <w:rFonts w:hint="eastAsia" w:ascii="宋体" w:hAnsi="宋体" w:eastAsia="宋体"/>
                <w:snapToGrid/>
                <w:kern w:val="2"/>
                <w:sz w:val="24"/>
                <w:lang w:val="en-US" w:eastAsia="zh-CN"/>
              </w:rPr>
              <w:t>3</w:t>
            </w:r>
          </w:p>
        </w:tc>
        <w:tc>
          <w:tcPr>
            <w:tcW w:w="1258" w:type="dxa"/>
            <w:tcBorders>
              <w:top w:val="single" w:color="auto" w:sz="4" w:space="0"/>
              <w:left w:val="single" w:color="auto" w:sz="4" w:space="0"/>
              <w:bottom w:val="single" w:color="auto" w:sz="4" w:space="0"/>
              <w:right w:val="single" w:color="auto" w:sz="4" w:space="0"/>
            </w:tcBorders>
            <w:vAlign w:val="center"/>
          </w:tcPr>
          <w:p w14:paraId="06C77179">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施工计划</w:t>
            </w:r>
          </w:p>
        </w:tc>
        <w:tc>
          <w:tcPr>
            <w:tcW w:w="6396" w:type="dxa"/>
            <w:tcBorders>
              <w:top w:val="single" w:color="auto" w:sz="4" w:space="0"/>
              <w:left w:val="single" w:color="auto" w:sz="4" w:space="0"/>
              <w:bottom w:val="single" w:color="auto" w:sz="4" w:space="0"/>
              <w:right w:val="single" w:color="auto" w:sz="4" w:space="0"/>
            </w:tcBorders>
            <w:vAlign w:val="center"/>
          </w:tcPr>
          <w:p w14:paraId="43612D8B">
            <w:pPr>
              <w:widowControl/>
              <w:snapToGrid w:val="0"/>
              <w:spacing w:line="276" w:lineRule="auto"/>
              <w:jc w:val="left"/>
              <w:textAlignment w:val="center"/>
              <w:rPr>
                <w:rFonts w:ascii="宋体" w:hAnsi="宋体" w:eastAsia="宋体" w:cs="仿宋"/>
                <w:sz w:val="24"/>
              </w:rPr>
            </w:pPr>
            <w:r>
              <w:rPr>
                <w:rFonts w:hint="eastAsia" w:ascii="宋体" w:hAnsi="宋体" w:eastAsia="宋体" w:cs="仿宋"/>
                <w:sz w:val="24"/>
              </w:rPr>
              <w:t>施工网络计划图或施工进度横道图，评委根据用时长短、工序安排合理性等。用时短、工序安排合理的，得5分；用时较短、工序安排较合理性的，得3分；用时长、工序安排不合理的，得1分；未提供不得分。</w:t>
            </w:r>
          </w:p>
        </w:tc>
        <w:tc>
          <w:tcPr>
            <w:tcW w:w="709" w:type="dxa"/>
            <w:tcBorders>
              <w:top w:val="single" w:color="auto" w:sz="4" w:space="0"/>
              <w:left w:val="single" w:color="auto" w:sz="4" w:space="0"/>
              <w:bottom w:val="single" w:color="auto" w:sz="4" w:space="0"/>
            </w:tcBorders>
            <w:vAlign w:val="center"/>
          </w:tcPr>
          <w:p w14:paraId="5CE53568">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5</w:t>
            </w:r>
          </w:p>
        </w:tc>
      </w:tr>
      <w:tr w14:paraId="55588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4A1896E3">
            <w:pPr>
              <w:autoSpaceDE w:val="0"/>
              <w:autoSpaceDN w:val="0"/>
              <w:adjustRightInd w:val="0"/>
              <w:spacing w:line="360" w:lineRule="auto"/>
              <w:jc w:val="center"/>
              <w:rPr>
                <w:rFonts w:hint="eastAsia" w:ascii="宋体" w:hAnsi="宋体" w:eastAsia="宋体"/>
                <w:snapToGrid/>
                <w:kern w:val="2"/>
                <w:sz w:val="24"/>
                <w:lang w:val="en-US" w:eastAsia="zh-CN"/>
              </w:rPr>
            </w:pPr>
            <w:r>
              <w:rPr>
                <w:rFonts w:hint="eastAsia" w:ascii="宋体" w:hAnsi="宋体" w:eastAsia="宋体"/>
                <w:snapToGrid/>
                <w:kern w:val="2"/>
                <w:sz w:val="24"/>
                <w:lang w:val="en-US" w:eastAsia="zh-CN"/>
              </w:rPr>
              <w:t>4</w:t>
            </w:r>
          </w:p>
        </w:tc>
        <w:tc>
          <w:tcPr>
            <w:tcW w:w="1258" w:type="dxa"/>
            <w:tcBorders>
              <w:top w:val="single" w:color="auto" w:sz="4" w:space="0"/>
              <w:left w:val="single" w:color="auto" w:sz="4" w:space="0"/>
              <w:bottom w:val="single" w:color="auto" w:sz="4" w:space="0"/>
              <w:right w:val="single" w:color="auto" w:sz="4" w:space="0"/>
            </w:tcBorders>
            <w:vAlign w:val="center"/>
          </w:tcPr>
          <w:p w14:paraId="2319AC19">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工期保证措施</w:t>
            </w:r>
          </w:p>
        </w:tc>
        <w:tc>
          <w:tcPr>
            <w:tcW w:w="6396" w:type="dxa"/>
            <w:tcBorders>
              <w:top w:val="single" w:color="auto" w:sz="4" w:space="0"/>
              <w:left w:val="single" w:color="auto" w:sz="4" w:space="0"/>
              <w:bottom w:val="single" w:color="auto" w:sz="4" w:space="0"/>
              <w:right w:val="single" w:color="auto" w:sz="4" w:space="0"/>
            </w:tcBorders>
            <w:vAlign w:val="center"/>
          </w:tcPr>
          <w:p w14:paraId="28911CC0">
            <w:pPr>
              <w:widowControl/>
              <w:snapToGrid w:val="0"/>
              <w:spacing w:line="276" w:lineRule="auto"/>
              <w:jc w:val="left"/>
              <w:textAlignment w:val="center"/>
              <w:rPr>
                <w:rFonts w:ascii="宋体" w:hAnsi="宋体" w:eastAsia="宋体" w:cs="仿宋"/>
                <w:sz w:val="24"/>
              </w:rPr>
            </w:pPr>
            <w:r>
              <w:rPr>
                <w:rFonts w:hint="eastAsia" w:ascii="宋体" w:hAnsi="宋体" w:eastAsia="宋体" w:cs="仿宋"/>
                <w:sz w:val="24"/>
              </w:rPr>
              <w:t>工期目标及工期保证措施。工期保证措施可行的，得5分；工期保证措施较可行的，得3分；工期保证措施不可行的，得1分；未提供不得分。</w:t>
            </w:r>
          </w:p>
        </w:tc>
        <w:tc>
          <w:tcPr>
            <w:tcW w:w="709" w:type="dxa"/>
            <w:tcBorders>
              <w:top w:val="single" w:color="auto" w:sz="4" w:space="0"/>
              <w:left w:val="single" w:color="auto" w:sz="4" w:space="0"/>
              <w:bottom w:val="single" w:color="auto" w:sz="4" w:space="0"/>
            </w:tcBorders>
            <w:vAlign w:val="center"/>
          </w:tcPr>
          <w:p w14:paraId="359EA4F1">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5</w:t>
            </w:r>
          </w:p>
        </w:tc>
      </w:tr>
      <w:tr w14:paraId="37283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2DADEE72">
            <w:pPr>
              <w:autoSpaceDE w:val="0"/>
              <w:autoSpaceDN w:val="0"/>
              <w:adjustRightInd w:val="0"/>
              <w:spacing w:line="360" w:lineRule="auto"/>
              <w:jc w:val="center"/>
              <w:rPr>
                <w:rFonts w:hint="eastAsia" w:ascii="宋体" w:hAnsi="宋体" w:eastAsia="宋体"/>
                <w:snapToGrid/>
                <w:kern w:val="2"/>
                <w:sz w:val="24"/>
                <w:lang w:val="en-US" w:eastAsia="zh-CN"/>
              </w:rPr>
            </w:pPr>
            <w:r>
              <w:rPr>
                <w:rFonts w:hint="eastAsia" w:ascii="宋体" w:hAnsi="宋体" w:eastAsia="宋体"/>
                <w:snapToGrid/>
                <w:kern w:val="2"/>
                <w:sz w:val="24"/>
                <w:lang w:val="en-US" w:eastAsia="zh-CN"/>
              </w:rPr>
              <w:t>5</w:t>
            </w:r>
          </w:p>
        </w:tc>
        <w:tc>
          <w:tcPr>
            <w:tcW w:w="1258" w:type="dxa"/>
            <w:tcBorders>
              <w:top w:val="single" w:color="auto" w:sz="4" w:space="0"/>
              <w:left w:val="single" w:color="auto" w:sz="4" w:space="0"/>
              <w:bottom w:val="single" w:color="auto" w:sz="4" w:space="0"/>
              <w:right w:val="single" w:color="auto" w:sz="4" w:space="0"/>
            </w:tcBorders>
            <w:vAlign w:val="center"/>
          </w:tcPr>
          <w:p w14:paraId="618C028F">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文明施工措施</w:t>
            </w:r>
          </w:p>
        </w:tc>
        <w:tc>
          <w:tcPr>
            <w:tcW w:w="6396" w:type="dxa"/>
            <w:tcBorders>
              <w:top w:val="single" w:color="auto" w:sz="4" w:space="0"/>
              <w:left w:val="single" w:color="auto" w:sz="4" w:space="0"/>
              <w:bottom w:val="single" w:color="auto" w:sz="4" w:space="0"/>
              <w:right w:val="single" w:color="auto" w:sz="4" w:space="0"/>
            </w:tcBorders>
            <w:vAlign w:val="center"/>
          </w:tcPr>
          <w:p w14:paraId="4E255355">
            <w:pPr>
              <w:widowControl/>
              <w:snapToGrid w:val="0"/>
              <w:spacing w:line="276" w:lineRule="auto"/>
              <w:jc w:val="left"/>
              <w:textAlignment w:val="center"/>
              <w:rPr>
                <w:rFonts w:ascii="宋体" w:hAnsi="宋体" w:eastAsia="宋体" w:cs="仿宋"/>
                <w:sz w:val="24"/>
              </w:rPr>
            </w:pPr>
            <w:r>
              <w:rPr>
                <w:rFonts w:hint="eastAsia" w:ascii="宋体" w:hAnsi="宋体" w:eastAsia="宋体" w:cs="仿宋"/>
                <w:sz w:val="24"/>
              </w:rPr>
              <w:t>包括防火、现场文明施工、垃圾清运等措施。文明施工措施可行的，得5分；文明施工措施较可行的，得3分,</w:t>
            </w:r>
            <w:r>
              <w:rPr>
                <w:rFonts w:hint="eastAsia"/>
              </w:rPr>
              <w:t xml:space="preserve"> </w:t>
            </w:r>
            <w:r>
              <w:rPr>
                <w:rFonts w:hint="eastAsia" w:ascii="宋体" w:hAnsi="宋体" w:eastAsia="宋体" w:cs="仿宋"/>
                <w:sz w:val="24"/>
              </w:rPr>
              <w:t>文明施工措施不可行的，得1分；未提供不得分。</w:t>
            </w:r>
          </w:p>
        </w:tc>
        <w:tc>
          <w:tcPr>
            <w:tcW w:w="709" w:type="dxa"/>
            <w:tcBorders>
              <w:top w:val="single" w:color="auto" w:sz="4" w:space="0"/>
              <w:left w:val="single" w:color="auto" w:sz="4" w:space="0"/>
              <w:bottom w:val="single" w:color="auto" w:sz="4" w:space="0"/>
            </w:tcBorders>
            <w:vAlign w:val="center"/>
          </w:tcPr>
          <w:p w14:paraId="2A2F674C">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5</w:t>
            </w:r>
          </w:p>
        </w:tc>
      </w:tr>
      <w:tr w14:paraId="58257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63A92A9A">
            <w:pPr>
              <w:autoSpaceDE w:val="0"/>
              <w:autoSpaceDN w:val="0"/>
              <w:adjustRightInd w:val="0"/>
              <w:spacing w:line="360" w:lineRule="auto"/>
              <w:jc w:val="center"/>
              <w:rPr>
                <w:rFonts w:hint="eastAsia" w:ascii="宋体" w:hAnsi="宋体" w:eastAsia="宋体"/>
                <w:snapToGrid/>
                <w:kern w:val="2"/>
                <w:sz w:val="24"/>
                <w:lang w:val="en-US" w:eastAsia="zh-CN"/>
              </w:rPr>
            </w:pPr>
            <w:r>
              <w:rPr>
                <w:rFonts w:hint="eastAsia" w:ascii="宋体" w:hAnsi="宋体" w:eastAsia="宋体"/>
                <w:snapToGrid/>
                <w:kern w:val="2"/>
                <w:sz w:val="24"/>
                <w:lang w:val="en-US" w:eastAsia="zh-CN"/>
              </w:rPr>
              <w:t>6</w:t>
            </w:r>
          </w:p>
        </w:tc>
        <w:tc>
          <w:tcPr>
            <w:tcW w:w="1258" w:type="dxa"/>
            <w:tcBorders>
              <w:top w:val="single" w:color="auto" w:sz="4" w:space="0"/>
              <w:left w:val="single" w:color="auto" w:sz="4" w:space="0"/>
              <w:bottom w:val="single" w:color="auto" w:sz="4" w:space="0"/>
              <w:right w:val="single" w:color="auto" w:sz="4" w:space="0"/>
            </w:tcBorders>
            <w:vAlign w:val="center"/>
          </w:tcPr>
          <w:p w14:paraId="30B8A2B0">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质量保证措施</w:t>
            </w:r>
          </w:p>
        </w:tc>
        <w:tc>
          <w:tcPr>
            <w:tcW w:w="6396" w:type="dxa"/>
            <w:tcBorders>
              <w:top w:val="single" w:color="auto" w:sz="4" w:space="0"/>
              <w:left w:val="single" w:color="auto" w:sz="4" w:space="0"/>
              <w:bottom w:val="single" w:color="auto" w:sz="4" w:space="0"/>
              <w:right w:val="single" w:color="auto" w:sz="4" w:space="0"/>
            </w:tcBorders>
            <w:vAlign w:val="center"/>
          </w:tcPr>
          <w:p w14:paraId="495BA54B">
            <w:pPr>
              <w:widowControl/>
              <w:snapToGrid w:val="0"/>
              <w:spacing w:line="276" w:lineRule="auto"/>
              <w:jc w:val="left"/>
              <w:textAlignment w:val="center"/>
              <w:rPr>
                <w:rFonts w:ascii="宋体" w:hAnsi="宋体" w:eastAsia="宋体" w:cs="仿宋"/>
                <w:sz w:val="24"/>
              </w:rPr>
            </w:pPr>
            <w:r>
              <w:rPr>
                <w:rFonts w:hint="eastAsia" w:ascii="宋体" w:hAnsi="宋体" w:eastAsia="宋体" w:cs="仿宋"/>
                <w:sz w:val="24"/>
              </w:rPr>
              <w:t>质量目标，结合本项目特点，制定具体项目中的质量保证措施。质量保证措施完善的，得10分；质量保证措施较可行的，得7分；质量保证措施略有欠缺的，得4分；质量保证措施不可行的，得1分；未提供不得分。</w:t>
            </w:r>
          </w:p>
        </w:tc>
        <w:tc>
          <w:tcPr>
            <w:tcW w:w="709" w:type="dxa"/>
            <w:tcBorders>
              <w:top w:val="single" w:color="auto" w:sz="4" w:space="0"/>
              <w:left w:val="single" w:color="auto" w:sz="4" w:space="0"/>
              <w:bottom w:val="single" w:color="auto" w:sz="4" w:space="0"/>
            </w:tcBorders>
            <w:vAlign w:val="center"/>
          </w:tcPr>
          <w:p w14:paraId="49A72BA8">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10</w:t>
            </w:r>
          </w:p>
        </w:tc>
      </w:tr>
      <w:tr w14:paraId="5A176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9" w:type="dxa"/>
            <w:tcBorders>
              <w:top w:val="single" w:color="auto" w:sz="4" w:space="0"/>
              <w:bottom w:val="single" w:color="auto" w:sz="4" w:space="0"/>
              <w:right w:val="single" w:color="auto" w:sz="4" w:space="0"/>
            </w:tcBorders>
            <w:vAlign w:val="center"/>
          </w:tcPr>
          <w:p w14:paraId="11CF5D50">
            <w:pPr>
              <w:autoSpaceDE w:val="0"/>
              <w:autoSpaceDN w:val="0"/>
              <w:adjustRightInd w:val="0"/>
              <w:spacing w:line="360" w:lineRule="auto"/>
              <w:jc w:val="center"/>
              <w:rPr>
                <w:rFonts w:hint="eastAsia" w:ascii="宋体" w:hAnsi="宋体" w:eastAsia="宋体"/>
                <w:snapToGrid/>
                <w:kern w:val="2"/>
                <w:sz w:val="24"/>
                <w:lang w:val="en-US" w:eastAsia="zh-CN"/>
              </w:rPr>
            </w:pPr>
            <w:r>
              <w:rPr>
                <w:rFonts w:hint="eastAsia" w:ascii="宋体" w:hAnsi="宋体" w:eastAsia="宋体"/>
                <w:snapToGrid/>
                <w:kern w:val="2"/>
                <w:sz w:val="24"/>
                <w:lang w:val="en-US" w:eastAsia="zh-CN"/>
              </w:rPr>
              <w:t>7</w:t>
            </w:r>
          </w:p>
        </w:tc>
        <w:tc>
          <w:tcPr>
            <w:tcW w:w="1258" w:type="dxa"/>
            <w:tcBorders>
              <w:top w:val="single" w:color="auto" w:sz="4" w:space="0"/>
              <w:left w:val="single" w:color="auto" w:sz="4" w:space="0"/>
              <w:bottom w:val="single" w:color="auto" w:sz="4" w:space="0"/>
              <w:right w:val="single" w:color="auto" w:sz="4" w:space="0"/>
            </w:tcBorders>
            <w:vAlign w:val="center"/>
          </w:tcPr>
          <w:p w14:paraId="7687BCDB">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安全保证措施</w:t>
            </w:r>
          </w:p>
        </w:tc>
        <w:tc>
          <w:tcPr>
            <w:tcW w:w="6396" w:type="dxa"/>
            <w:tcBorders>
              <w:top w:val="single" w:color="auto" w:sz="4" w:space="0"/>
              <w:left w:val="single" w:color="auto" w:sz="4" w:space="0"/>
              <w:bottom w:val="single" w:color="auto" w:sz="4" w:space="0"/>
              <w:right w:val="single" w:color="auto" w:sz="4" w:space="0"/>
            </w:tcBorders>
            <w:vAlign w:val="center"/>
          </w:tcPr>
          <w:p w14:paraId="726C5A8C">
            <w:pPr>
              <w:widowControl/>
              <w:snapToGrid w:val="0"/>
              <w:spacing w:line="276" w:lineRule="auto"/>
              <w:jc w:val="left"/>
              <w:textAlignment w:val="center"/>
              <w:rPr>
                <w:rFonts w:ascii="宋体" w:hAnsi="宋体" w:eastAsia="宋体" w:cs="仿宋"/>
                <w:sz w:val="24"/>
              </w:rPr>
            </w:pPr>
            <w:r>
              <w:rPr>
                <w:rFonts w:hint="eastAsia" w:ascii="宋体" w:hAnsi="宋体" w:eastAsia="宋体" w:cs="仿宋"/>
                <w:sz w:val="24"/>
              </w:rPr>
              <w:t>结合本项目特点制定安全保证措施，包括安全管理目标、安全管理体系、施工安全措施。安全保证措施全面科学的，得10分；安全保证措施较全面、较科学的，得7分；安全保证措施略有欠缺的，得4分；安全保证措施不全面、不科学的，得1分；未提供不得分。</w:t>
            </w:r>
          </w:p>
        </w:tc>
        <w:tc>
          <w:tcPr>
            <w:tcW w:w="709" w:type="dxa"/>
            <w:tcBorders>
              <w:top w:val="single" w:color="auto" w:sz="4" w:space="0"/>
              <w:left w:val="single" w:color="auto" w:sz="4" w:space="0"/>
              <w:bottom w:val="single" w:color="auto" w:sz="4" w:space="0"/>
            </w:tcBorders>
            <w:vAlign w:val="center"/>
          </w:tcPr>
          <w:p w14:paraId="75A21A0F">
            <w:pPr>
              <w:widowControl/>
              <w:snapToGrid w:val="0"/>
              <w:spacing w:line="276" w:lineRule="auto"/>
              <w:jc w:val="center"/>
              <w:textAlignment w:val="center"/>
              <w:rPr>
                <w:rFonts w:ascii="宋体" w:hAnsi="宋体" w:eastAsia="宋体" w:cs="仿宋"/>
                <w:sz w:val="24"/>
              </w:rPr>
            </w:pPr>
            <w:r>
              <w:rPr>
                <w:rFonts w:hint="eastAsia" w:ascii="宋体" w:hAnsi="宋体" w:eastAsia="宋体" w:cs="仿宋"/>
                <w:sz w:val="24"/>
              </w:rPr>
              <w:t>10</w:t>
            </w:r>
          </w:p>
        </w:tc>
      </w:tr>
    </w:tbl>
    <w:p w14:paraId="2DD30CA9">
      <w:pPr>
        <w:adjustRightInd w:val="0"/>
        <w:snapToGrid w:val="0"/>
        <w:spacing w:before="240" w:line="360" w:lineRule="auto"/>
        <w:ind w:firstLine="482" w:firstLineChars="200"/>
        <w:rPr>
          <w:rFonts w:hint="eastAsia" w:ascii="宋体" w:hAnsi="宋体" w:eastAsia="宋体" w:cs="宋体"/>
          <w:b/>
          <w:sz w:val="24"/>
        </w:rPr>
      </w:pPr>
    </w:p>
    <w:p w14:paraId="24EB2BE7">
      <w:pPr>
        <w:adjustRightInd w:val="0"/>
        <w:snapToGrid w:val="0"/>
        <w:spacing w:before="240" w:line="360" w:lineRule="auto"/>
        <w:ind w:firstLine="482" w:firstLineChars="200"/>
        <w:rPr>
          <w:rFonts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5D21883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15BB142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磋商报价得分=（磋商基准价/最后磋商报价）×价格权值×100。</w:t>
      </w:r>
    </w:p>
    <w:p w14:paraId="6E74EAF9">
      <w:pPr>
        <w:adjustRightInd w:val="0"/>
        <w:snapToGrid w:val="0"/>
        <w:spacing w:line="360" w:lineRule="auto"/>
        <w:ind w:firstLine="570"/>
        <w:rPr>
          <w:rFonts w:ascii="宋体" w:hAnsi="宋体" w:eastAsia="宋体" w:cs="宋体"/>
          <w:bCs/>
          <w:sz w:val="24"/>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）成交供应商的确定</w:t>
      </w:r>
    </w:p>
    <w:p w14:paraId="39067397">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465B7AE5">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采购单位委托磋商小组直接确定排名第一的成交候选人为成交供应商。</w:t>
      </w:r>
    </w:p>
    <w:p w14:paraId="5B46E4C2">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）公告成交结果</w:t>
      </w:r>
    </w:p>
    <w:p w14:paraId="3B98A781">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自确定成交供应商之日起2个工作日内，在“南通市机关事务管理局→公告公示”栏公告成交结果，公告期限为1个工作日。</w:t>
      </w:r>
    </w:p>
    <w:p w14:paraId="1C528241">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w:t>
      </w:r>
      <w:r>
        <w:rPr>
          <w:rFonts w:hint="eastAsia" w:ascii="宋体" w:hAnsi="宋体" w:eastAsia="宋体" w:cs="宋体"/>
          <w:b/>
          <w:sz w:val="24"/>
          <w:lang w:eastAsia="zh-CN"/>
        </w:rPr>
        <w:t>七</w:t>
      </w:r>
      <w:r>
        <w:rPr>
          <w:rFonts w:hint="eastAsia" w:ascii="宋体" w:hAnsi="宋体" w:eastAsia="宋体" w:cs="宋体"/>
          <w:b/>
          <w:sz w:val="24"/>
        </w:rPr>
        <w:t>）</w:t>
      </w:r>
      <w:r>
        <w:rPr>
          <w:rFonts w:hint="eastAsia" w:ascii="宋体" w:hAnsi="宋体" w:eastAsia="宋体" w:cs="宋体"/>
          <w:b/>
          <w:bCs/>
          <w:sz w:val="24"/>
        </w:rPr>
        <w:t>发放成交通知书</w:t>
      </w:r>
    </w:p>
    <w:p w14:paraId="777C539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2D9913B5">
      <w:pPr>
        <w:adjustRightInd w:val="0"/>
        <w:snapToGrid w:val="0"/>
        <w:spacing w:line="360" w:lineRule="auto"/>
        <w:ind w:firstLine="480" w:firstLineChars="200"/>
        <w:rPr>
          <w:rFonts w:ascii="宋体" w:hAnsi="宋体" w:eastAsia="宋体" w:cs="宋体"/>
          <w:b/>
          <w:bCs/>
          <w:sz w:val="36"/>
          <w:szCs w:val="36"/>
          <w:lang w:val="zh-CN"/>
        </w:rPr>
      </w:pPr>
      <w:r>
        <w:rPr>
          <w:rFonts w:hint="eastAsia" w:ascii="宋体" w:hAnsi="宋体" w:eastAsia="宋体" w:cs="宋体"/>
          <w:sz w:val="24"/>
        </w:rPr>
        <w:t>成交通知书发出后，采购单位不得违法改变成交结果，成交供应商无正当理由不得放弃成交。</w:t>
      </w:r>
      <w:r>
        <w:rPr>
          <w:rFonts w:ascii="宋体" w:hAnsi="宋体" w:eastAsia="宋体" w:cs="宋体"/>
          <w:b/>
          <w:bCs/>
          <w:sz w:val="36"/>
          <w:szCs w:val="36"/>
          <w:lang w:val="zh-CN"/>
        </w:rPr>
        <w:br w:type="page"/>
      </w:r>
    </w:p>
    <w:p w14:paraId="5DD0F764">
      <w:pPr>
        <w:spacing w:before="156" w:beforeLines="50" w:after="156"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第五部分  </w:t>
      </w:r>
      <w:bookmarkEnd w:id="91"/>
      <w:bookmarkEnd w:id="92"/>
      <w:r>
        <w:rPr>
          <w:rFonts w:hint="eastAsia" w:ascii="宋体" w:hAnsi="宋体" w:eastAsia="宋体" w:cs="宋体"/>
          <w:b/>
          <w:bCs/>
          <w:snapToGrid/>
          <w:w w:val="80"/>
          <w:kern w:val="2"/>
          <w:sz w:val="44"/>
          <w:szCs w:val="44"/>
        </w:rPr>
        <w:t>合同条款</w:t>
      </w:r>
    </w:p>
    <w:p w14:paraId="45BC1D31">
      <w:pPr>
        <w:adjustRightInd w:val="0"/>
        <w:spacing w:line="500" w:lineRule="exact"/>
        <w:ind w:firstLine="480" w:firstLineChars="200"/>
        <w:contextualSpacing/>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采购单位（或称甲方）：</w:t>
      </w:r>
      <w:r>
        <w:rPr>
          <w:rFonts w:hint="eastAsia" w:ascii="宋体" w:hAnsi="宋体" w:eastAsia="宋体" w:cs="宋体"/>
          <w:sz w:val="24"/>
          <w:szCs w:val="24"/>
          <w:highlight w:val="none"/>
          <w:u w:val="single"/>
        </w:rPr>
        <w:t xml:space="preserve">                             </w:t>
      </w:r>
    </w:p>
    <w:p w14:paraId="763B780B">
      <w:pPr>
        <w:adjustRightInd w:val="0"/>
        <w:spacing w:line="500" w:lineRule="exact"/>
        <w:ind w:firstLine="480" w:firstLineChars="200"/>
        <w:contextualSpacing/>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中标人（或称乙方）：</w:t>
      </w:r>
      <w:r>
        <w:rPr>
          <w:rFonts w:hint="eastAsia" w:ascii="宋体" w:hAnsi="宋体" w:eastAsia="宋体" w:cs="宋体"/>
          <w:sz w:val="24"/>
          <w:szCs w:val="24"/>
          <w:highlight w:val="none"/>
          <w:u w:val="single"/>
        </w:rPr>
        <w:t xml:space="preserve">                           </w:t>
      </w:r>
    </w:p>
    <w:p w14:paraId="2635D82C">
      <w:pPr>
        <w:adjustRightIn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7D855CD">
      <w:pPr>
        <w:adjustRightInd w:val="0"/>
        <w:spacing w:line="500" w:lineRule="exact"/>
        <w:ind w:firstLine="480" w:firstLineChars="200"/>
        <w:contextualSpacing/>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签订地点：</w:t>
      </w:r>
      <w:r>
        <w:rPr>
          <w:rFonts w:hint="eastAsia" w:ascii="宋体" w:hAnsi="宋体" w:eastAsia="宋体" w:cs="宋体"/>
          <w:sz w:val="24"/>
          <w:szCs w:val="24"/>
          <w:highlight w:val="none"/>
          <w:u w:val="single"/>
        </w:rPr>
        <w:t xml:space="preserve">                                 </w:t>
      </w:r>
    </w:p>
    <w:p w14:paraId="16C64A9A">
      <w:pPr>
        <w:adjustRightInd w:val="0"/>
        <w:spacing w:line="500" w:lineRule="exact"/>
        <w:ind w:firstLine="480" w:firstLineChars="200"/>
        <w:contextualSpacing/>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根据《政府采购法》、《民法典》及（项目名称）</w:t>
      </w:r>
      <w:r>
        <w:rPr>
          <w:rFonts w:hint="eastAsia" w:ascii="宋体" w:hAnsi="宋体" w:eastAsia="宋体" w:cs="宋体"/>
          <w:sz w:val="24"/>
          <w:szCs w:val="24"/>
          <w:highlight w:val="none"/>
          <w:u w:val="single"/>
        </w:rPr>
        <w:t xml:space="preserve">                     </w:t>
      </w:r>
    </w:p>
    <w:p w14:paraId="660FAB54">
      <w:pPr>
        <w:adjustRightInd w:val="0"/>
        <w:spacing w:line="500" w:lineRule="exact"/>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采购</w:t>
      </w:r>
      <w:r>
        <w:rPr>
          <w:rFonts w:hint="eastAsia" w:ascii="宋体" w:hAnsi="宋体" w:eastAsia="宋体" w:cs="宋体"/>
          <w:sz w:val="24"/>
          <w:szCs w:val="24"/>
          <w:highlight w:val="none"/>
        </w:rPr>
        <w:t>项目(采购编号：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的采购结果、采购文件及投标文件，经双方协商一致，签订本合同。</w:t>
      </w:r>
    </w:p>
    <w:p w14:paraId="0C478298">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一、合同的标的物</w:t>
      </w:r>
    </w:p>
    <w:p w14:paraId="750A8C12">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1.1甲方向乙方采购标的物，具体的品种、规格要求详见投标文件：</w:t>
      </w:r>
    </w:p>
    <w:p w14:paraId="6166B098">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 乙方对提供的标的物应当拥有完整的物权，并且负有保证第三人不得向甲方主张任何权利（包括知识产权）的义务。</w:t>
      </w:r>
    </w:p>
    <w:p w14:paraId="7BABE4F2">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二、合同价格与支付</w:t>
      </w:r>
    </w:p>
    <w:p w14:paraId="2BB3338A">
      <w:pPr>
        <w:snapToGri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2.1 合同价格按此次中标价格执行，合同总金额为人民币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包含从项目成交起到验收止(含免费质保期）所发生的一切费用（设备费、安装费、运输费、辅材费、人工费、调试费、税金、伴随服务等为完成本项目发生的所有费用）。在安装、调试、验收、伴随服务等全过程中，如发现有漏项、缺件，</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应无条件、无偿补齐，售后服务等以及为确保</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 xml:space="preserve">正常使用所产生的一切配套费用等，项目实施过程中不另结其它所有费用。 </w:t>
      </w:r>
    </w:p>
    <w:p w14:paraId="244C58D0">
      <w:pPr>
        <w:adjustRightInd w:val="0"/>
        <w:snapToGrid w:val="0"/>
        <w:spacing w:line="360" w:lineRule="auto"/>
        <w:ind w:firstLine="480" w:firstLineChars="200"/>
        <w:rPr>
          <w:rFonts w:ascii="宋体" w:hAnsi="宋体" w:eastAsia="宋体" w:cs="宋体"/>
          <w:snapToGrid/>
          <w:kern w:val="2"/>
          <w:sz w:val="24"/>
          <w:u w:val="single"/>
        </w:rPr>
      </w:pPr>
      <w:r>
        <w:rPr>
          <w:rFonts w:hint="eastAsia" w:ascii="宋体" w:hAnsi="宋体" w:eastAsia="宋体" w:cs="宋体"/>
          <w:sz w:val="24"/>
          <w:szCs w:val="24"/>
          <w:highlight w:val="none"/>
        </w:rPr>
        <w:t>2.2付款方式：</w:t>
      </w:r>
      <w:r>
        <w:rPr>
          <w:rFonts w:hint="eastAsia" w:ascii="宋体" w:hAnsi="宋体" w:eastAsia="宋体" w:cs="宋体"/>
          <w:snapToGrid/>
          <w:kern w:val="2"/>
          <w:sz w:val="24"/>
        </w:rPr>
        <w:t>成交供应商履约</w:t>
      </w:r>
      <w:r>
        <w:rPr>
          <w:rFonts w:hint="eastAsia" w:ascii="宋体" w:hAnsi="宋体" w:eastAsia="宋体" w:cs="宋体"/>
          <w:snapToGrid/>
          <w:kern w:val="2"/>
          <w:sz w:val="24"/>
          <w:u w:val="single"/>
        </w:rPr>
        <w:t>保证金缴纳且合同签订生效后15日内，</w:t>
      </w:r>
      <w:r>
        <w:rPr>
          <w:rFonts w:hint="eastAsia" w:ascii="宋体" w:hAnsi="宋体" w:eastAsia="宋体" w:cs="宋体"/>
          <w:b/>
          <w:bCs/>
          <w:snapToGrid/>
          <w:kern w:val="2"/>
          <w:sz w:val="24"/>
          <w:u w:val="single"/>
        </w:rPr>
        <w:t>成交供应商提供的货物经采购人确认合格后</w:t>
      </w:r>
      <w:r>
        <w:rPr>
          <w:rFonts w:hint="eastAsia" w:ascii="宋体" w:hAnsi="宋体" w:eastAsia="宋体" w:cs="宋体"/>
          <w:snapToGrid/>
          <w:kern w:val="2"/>
          <w:sz w:val="24"/>
          <w:u w:val="single"/>
        </w:rPr>
        <w:t>，采购人支付合同价的30%作为预付款；</w:t>
      </w:r>
    </w:p>
    <w:p w14:paraId="3BBE56DB">
      <w:pPr>
        <w:adjustRightInd w:val="0"/>
        <w:snapToGrid w:val="0"/>
        <w:spacing w:line="360" w:lineRule="auto"/>
        <w:ind w:firstLine="480" w:firstLineChars="200"/>
        <w:rPr>
          <w:rFonts w:ascii="宋体" w:hAnsi="宋体" w:eastAsia="宋体" w:cs="宋体"/>
          <w:snapToGrid/>
          <w:kern w:val="2"/>
          <w:sz w:val="24"/>
          <w:u w:val="single"/>
        </w:rPr>
      </w:pPr>
      <w:r>
        <w:rPr>
          <w:rFonts w:hint="eastAsia" w:ascii="宋体" w:hAnsi="宋体" w:eastAsia="宋体" w:cs="宋体"/>
          <w:snapToGrid/>
          <w:kern w:val="2"/>
          <w:sz w:val="24"/>
        </w:rPr>
        <w:t>竣工验收合格后；</w:t>
      </w:r>
      <w:r>
        <w:rPr>
          <w:rFonts w:hint="eastAsia" w:ascii="宋体" w:hAnsi="宋体" w:eastAsia="宋体" w:cs="宋体"/>
          <w:snapToGrid/>
          <w:kern w:val="2"/>
          <w:sz w:val="24"/>
          <w:u w:val="single"/>
        </w:rPr>
        <w:t>审计结束后15日(收到审计报告及成交供应商正式合法有效税务发票)内付至审定价的97%；余款3%作为质量保修金</w:t>
      </w:r>
      <w:r>
        <w:rPr>
          <w:rFonts w:hint="eastAsia" w:ascii="宋体" w:hAnsi="宋体" w:eastAsia="宋体" w:cs="宋体"/>
          <w:b w:val="0"/>
          <w:bCs w:val="0"/>
          <w:snapToGrid/>
          <w:color w:val="auto"/>
          <w:kern w:val="2"/>
          <w:sz w:val="24"/>
          <w:u w:val="single"/>
        </w:rPr>
        <w:t>，质保期满叁年且无质量问</w:t>
      </w:r>
      <w:r>
        <w:rPr>
          <w:rFonts w:hint="eastAsia" w:ascii="宋体" w:hAnsi="宋体" w:eastAsia="宋体" w:cs="宋体"/>
          <w:snapToGrid/>
          <w:kern w:val="2"/>
          <w:sz w:val="24"/>
          <w:u w:val="single"/>
        </w:rPr>
        <w:t>题并经甲方书面确认后15日内无息返还。</w:t>
      </w:r>
    </w:p>
    <w:p w14:paraId="0D569AF8">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2.3 乙方按期交货后向甲方结算货款时须提供下列单据：质量保证书及随产品附带的所有有关资料、甲方盖章签收后的运货回单和验收合格证明。</w:t>
      </w:r>
    </w:p>
    <w:p w14:paraId="48A2EE9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2.4 根据现行税法对甲方征收的与本合同有关的一切税费均由甲方承担；根据现行税法对乙方征收的与本合同有关的一切税费均由乙方承担。</w:t>
      </w:r>
    </w:p>
    <w:p w14:paraId="1BF3B86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2.5 支付（结算）方式：由甲方通知乙方提交相关发票并至国库支付（结算）中心办理支付手续，支付（结算）中心在各项手续、票据齐全的情况下完成对外支付。</w:t>
      </w:r>
    </w:p>
    <w:p w14:paraId="5181B9F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2.6乙方按采购文件规定缴纳了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元的履约保证金，乙方在按要求保质保量的完成该项目合同并通过验收后，甲方凭乙方提交的申请，一次性无息退还该合同项目的履约保证金。</w:t>
      </w:r>
    </w:p>
    <w:p w14:paraId="27EB8399">
      <w:pPr>
        <w:adjustRightInd w:val="0"/>
        <w:snapToGrid w:val="0"/>
        <w:spacing w:line="500" w:lineRule="exact"/>
        <w:ind w:firstLine="480" w:firstLineChars="200"/>
        <w:contextualSpacing/>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2.7、由于乙方原因，在签订合同后出现不按合同履行的情况，甲方有权将履约保证金作为违约金，全额不予退还，同时甲方亦有权终止合同，乙方还须承担相应的法律赔偿责任。</w:t>
      </w:r>
    </w:p>
    <w:p w14:paraId="4AE12567">
      <w:pPr>
        <w:adjustRightInd w:val="0"/>
        <w:snapToGrid w:val="0"/>
        <w:spacing w:line="500" w:lineRule="exact"/>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三、质量保证</w:t>
      </w:r>
    </w:p>
    <w:p w14:paraId="613F39B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3.1供应商应保证货物是全新、未使用过的原厂合格产品，并完全符合采购文件及本合同规定的质量、规格和参数的要求。验收过程中发现供货设备价值超过5%的产品不符合上述要求的，将视作不合格产品，使用方有权终止合同，造成的一切损失由供应商承担。</w:t>
      </w:r>
    </w:p>
    <w:p w14:paraId="43DF870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3.2报价产品的技术标准按国家标准执行，无国家标准的，按行业标准执行，无国家和行业标准的，按企业标准执行；但在采购文件中有特别要求的，按采购文件中规定的要求执行，并且符合相关法律、法规规定的要求。</w:t>
      </w:r>
    </w:p>
    <w:p w14:paraId="0FBDFDA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3.3供应商应保证提供的产品不得侵犯第三方专利权、商标权和设计权、版权等。否则，供应商应负全部责任，并承担由此引起的一切后果。</w:t>
      </w:r>
    </w:p>
    <w:p w14:paraId="398CF60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3.4供应商应保证其货物在正确安装、正常使用下，在其使用寿命期内应具有满意的性能。</w:t>
      </w:r>
    </w:p>
    <w:p w14:paraId="3252B4E0">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3.5供应商应采取必要的安全措施保证货物的运输及安装的安全，并承担货物的运输及安装过程中产生的风险。</w:t>
      </w:r>
    </w:p>
    <w:p w14:paraId="3A016B9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3.6供应商必须保证所提供的产品符合国家相应质量要求。</w:t>
      </w:r>
    </w:p>
    <w:p w14:paraId="67B4875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四、包装</w:t>
      </w:r>
    </w:p>
    <w:p w14:paraId="6D47FDD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乙方提供的设备必须为原包装，在送交甲方验收前不得拆箱。</w:t>
      </w:r>
    </w:p>
    <w:p w14:paraId="55226523">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五、标的物的交付</w:t>
      </w:r>
    </w:p>
    <w:p w14:paraId="5262C19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5.1 标的物的所有权自标的物交付时转移。</w:t>
      </w:r>
    </w:p>
    <w:p w14:paraId="5F75032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5.2 乙方应当按照约定的期限和约定的地点交付标的物。</w:t>
      </w:r>
    </w:p>
    <w:p w14:paraId="4F3EB653">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5.3 乙方应当按照约定或者交易习惯向甲方交付提取标的物单证以外的有关单证和资料。</w:t>
      </w:r>
    </w:p>
    <w:p w14:paraId="38F0CE53">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bCs/>
          <w:sz w:val="24"/>
          <w:szCs w:val="24"/>
          <w:highlight w:val="none"/>
        </w:rPr>
        <w:t>产品设备交货、安装固定服务</w:t>
      </w:r>
    </w:p>
    <w:p w14:paraId="048BCD7F">
      <w:pPr>
        <w:adjustRightInd w:val="0"/>
        <w:spacing w:line="500" w:lineRule="exact"/>
        <w:ind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5.4.1产品设备交付： </w:t>
      </w:r>
    </w:p>
    <w:p w14:paraId="279DAF87">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① 交货地点：产品设备送至采购单位指定的地点并负责安装.。</w:t>
      </w:r>
    </w:p>
    <w:p w14:paraId="5120C4C8">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② 货物装卸、运输涉及到的保险，其费用包含在合同总价中。</w:t>
      </w:r>
    </w:p>
    <w:p w14:paraId="647BECB8">
      <w:pPr>
        <w:adjustRightInd w:val="0"/>
        <w:snapToGrid w:val="0"/>
        <w:spacing w:line="500" w:lineRule="exact"/>
        <w:ind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5.4.2产品设备交付及安装调试服务日期：合同签订生效后</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日历天完成所有产品生产及安装调试。</w:t>
      </w:r>
    </w:p>
    <w:p w14:paraId="34BF2A4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5.4.3中标人发货到采购人指定地点前应先告知采购人。</w:t>
      </w:r>
    </w:p>
    <w:p w14:paraId="6E254FB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5.4.4全部货物的外包装必须采用防漏、防潮、防震、防锈、防盗和考虑到可能会发生的野蛮装卸等长途运输及多次装卸之需要。如因供方包装不当以及其它原因造成损坏或丢失，应由供方负一切责任。</w:t>
      </w:r>
    </w:p>
    <w:p w14:paraId="06EB247E">
      <w:pPr>
        <w:adjustRightIn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5.5 交货及安装地点：</w:t>
      </w:r>
      <w:r>
        <w:rPr>
          <w:rFonts w:hint="eastAsia" w:ascii="宋体" w:hAnsi="宋体" w:eastAsia="宋体" w:cs="宋体"/>
          <w:sz w:val="24"/>
          <w:szCs w:val="24"/>
          <w:highlight w:val="none"/>
          <w:u w:val="single"/>
        </w:rPr>
        <w:t xml:space="preserve">甲方指定地点   </w:t>
      </w:r>
      <w:r>
        <w:rPr>
          <w:rFonts w:hint="eastAsia" w:ascii="宋体" w:hAnsi="宋体" w:eastAsia="宋体" w:cs="宋体"/>
          <w:sz w:val="24"/>
          <w:szCs w:val="24"/>
          <w:highlight w:val="none"/>
        </w:rPr>
        <w:t>。</w:t>
      </w:r>
    </w:p>
    <w:p w14:paraId="0839D4E1">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六、伴随服务</w:t>
      </w:r>
    </w:p>
    <w:p w14:paraId="660DB82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 乙方除应履行按期按量交付合格标的物的义务外，还应当提供下列服务：</w:t>
      </w:r>
    </w:p>
    <w:p w14:paraId="07CF6D2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6.1.1 标的物的现场安装、启动、调试、监督（如果必须安装、调试的话）；</w:t>
      </w:r>
    </w:p>
    <w:p w14:paraId="6E17E3D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6.1.2 提供标的物组装和一般维修所必需的工具；</w:t>
      </w:r>
    </w:p>
    <w:p w14:paraId="378EEC2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6.1.3 在合同规定的期限内对所提供的标的物实行运行监督、维修服务的前提条件是该服务并不能免除乙方在质量保证期内所承担的义务；</w:t>
      </w:r>
    </w:p>
    <w:p w14:paraId="404A568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6.1.4 对甲方技术人员的技术指导或培训。</w:t>
      </w:r>
    </w:p>
    <w:p w14:paraId="0845918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6.2 除合同另有规定之外，伴随服务的费用均已含在合同价款中，甲方不再另行支付。</w:t>
      </w:r>
    </w:p>
    <w:p w14:paraId="41F499AD">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七、标的物的检验和验收</w:t>
      </w:r>
    </w:p>
    <w:p w14:paraId="7C301DC9">
      <w:pPr>
        <w:adjustRightInd w:val="0"/>
        <w:snapToGrid w:val="0"/>
        <w:spacing w:line="500" w:lineRule="exact"/>
        <w:ind w:firstLine="480" w:firstLineChars="200"/>
        <w:contextualSpacing/>
        <w:rPr>
          <w:rFonts w:hint="eastAsia" w:ascii="宋体" w:hAnsi="宋体" w:eastAsia="宋体" w:cs="宋体"/>
          <w:bCs/>
          <w:sz w:val="24"/>
          <w:szCs w:val="24"/>
          <w:highlight w:val="none"/>
        </w:rPr>
      </w:pPr>
      <w:r>
        <w:rPr>
          <w:rFonts w:hint="eastAsia" w:ascii="宋体" w:hAnsi="宋体" w:eastAsia="宋体" w:cs="宋体"/>
          <w:sz w:val="24"/>
          <w:szCs w:val="24"/>
          <w:highlight w:val="none"/>
        </w:rPr>
        <w:t>使用方有权在产品制造过程中进行中期验收和交付后抽样检测，如验收不合格，</w:t>
      </w:r>
      <w:r>
        <w:rPr>
          <w:rFonts w:hint="eastAsia" w:ascii="宋体" w:hAnsi="宋体" w:eastAsia="宋体" w:cs="宋体"/>
          <w:b/>
          <w:bCs/>
          <w:sz w:val="24"/>
          <w:szCs w:val="24"/>
          <w:highlight w:val="none"/>
        </w:rPr>
        <w:t>使用方有权中止合同、履约保证金不予退还并进行相关违约金处理。</w:t>
      </w:r>
      <w:r>
        <w:rPr>
          <w:rFonts w:hint="eastAsia" w:ascii="宋体" w:hAnsi="宋体" w:eastAsia="宋体" w:cs="宋体"/>
          <w:sz w:val="24"/>
          <w:szCs w:val="24"/>
          <w:highlight w:val="none"/>
        </w:rPr>
        <w:t>验收所发生的费用由供应商承担。</w:t>
      </w:r>
    </w:p>
    <w:p w14:paraId="4EEA9D6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八、质保期限及售后服务</w:t>
      </w:r>
    </w:p>
    <w:p w14:paraId="2D8BB691">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8.1本项目质保期为</w:t>
      </w:r>
      <w:r>
        <w:rPr>
          <w:rFonts w:hint="eastAsia" w:ascii="宋体" w:hAnsi="宋体" w:eastAsia="宋体" w:cs="宋体"/>
          <w:sz w:val="24"/>
          <w:szCs w:val="24"/>
          <w:highlight w:val="none"/>
          <w:u w:val="single"/>
          <w:lang w:eastAsia="zh-CN"/>
        </w:rPr>
        <w:t>叁</w:t>
      </w:r>
      <w:r>
        <w:rPr>
          <w:rFonts w:hint="eastAsia" w:ascii="宋体" w:hAnsi="宋体" w:eastAsia="宋体" w:cs="宋体"/>
          <w:sz w:val="24"/>
          <w:szCs w:val="24"/>
          <w:highlight w:val="none"/>
        </w:rPr>
        <w:t>年（包括原厂质保和中标人免费维护，含所有保障</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正常运行的主件、配件及材料等）。</w:t>
      </w:r>
    </w:p>
    <w:p w14:paraId="2DF455C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8.2售后服务要求</w:t>
      </w:r>
    </w:p>
    <w:p w14:paraId="56DC4F9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免费质保期内，采购人向中标人发出故障通知后，中标人应当在1小时以内响应，在2小时以内到达现场，一般故障须在6小时内解决，重大故障须在24小时内解决。在质保期内，同一商品、同一质量问题连续两次维修仍无法正常使用，中标人必须无条件给予全套全新更换。</w:t>
      </w:r>
    </w:p>
    <w:p w14:paraId="79EA54D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九、违约责任</w:t>
      </w:r>
    </w:p>
    <w:p w14:paraId="7B892D8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合同一方不履行合同义务或者履行合同义务不符合约定的，应当承担继续履行、采取补救措施或赔偿损失等违约责任。</w:t>
      </w:r>
    </w:p>
    <w:p w14:paraId="4BE5C00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 甲方违约责任</w:t>
      </w:r>
    </w:p>
    <w:p w14:paraId="130B73A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9.1.1在合同生效后，非乙方原因甲方要求退货的，应向乙方偿付合同总价款的</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%，作为违约金，违约金不足以补偿损失的，乙方有权要求甲方补足。</w:t>
      </w:r>
    </w:p>
    <w:p w14:paraId="793BC4A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9.1.2 甲方逾期支付货款的应按照逾期付款金额的每天</w:t>
      </w:r>
      <w:r>
        <w:rPr>
          <w:rFonts w:hint="eastAsia" w:ascii="宋体" w:hAnsi="宋体" w:eastAsia="宋体" w:cs="宋体"/>
          <w:sz w:val="24"/>
          <w:szCs w:val="24"/>
          <w:highlight w:val="none"/>
          <w:u w:val="single"/>
        </w:rPr>
        <w:t>0. 1%</w:t>
      </w:r>
      <w:r>
        <w:rPr>
          <w:rFonts w:hint="eastAsia" w:ascii="宋体" w:hAnsi="宋体" w:eastAsia="宋体" w:cs="宋体"/>
          <w:sz w:val="24"/>
          <w:szCs w:val="24"/>
          <w:highlight w:val="none"/>
        </w:rPr>
        <w:t>支付逾期付款违约金。</w:t>
      </w:r>
    </w:p>
    <w:p w14:paraId="37E1D55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9.1.3 甲方违反合同规定，拒绝接收乙方交付的合格标的物，应当承担乙方由此造成的损失。</w:t>
      </w:r>
    </w:p>
    <w:p w14:paraId="0C48B0E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9.2 乙方违约责任</w:t>
      </w:r>
    </w:p>
    <w:p w14:paraId="610AAC5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9.2.1 乙方不能交货，或交货不合格从而影响甲方按期正常使用的，应向甲方偿付合同总价款</w:t>
      </w:r>
      <w:r>
        <w:rPr>
          <w:rFonts w:hint="eastAsia" w:ascii="宋体" w:hAnsi="宋体" w:eastAsia="宋体" w:cs="宋体"/>
          <w:sz w:val="24"/>
          <w:szCs w:val="24"/>
          <w:highlight w:val="none"/>
          <w:u w:val="single"/>
        </w:rPr>
        <w:t xml:space="preserve">  10 </w:t>
      </w:r>
      <w:r>
        <w:rPr>
          <w:rFonts w:hint="eastAsia" w:ascii="宋体" w:hAnsi="宋体" w:eastAsia="宋体" w:cs="宋体"/>
          <w:sz w:val="24"/>
          <w:szCs w:val="24"/>
          <w:highlight w:val="none"/>
        </w:rPr>
        <w:t>%的违约金，违约金不足以补偿损失的，甲方有权要求乙方补足。</w:t>
      </w:r>
    </w:p>
    <w:p w14:paraId="531CDB1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9.2.2 乙方逾期交货的 ，应在发货前与甲方和政府采购管理部门协商，甲方仍需求的，乙方应立即发货，按照逾期交货部分货款的每天</w:t>
      </w:r>
      <w:r>
        <w:rPr>
          <w:rFonts w:hint="eastAsia" w:ascii="宋体" w:hAnsi="宋体" w:eastAsia="宋体" w:cs="宋体"/>
          <w:sz w:val="24"/>
          <w:szCs w:val="24"/>
          <w:highlight w:val="none"/>
          <w:u w:val="single"/>
        </w:rPr>
        <w:t xml:space="preserve"> 0.1% </w:t>
      </w:r>
      <w:r>
        <w:rPr>
          <w:rFonts w:hint="eastAsia" w:ascii="宋体" w:hAnsi="宋体" w:eastAsia="宋体" w:cs="宋体"/>
          <w:sz w:val="24"/>
          <w:szCs w:val="24"/>
          <w:highlight w:val="none"/>
        </w:rPr>
        <w:t>支付逾期交货违约金，同时承担甲方因此遭致的损失费用。</w:t>
      </w:r>
    </w:p>
    <w:p w14:paraId="15F6AE7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十、不可抗力</w:t>
      </w:r>
    </w:p>
    <w:p w14:paraId="0D9D05A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10.1 因不可抗力不能履行合同的，根据不可抗力的影响，部分或者全部免除责任。但合同一方延迟履行后发生不可抗力的，不能免除责任。</w:t>
      </w:r>
    </w:p>
    <w:p w14:paraId="63E6B39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10.2 合同一方因不可抗力不能履行合同的，应当及时通知对方，以减轻可能给对方造成的损失，并应当在合理期限内提供证明。</w:t>
      </w:r>
    </w:p>
    <w:p w14:paraId="4828115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十一、索赔</w:t>
      </w:r>
    </w:p>
    <w:p w14:paraId="1A12F64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11.1 甲方有权根据当地产品质量检验机构或其他有权部门出具的检验证书向乙方提出索赔。</w:t>
      </w:r>
    </w:p>
    <w:p w14:paraId="599FDD3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 在本合同规定的检验期限和质量保证期内，如果乙方对甲方提出的索赔或差异有责任，则乙方应按甲方同意的下列一种或多种方式解决索赔事宜：</w:t>
      </w:r>
    </w:p>
    <w:p w14:paraId="545846A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11.2.1 乙方同意退货，并按合同规定的货币将货款退还给甲方，并且承担由此发生的一切损失和费用，包括利息、银行手续费、运费、保险费、检验费、仓储费、装卸费以及为保护退回标的物所需的其他必要费用。</w:t>
      </w:r>
    </w:p>
    <w:p w14:paraId="013AC39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11.2.2 根据标的物的低劣程度、损坏程度以及甲方遭受损失的数额，经双方协商确定降低标的物的价格。</w:t>
      </w:r>
    </w:p>
    <w:p w14:paraId="7D069A98">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D15E06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21676C18">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十二、合同的解除和转让</w:t>
      </w:r>
    </w:p>
    <w:p w14:paraId="72583C2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12.1 甲方和乙方协商一致，可以解除合同。</w:t>
      </w:r>
    </w:p>
    <w:p w14:paraId="3CC26A7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 有下列情形之一，合同一方可以解除合同：</w:t>
      </w:r>
    </w:p>
    <w:p w14:paraId="299934D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12.2.1 因不可抗力致使不能实现合同目的，未受不可抗力影响的一方有权解除合同；</w:t>
      </w:r>
    </w:p>
    <w:p w14:paraId="1943E2F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12.2.2 因合同一方违约导致合同不能履行，另一方有权解除合同</w:t>
      </w:r>
    </w:p>
    <w:p w14:paraId="15FA6E0C">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12.2.3 有权解除合同的一方，应当在违约事实或不可抗力发生之后三十天内书面通知对方以主张解除合同，合同在书面通知到达对方时解除。</w:t>
      </w:r>
    </w:p>
    <w:p w14:paraId="555F5BD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12.3 合同的部分和全部都不得转让。</w:t>
      </w:r>
    </w:p>
    <w:p w14:paraId="13D67D3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十三、合同的生效及备案</w:t>
      </w:r>
    </w:p>
    <w:p w14:paraId="202E69A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本合同在乙方缴纳履约保证金，甲乙双方签字盖章后生效。</w:t>
      </w:r>
    </w:p>
    <w:p w14:paraId="7930D3B2">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十四、争议的解决</w:t>
      </w:r>
    </w:p>
    <w:p w14:paraId="750E3BDF">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甲乙双方因合同发生争议，应在采购人的主持下进行调解，协商不成，任何一方可以向甲方所在地人民法院起诉。</w:t>
      </w:r>
    </w:p>
    <w:p w14:paraId="572EC7FE">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十五、附则</w:t>
      </w:r>
    </w:p>
    <w:p w14:paraId="6327CEB1">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15.1 合同份数：本合同一式</w:t>
      </w:r>
      <w:r>
        <w:rPr>
          <w:rFonts w:hint="eastAsia" w:ascii="宋体" w:hAnsi="宋体" w:eastAsia="宋体" w:cs="宋体"/>
          <w:sz w:val="24"/>
          <w:szCs w:val="24"/>
          <w:highlight w:val="none"/>
          <w:lang w:val="en-US" w:eastAsia="zh-CN"/>
        </w:rPr>
        <w:t>肆</w:t>
      </w:r>
      <w:r>
        <w:rPr>
          <w:rFonts w:hint="eastAsia" w:ascii="宋体" w:hAnsi="宋体" w:eastAsia="宋体" w:cs="宋体"/>
          <w:sz w:val="24"/>
          <w:szCs w:val="24"/>
          <w:highlight w:val="none"/>
        </w:rPr>
        <w:t>份，采购人、供应商各贰份。</w:t>
      </w:r>
    </w:p>
    <w:p w14:paraId="3ABEF49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15.2 本合同文件使用中文书写、解释和说明。</w:t>
      </w:r>
    </w:p>
    <w:p w14:paraId="5FE21BB5">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15.3 本合同履行过程中产生的纪要、协议以及中标通知书、采购响应文件和采购文件为本合同的附件，与合同具有同等效力。</w:t>
      </w:r>
    </w:p>
    <w:p w14:paraId="4BAAE856">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15.4 未尽事宜</w:t>
      </w:r>
    </w:p>
    <w:p w14:paraId="18802E9E">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本合同未尽事宜应按照《中华人民共和国民法典》、《中华人民共和国政府采购法》及其相关配套法律法规之规定解释。</w:t>
      </w:r>
    </w:p>
    <w:p w14:paraId="297791A9">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采购单位（盖章）：                中标供应商（盖章）：</w:t>
      </w:r>
    </w:p>
    <w:p w14:paraId="217EA364">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              法定代表人（签字）：</w:t>
      </w:r>
    </w:p>
    <w:p w14:paraId="0F7A96EA">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              委托代理人（签字）：</w:t>
      </w:r>
    </w:p>
    <w:p w14:paraId="45887FAD">
      <w:pPr>
        <w:adjustRightInd w:val="0"/>
        <w:snapToGrid w:val="0"/>
        <w:spacing w:line="500" w:lineRule="exact"/>
        <w:ind w:firstLine="480" w:firstLineChars="200"/>
        <w:contextualSpacing/>
        <w:rPr>
          <w:rFonts w:hint="eastAsia" w:ascii="宋体" w:hAnsi="宋体" w:eastAsia="宋体" w:cs="宋体"/>
          <w:b/>
          <w:sz w:val="24"/>
          <w:szCs w:val="24"/>
          <w:highlight w:val="none"/>
        </w:rPr>
        <w:sectPr>
          <w:pgSz w:w="11906" w:h="16838"/>
          <w:pgMar w:top="1134" w:right="1474" w:bottom="1134" w:left="1474" w:header="851" w:footer="907" w:gutter="0"/>
          <w:cols w:space="720" w:num="1"/>
          <w:docGrid w:type="lines" w:linePitch="312" w:charSpace="0"/>
        </w:sectPr>
      </w:pPr>
      <w:r>
        <w:rPr>
          <w:rFonts w:hint="eastAsia" w:ascii="宋体" w:hAnsi="宋体" w:eastAsia="宋体" w:cs="宋体"/>
          <w:sz w:val="24"/>
          <w:szCs w:val="24"/>
          <w:highlight w:val="none"/>
        </w:rPr>
        <w:t xml:space="preserve">                                     年  月  </w:t>
      </w:r>
    </w:p>
    <w:p w14:paraId="1CFF321D">
      <w:pPr>
        <w:spacing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安全生产合同</w:t>
      </w:r>
    </w:p>
    <w:p w14:paraId="368B1A97">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为在合同的实施过程中创造安全、高效的施工环境，切实搞好本项目的安全管理工作，本项目业主南通市机关事务管理局（以下简称“甲方”）与承包人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（以下简称“乙方”）特此签订生产合同：</w:t>
      </w:r>
    </w:p>
    <w:p w14:paraId="5471C8F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一、甲方职责</w:t>
      </w:r>
    </w:p>
    <w:p w14:paraId="248465B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1、严格遵守国家有关安全生产的法律法规，负责组织</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按</w:t>
      </w:r>
      <w:r>
        <w:rPr>
          <w:rFonts w:hint="eastAsia" w:asciiTheme="minorEastAsia" w:hAnsiTheme="minorEastAsia" w:eastAsiaTheme="minorEastAsia" w:cstheme="minorEastAsia"/>
          <w:sz w:val="24"/>
          <w:szCs w:val="24"/>
          <w:highlight w:val="none"/>
        </w:rPr>
        <w:t>照行业主管部门要求进行安全报监备案，认真执行工程承包合同中的有关安全要求。</w:t>
      </w:r>
    </w:p>
    <w:p w14:paraId="2DD6CDA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2、按照“安全第一、预防为主、综合治理”和坚持“管生产必须管安全”的原则进行安全生产管理，做到生产与安全工作同时计划、布置、检查、总结和评比。</w:t>
      </w:r>
    </w:p>
    <w:p w14:paraId="0219CAD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3、重要的安全设施必须坚持与主体工程“三同时”的原则，即：同时设计、审批，同时施工，同时验收，投入使用。</w:t>
      </w:r>
    </w:p>
    <w:p w14:paraId="20E686E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4、定期召开安全生产调度会，及时传达中央及地方有关安全生产的文件精神。</w:t>
      </w:r>
    </w:p>
    <w:p w14:paraId="32F7C1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5、组织对乙方施工现场安全生产检查，监督乙方及时处理发现的各种安全隐患。</w:t>
      </w:r>
    </w:p>
    <w:p w14:paraId="07C370B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二、乙方职责</w:t>
      </w:r>
    </w:p>
    <w:p w14:paraId="6D6B782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1、严格遵守国家有关安全生产的法律法规及有关安全生产的规定，认真执行工程承包合同中的有关安全要求，主动积极配合上级主管部门的安全措施费考评和标化工地评审检验工作。</w:t>
      </w:r>
    </w:p>
    <w:p w14:paraId="7940F2D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人员和具体操作人员，必须熟悉和遵守本条款的各项规定，做到生产与安全工作同时计划、布置、检查、总结和评比。</w:t>
      </w:r>
    </w:p>
    <w:p w14:paraId="7CE9BF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层层落实。项目经理是安全生产的第一责任人。现场设置的安全机构，应按施工人员的1％~3％配备安全员，专职负责所有员工的安全和治安保卫工作及预防事故的发生。安全机构人员须持有建设部制定的安全生产考核证书，有权按有关规定发布指令，并采取保护性措施防止事故发生。</w:t>
      </w:r>
    </w:p>
    <w:p w14:paraId="613E59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4、乙方在任何时候都应采取各种合理的预防措施，防止其员工发生任何违法、违禁、暴力或妨碍治安的行为。</w:t>
      </w:r>
    </w:p>
    <w:p w14:paraId="1D8D53F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必须具有省建管部门颁发的安全生产许可证书，参加施工的人员，必须经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特种作业操作证》后，方准持证上岗。施工现场如出现特种作业无证操作现象时,项目经理必须承担管理责任。</w:t>
      </w:r>
    </w:p>
    <w:p w14:paraId="660383A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对于易燃易爆的材料除应专门妥善保管之外，还应配备有足够的消防设施，所有施工人员都应熟悉消防设备的性能和使用方法；乙方不得将任何各类的爆炸物给予、易货或以其他方式转让给任何其他人，或允许、容忍上述同样行为。</w:t>
      </w:r>
    </w:p>
    <w:p w14:paraId="6143DCB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7、操作人员上岗，必须按规定穿戴防护用品，施工负责人和安全检查员应随时检查劳动防护用品的穿戴情况，不按规定穿戴防护用品的人员不得上岗。</w:t>
      </w:r>
    </w:p>
    <w:p w14:paraId="3D62629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8、所有施工机具设备和高空作业的设备均需检测合格，并有安全员经常性检查的签字记录，保证其经常处于完好状态；不合格的机具、设备和劳动保护用品严禁使用。</w:t>
      </w:r>
    </w:p>
    <w:p w14:paraId="55B3F30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9、施工中采用新技术、新工艺、新设备、新材料时，必须制定相应的安全技术措施，施工现场必须具有相关的安全警告标志牌和安全操作规程牌。</w:t>
      </w:r>
    </w:p>
    <w:p w14:paraId="63D89C8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乙方必须按照本工程项目特点，组织制定本工程实施中的生产安全专项方案和事故应急救援预案；如果发生安全事故，应按照《国务院关于特大安全事故行政责任追究的规定》以及其它有关规定，及时上报有关部门，并坚持“四不放过”的原则，严肃处理相关责任人。</w:t>
      </w:r>
    </w:p>
    <w:p w14:paraId="435A499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三、违约责任</w:t>
      </w:r>
    </w:p>
    <w:p w14:paraId="3737B10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如因甲方或乙方违约造成安全事故，将依法追究责任。</w:t>
      </w:r>
    </w:p>
    <w:p w14:paraId="0C591A41">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本安全生产合同一式六份，双方各执三份。</w:t>
      </w:r>
    </w:p>
    <w:p w14:paraId="2C0A6CC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本合同由双方法定代表人或其授权的代理人签署与加盖公章后生效，全部工程竣工验收后失效。</w:t>
      </w:r>
    </w:p>
    <w:p w14:paraId="463E2619">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  主： （盖章）                       承包人： （盖章）</w:t>
      </w:r>
    </w:p>
    <w:p w14:paraId="76EC0C88">
      <w:pPr>
        <w:spacing w:line="360" w:lineRule="auto"/>
        <w:ind w:firstLine="450"/>
        <w:rPr>
          <w:rFonts w:hint="eastAsia" w:asciiTheme="minorEastAsia" w:hAnsiTheme="minorEastAsia" w:eastAsiaTheme="minorEastAsia" w:cstheme="minorEastAsia"/>
          <w:sz w:val="24"/>
          <w:szCs w:val="24"/>
          <w:highlight w:val="none"/>
        </w:rPr>
      </w:pPr>
    </w:p>
    <w:p w14:paraId="6393899D">
      <w:pPr>
        <w:spacing w:line="360" w:lineRule="auto"/>
        <w:ind w:firstLine="4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法定代表人或其授权的代理人              法定代表或其授权的代理人:           </w:t>
      </w:r>
    </w:p>
    <w:p w14:paraId="2E999F56">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（签字）                                （签字）  </w:t>
      </w:r>
    </w:p>
    <w:p w14:paraId="6B6EAD8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32"/>
          <w:szCs w:val="32"/>
          <w:highlight w:val="none"/>
        </w:rPr>
        <w:br w:type="page"/>
      </w:r>
      <w:r>
        <w:rPr>
          <w:rFonts w:hint="eastAsia" w:asciiTheme="minorEastAsia" w:hAnsiTheme="minorEastAsia" w:eastAsiaTheme="minorEastAsia" w:cstheme="minorEastAsia"/>
          <w:b/>
          <w:bCs/>
          <w:sz w:val="32"/>
          <w:szCs w:val="32"/>
          <w:highlight w:val="none"/>
        </w:rPr>
        <w:t xml:space="preserve"> 工程建设项目廉政责任书</w:t>
      </w:r>
    </w:p>
    <w:p w14:paraId="0C26CA1B">
      <w:pPr>
        <w:adjustRightInd w:val="0"/>
        <w:snapToGrid w:val="0"/>
        <w:spacing w:line="360" w:lineRule="auto"/>
        <w:jc w:val="left"/>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rPr>
        <w:t>工程项目名称：</w:t>
      </w:r>
      <w:r>
        <w:rPr>
          <w:rFonts w:hint="eastAsia" w:asciiTheme="minorEastAsia" w:hAnsiTheme="minorEastAsia" w:eastAsiaTheme="minorEastAsia" w:cstheme="minorEastAsia"/>
          <w:sz w:val="24"/>
          <w:szCs w:val="24"/>
          <w:highlight w:val="none"/>
          <w:u w:val="single"/>
        </w:rPr>
        <w:t xml:space="preserve">                   </w:t>
      </w:r>
    </w:p>
    <w:p w14:paraId="07692093">
      <w:pPr>
        <w:adjustRightInd w:val="0"/>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工程项目地址：</w:t>
      </w:r>
      <w:r>
        <w:rPr>
          <w:rFonts w:hint="eastAsia" w:asciiTheme="minorEastAsia" w:hAnsiTheme="minorEastAsia" w:eastAsiaTheme="minorEastAsia" w:cstheme="minorEastAsia"/>
          <w:sz w:val="24"/>
          <w:szCs w:val="24"/>
          <w:highlight w:val="none"/>
          <w:u w:val="single"/>
        </w:rPr>
        <w:t xml:space="preserve">                   </w:t>
      </w:r>
    </w:p>
    <w:p w14:paraId="056C35AF">
      <w:pPr>
        <w:adjustRightInd w:val="0"/>
        <w:snapToGrid w:val="0"/>
        <w:spacing w:line="360" w:lineRule="auto"/>
        <w:jc w:val="lef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建设单位（甲方）：</w:t>
      </w:r>
      <w:r>
        <w:rPr>
          <w:rFonts w:hint="eastAsia" w:asciiTheme="minorEastAsia" w:hAnsiTheme="minorEastAsia" w:eastAsiaTheme="minorEastAsia" w:cstheme="minorEastAsia"/>
          <w:sz w:val="24"/>
          <w:szCs w:val="24"/>
          <w:highlight w:val="none"/>
          <w:u w:val="single"/>
        </w:rPr>
        <w:t xml:space="preserve">                   </w:t>
      </w:r>
    </w:p>
    <w:p w14:paraId="068CD910">
      <w:pPr>
        <w:adjustRightInd w:val="0"/>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施工单位（乙方）：</w:t>
      </w:r>
      <w:r>
        <w:rPr>
          <w:rFonts w:hint="eastAsia" w:asciiTheme="minorEastAsia" w:hAnsiTheme="minorEastAsia" w:eastAsiaTheme="minorEastAsia" w:cstheme="minorEastAsia"/>
          <w:sz w:val="24"/>
          <w:szCs w:val="24"/>
          <w:highlight w:val="none"/>
          <w:u w:val="single"/>
        </w:rPr>
        <w:t xml:space="preserve">                   </w:t>
      </w:r>
    </w:p>
    <w:p w14:paraId="314D10C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7653A2CD">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第一条 甲乙双方的责任</w:t>
      </w:r>
    </w:p>
    <w:p w14:paraId="28BA25D3">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1、应严格遵守国家关于市场准入、项目招标投标、工程建设、施工安装和市场活动等有关法律法规、相关政策，以及廉政建设的各项规定。</w:t>
      </w:r>
    </w:p>
    <w:p w14:paraId="3535FAA5">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2、严格执行建设工程项目承发包合同文件，自觉按合同办事。</w:t>
      </w:r>
    </w:p>
    <w:p w14:paraId="29692DA0">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3、业务活动必须坚持公开、公平、公正、诚信、透明的原则（除法律法规另有规定者外），不得为获取不正当的利益，损害国家、集体和对方利益，不得违反工程建设管理的规章制度。</w:t>
      </w:r>
    </w:p>
    <w:p w14:paraId="0BBA0B1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4、发现对方在业务活动中有违规、违纪、违法行为的，应及时提醒对方，情节严重的，向其上级主管部门或纪检监察、司法等有关机关举报。</w:t>
      </w:r>
    </w:p>
    <w:p w14:paraId="2F674B52">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第二条 甲方的责任</w:t>
      </w:r>
    </w:p>
    <w:p w14:paraId="5DA41213">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甲方的领导和从事该建设工程项目的工作人员，在工程建设的事前、事中、事后应遵守以下规定：</w:t>
      </w:r>
    </w:p>
    <w:p w14:paraId="0FF32CB9">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1、不准向乙方和相关单位索要或接受现金、代币购物券、礼仪储蓄单、债券、股票及其他有价证券、消费卡、购物卡、电话充值卡、商品提贷单等各种支付凭证和高档耐用物品、金银制品等贵重物品。</w:t>
      </w:r>
    </w:p>
    <w:p w14:paraId="0051F74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2、不准在乙方和相关单位报销应由甲方或个人支付的费用。</w:t>
      </w:r>
    </w:p>
    <w:p w14:paraId="4B649B4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3、不准要求、暗示和接受乙方和相关单位为个人装修住房、婚丧嫁娶、配偶子女的工作安排以及出国（境）、旅游等提供方便。</w:t>
      </w:r>
    </w:p>
    <w:p w14:paraId="2E44FEF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4、不准参加有可能影响公正执行公务的乙方和相关单位的宴请和健身、娱乐活动。</w:t>
      </w:r>
    </w:p>
    <w:p w14:paraId="3AFF0D5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615E5371">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6、不准在逢年过节、婚丧喜庆、工作调动、子女上学等方面收受乙方和相关单位的礼金、礼品。</w:t>
      </w:r>
    </w:p>
    <w:p w14:paraId="01BBECCA">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第三条 乙方的责任</w:t>
      </w:r>
    </w:p>
    <w:p w14:paraId="54863B05">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应与甲方保持正常的业务交往，按照有关法律法规和程序开展业务工作，严格执行工程建设的有关方针、政策，尤其是有关建筑施工安装的强制性标准和规范，并遵守以下规定：</w:t>
      </w:r>
    </w:p>
    <w:p w14:paraId="21E1447C">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准以任何理由向甲方、相关单位及其工作人员索要、接受或赠送现金、代币购物券、礼仪储蓄单、债券、股票及其他有价证券、消费卡、购物卡、电话充值卡、商品提贷单等各种支付凭证和高档耐用物品、金银制品等贵重物品。</w:t>
      </w:r>
    </w:p>
    <w:p w14:paraId="5B3F13DF">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2、不准以任何理由为甲方和相关单位报销应由对方或个人支付的费用。</w:t>
      </w:r>
    </w:p>
    <w:p w14:paraId="1F572F2D">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3、不准接受或暗示为甲方、相关单位或个人装修住房、婚丧嫁娶、配偶子女的工作安排以及出国（境）、旅游等提供方便。</w:t>
      </w:r>
    </w:p>
    <w:p w14:paraId="0F020AF7">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4、不准以任何理由为甲方、相关单位或个人组织有可能影响公正执行公务的宴请、健身、娱乐等活动。</w:t>
      </w:r>
    </w:p>
    <w:p w14:paraId="749DC177">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5、不准利用逢年过节、婚丧喜庆、工作调动、子女上学等机会向甲方或个人赠送礼金、礼品。</w:t>
      </w:r>
    </w:p>
    <w:p w14:paraId="642FE5C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第四条 违约责任</w:t>
      </w:r>
    </w:p>
    <w:p w14:paraId="5FF9BD06">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工作人员有违反本责任书第一、二条责任行为的，按照管理权限，依据有关法律法规和规定给予党纪、政纪处分或组织处理；涉嫌犯罪的，移交司法机关追究刑事责任；给乙方单位造成经济损失的，应予以赔偿。</w:t>
      </w:r>
    </w:p>
    <w:p w14:paraId="608A3146">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2、乙方工作人员有违反本责任书第一、三条责任行为的，甲方有权终止施工合同，并报请主管部门取消参与本市范围内工程建设资格；给甲方单位造成经济损失的，应予以赔偿。</w:t>
      </w:r>
    </w:p>
    <w:p w14:paraId="07DD076B">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第五条 本责任书作为工程施工合同的附件；与工程施工合同具有同等法律效力。经双方签署后立即生效。</w:t>
      </w:r>
    </w:p>
    <w:p w14:paraId="1DB130A5">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第六条 本责任书的有效期为双方签署之日起至该工程项目缺陷责任期满时止。</w:t>
      </w:r>
    </w:p>
    <w:p w14:paraId="480328A1">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w:t>
      </w:r>
      <w:r>
        <w:rPr>
          <w:rFonts w:hint="eastAsia" w:asciiTheme="minorEastAsia" w:hAnsiTheme="minorEastAsia" w:eastAsiaTheme="minorEastAsia" w:cstheme="minorEastAsia"/>
          <w:bCs/>
          <w:sz w:val="24"/>
          <w:szCs w:val="24"/>
          <w:highlight w:val="none"/>
        </w:rPr>
        <w:t>七条 本责任书一式六份，双方各执二份，招标办一份，招标人一份。</w:t>
      </w:r>
    </w:p>
    <w:p w14:paraId="5D8CC479">
      <w:pPr>
        <w:snapToGri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甲方单位：（盖章）                   乙方单位：（盖章）</w:t>
      </w:r>
    </w:p>
    <w:p w14:paraId="1B95EBA8">
      <w:pPr>
        <w:snapToGri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代表人：                            代表人：</w:t>
      </w:r>
    </w:p>
    <w:p w14:paraId="04A6BDEF">
      <w:pPr>
        <w:snapToGrid w:val="0"/>
        <w:spacing w:line="360" w:lineRule="auto"/>
        <w:ind w:firstLine="6240" w:firstLineChars="26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14:paraId="2E805AC5">
      <w:pPr>
        <w:spacing w:line="460" w:lineRule="exact"/>
        <w:jc w:val="center"/>
        <w:rPr>
          <w:rFonts w:ascii="宋体" w:hAnsi="宋体" w:eastAsia="宋体" w:cs="宋体"/>
          <w:b/>
          <w:color w:val="000000"/>
          <w:sz w:val="24"/>
        </w:rPr>
      </w:pPr>
      <w:r>
        <w:rPr>
          <w:rFonts w:hint="eastAsia" w:ascii="宋体" w:hAnsi="宋体" w:eastAsia="宋体" w:cs="宋体"/>
          <w:b/>
          <w:color w:val="000000"/>
          <w:sz w:val="24"/>
        </w:rPr>
        <w:t>工程质量保修书</w:t>
      </w:r>
    </w:p>
    <w:p w14:paraId="4D7AB5BB">
      <w:pPr>
        <w:spacing w:line="460" w:lineRule="exact"/>
        <w:ind w:firstLine="480" w:firstLineChars="200"/>
        <w:rPr>
          <w:rFonts w:ascii="宋体" w:hAnsi="宋体" w:eastAsia="宋体" w:cs="宋体"/>
          <w:color w:val="000000"/>
          <w:sz w:val="24"/>
        </w:rPr>
      </w:pPr>
    </w:p>
    <w:p w14:paraId="33ECA2E9">
      <w:pPr>
        <w:spacing w:line="360" w:lineRule="auto"/>
        <w:ind w:firstLine="480" w:firstLineChars="200"/>
        <w:rPr>
          <w:rFonts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b/>
          <w:sz w:val="24"/>
          <w:u w:val="single"/>
        </w:rPr>
        <w:t>南通市机关事务管理局</w:t>
      </w:r>
    </w:p>
    <w:p w14:paraId="2710B756">
      <w:pPr>
        <w:tabs>
          <w:tab w:val="left" w:pos="3936"/>
        </w:tabs>
        <w:spacing w:line="360" w:lineRule="auto"/>
        <w:ind w:firstLine="480" w:firstLineChars="200"/>
        <w:rPr>
          <w:rFonts w:ascii="宋体" w:hAnsi="宋体" w:eastAsia="宋体" w:cs="宋体"/>
          <w:sz w:val="24"/>
          <w:u w:val="single"/>
        </w:rPr>
      </w:pP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4A1B2C54">
      <w:pPr>
        <w:shd w:val="clear" w:color="auto"/>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发包人和承包人根据《中华人民共和国建筑法》和《建设工程质量管理条例》，经协商一致就</w:t>
      </w:r>
      <w:r>
        <w:rPr>
          <w:rFonts w:hint="eastAsia" w:ascii="宋体" w:hAnsi="宋体" w:eastAsia="宋体" w:cs="宋体"/>
          <w:b/>
          <w:bCs/>
          <w:color w:val="000000"/>
          <w:sz w:val="24"/>
          <w:u w:val="single"/>
          <w:lang w:eastAsia="zh-CN"/>
        </w:rPr>
        <w:t>南通市政务中心食堂服务中心设备采购项目（二次）</w:t>
      </w:r>
      <w:r>
        <w:rPr>
          <w:rFonts w:hint="eastAsia" w:ascii="宋体" w:hAnsi="宋体" w:eastAsia="宋体" w:cs="宋体"/>
          <w:color w:val="000000"/>
          <w:sz w:val="24"/>
          <w:u w:val="single"/>
        </w:rPr>
        <w:t>（工程全称）</w:t>
      </w:r>
      <w:r>
        <w:rPr>
          <w:rFonts w:hint="eastAsia" w:ascii="宋体" w:hAnsi="宋体" w:eastAsia="宋体" w:cs="宋体"/>
          <w:color w:val="000000"/>
          <w:sz w:val="24"/>
        </w:rPr>
        <w:t>签订工程质量保修书。</w:t>
      </w:r>
    </w:p>
    <w:p w14:paraId="43CDF9B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一、工程质量保修范围和内容</w:t>
      </w:r>
    </w:p>
    <w:p w14:paraId="2765E7D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承包人在质量保修期内，按照有关法律规定和合同约定，承担工程质量保修责任。</w:t>
      </w:r>
    </w:p>
    <w:p w14:paraId="796B3526">
      <w:pPr>
        <w:autoSpaceDE w:val="0"/>
        <w:autoSpaceDN w:val="0"/>
        <w:adjustRightInd w:val="0"/>
        <w:spacing w:line="360" w:lineRule="auto"/>
        <w:ind w:firstLine="480" w:firstLineChars="200"/>
        <w:rPr>
          <w:rFonts w:ascii="宋体" w:hAnsi="宋体" w:eastAsia="宋体" w:cs="宋体"/>
          <w:b/>
          <w:color w:val="000000"/>
          <w:sz w:val="24"/>
          <w:u w:val="single"/>
        </w:rPr>
      </w:pPr>
      <w:r>
        <w:rPr>
          <w:rFonts w:hint="eastAsia" w:ascii="宋体" w:hAnsi="宋体" w:eastAsia="宋体" w:cs="宋体"/>
          <w:color w:val="00000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color w:val="000000"/>
          <w:sz w:val="24"/>
          <w:u w:val="single"/>
        </w:rPr>
        <w:t>承包人所施工的内容。</w:t>
      </w:r>
    </w:p>
    <w:p w14:paraId="43B982A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二、质量保修期</w:t>
      </w:r>
    </w:p>
    <w:p w14:paraId="7BD7AC52">
      <w:pPr>
        <w:spacing w:line="360" w:lineRule="auto"/>
        <w:ind w:firstLine="480" w:firstLineChars="200"/>
        <w:rPr>
          <w:rFonts w:ascii="宋体" w:hAnsi="宋体" w:eastAsia="宋体" w:cs="宋体"/>
          <w:sz w:val="24"/>
        </w:rPr>
      </w:pPr>
      <w:r>
        <w:rPr>
          <w:rFonts w:hint="eastAsia" w:ascii="宋体" w:hAnsi="宋体" w:eastAsia="宋体" w:cs="宋体"/>
          <w:sz w:val="24"/>
        </w:rPr>
        <w:t>根据《建设工程质量管理条例》及有关规定，工程的质量保修期如下：</w:t>
      </w:r>
    </w:p>
    <w:p w14:paraId="56365CD6">
      <w:pPr>
        <w:spacing w:line="360" w:lineRule="auto"/>
        <w:ind w:firstLine="480" w:firstLineChars="200"/>
        <w:rPr>
          <w:rFonts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19DE8BCF">
      <w:pPr>
        <w:spacing w:line="360" w:lineRule="auto"/>
        <w:ind w:firstLine="480" w:firstLineChars="200"/>
        <w:rPr>
          <w:rFonts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 xml:space="preserve"> </w:t>
      </w:r>
      <w:r>
        <w:rPr>
          <w:rStyle w:val="318"/>
          <w:rFonts w:hint="eastAsia" w:ascii="宋体" w:hAnsi="宋体" w:eastAsia="宋体" w:cs="宋体"/>
          <w:b/>
          <w:i w:val="0"/>
          <w:sz w:val="24"/>
          <w:u w:val="single"/>
        </w:rPr>
        <w:t>5</w:t>
      </w:r>
      <w:r>
        <w:rPr>
          <w:rFonts w:hint="eastAsia" w:ascii="宋体" w:hAnsi="宋体" w:eastAsia="宋体" w:cs="宋体"/>
          <w:i/>
          <w:sz w:val="24"/>
          <w:u w:val="single"/>
        </w:rPr>
        <w:t xml:space="preserve"> </w:t>
      </w:r>
      <w:r>
        <w:rPr>
          <w:rFonts w:hint="eastAsia" w:ascii="宋体" w:hAnsi="宋体" w:eastAsia="宋体" w:cs="宋体"/>
          <w:sz w:val="24"/>
        </w:rPr>
        <w:t>年；</w:t>
      </w:r>
    </w:p>
    <w:p w14:paraId="779B7F2A">
      <w:pPr>
        <w:spacing w:line="360" w:lineRule="auto"/>
        <w:ind w:firstLine="480" w:firstLineChars="200"/>
        <w:rPr>
          <w:rFonts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 xml:space="preserve"> </w:t>
      </w:r>
      <w:r>
        <w:rPr>
          <w:rFonts w:hint="eastAsia" w:ascii="宋体" w:hAnsi="宋体" w:eastAsia="宋体" w:cs="宋体"/>
          <w:b/>
          <w:bCs/>
          <w:sz w:val="24"/>
          <w:u w:val="single"/>
        </w:rPr>
        <w:t>3</w:t>
      </w:r>
      <w:r>
        <w:rPr>
          <w:rFonts w:hint="eastAsia" w:ascii="宋体" w:hAnsi="宋体" w:eastAsia="宋体" w:cs="宋体"/>
          <w:sz w:val="24"/>
          <w:u w:val="single"/>
        </w:rPr>
        <w:t xml:space="preserve"> </w:t>
      </w:r>
      <w:r>
        <w:rPr>
          <w:rFonts w:hint="eastAsia" w:ascii="宋体" w:hAnsi="宋体" w:eastAsia="宋体" w:cs="宋体"/>
          <w:sz w:val="24"/>
        </w:rPr>
        <w:t>年；</w:t>
      </w:r>
    </w:p>
    <w:p w14:paraId="559EB013">
      <w:pPr>
        <w:spacing w:line="360" w:lineRule="auto"/>
        <w:ind w:firstLine="480" w:firstLineChars="200"/>
        <w:rPr>
          <w:rFonts w:ascii="宋体" w:hAnsi="宋体" w:eastAsia="宋体" w:cs="宋体"/>
          <w:sz w:val="24"/>
        </w:rPr>
      </w:pPr>
      <w:r>
        <w:rPr>
          <w:rFonts w:hint="eastAsia" w:ascii="宋体" w:hAnsi="宋体" w:eastAsia="宋体" w:cs="宋体"/>
          <w:sz w:val="24"/>
        </w:rPr>
        <w:t>4．电气管线、给排水管道、设备安装工程为</w:t>
      </w:r>
      <w:r>
        <w:rPr>
          <w:rFonts w:hint="eastAsia" w:ascii="宋体" w:hAnsi="宋体" w:eastAsia="宋体" w:cs="宋体"/>
          <w:sz w:val="24"/>
          <w:u w:val="single"/>
        </w:rPr>
        <w:t xml:space="preserve"> </w:t>
      </w:r>
      <w:r>
        <w:rPr>
          <w:rFonts w:hint="eastAsia" w:ascii="宋体" w:hAnsi="宋体" w:eastAsia="宋体" w:cs="宋体"/>
          <w:b/>
          <w:bCs/>
          <w:sz w:val="24"/>
          <w:u w:val="single"/>
        </w:rPr>
        <w:t>3</w:t>
      </w:r>
      <w:r>
        <w:rPr>
          <w:rFonts w:hint="eastAsia" w:ascii="宋体" w:hAnsi="宋体" w:eastAsia="宋体" w:cs="宋体"/>
          <w:sz w:val="24"/>
          <w:u w:val="single"/>
        </w:rPr>
        <w:t xml:space="preserve"> </w:t>
      </w:r>
      <w:r>
        <w:rPr>
          <w:rFonts w:hint="eastAsia" w:ascii="宋体" w:hAnsi="宋体" w:eastAsia="宋体" w:cs="宋体"/>
          <w:sz w:val="24"/>
        </w:rPr>
        <w:t>年；</w:t>
      </w:r>
    </w:p>
    <w:p w14:paraId="78CF4542">
      <w:pPr>
        <w:spacing w:line="360" w:lineRule="auto"/>
        <w:ind w:firstLine="480" w:firstLineChars="200"/>
        <w:rPr>
          <w:rFonts w:ascii="宋体" w:hAnsi="宋体" w:eastAsia="宋体" w:cs="宋体"/>
          <w:sz w:val="24"/>
        </w:rPr>
      </w:pPr>
      <w:r>
        <w:rPr>
          <w:rFonts w:hint="eastAsia" w:ascii="宋体" w:hAnsi="宋体" w:eastAsia="宋体" w:cs="宋体"/>
          <w:sz w:val="24"/>
        </w:rPr>
        <w:t>5．供热与供冷系统为</w:t>
      </w:r>
      <w:r>
        <w:rPr>
          <w:rFonts w:hint="eastAsia" w:ascii="宋体" w:hAnsi="宋体" w:eastAsia="宋体" w:cs="宋体"/>
          <w:sz w:val="24"/>
          <w:u w:val="single"/>
        </w:rPr>
        <w:t xml:space="preserve">  </w:t>
      </w:r>
      <w:r>
        <w:rPr>
          <w:rStyle w:val="318"/>
          <w:rFonts w:hint="eastAsia"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个采暖期、供冷期；</w:t>
      </w:r>
    </w:p>
    <w:p w14:paraId="1A92B4BF">
      <w:pPr>
        <w:spacing w:line="360" w:lineRule="auto"/>
        <w:ind w:firstLine="480" w:firstLineChars="200"/>
        <w:rPr>
          <w:rFonts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 xml:space="preserve">  </w:t>
      </w:r>
      <w:r>
        <w:rPr>
          <w:rStyle w:val="318"/>
          <w:rFonts w:hint="eastAsia"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p>
    <w:p w14:paraId="720E5B56">
      <w:pPr>
        <w:spacing w:line="360" w:lineRule="auto"/>
        <w:ind w:firstLine="480" w:firstLineChars="200"/>
        <w:rPr>
          <w:rFonts w:ascii="宋体" w:hAnsi="宋体" w:eastAsia="宋体" w:cs="宋体"/>
          <w:sz w:val="24"/>
        </w:rPr>
      </w:pPr>
      <w:r>
        <w:rPr>
          <w:rFonts w:hint="eastAsia" w:ascii="宋体" w:hAnsi="宋体" w:eastAsia="宋体" w:cs="宋体"/>
          <w:sz w:val="24"/>
        </w:rPr>
        <w:t>7．其他项目保修期限约定如下：</w:t>
      </w:r>
      <w:r>
        <w:rPr>
          <w:rFonts w:hint="eastAsia" w:ascii="宋体" w:hAnsi="宋体" w:eastAsia="宋体" w:cs="宋体"/>
          <w:b/>
          <w:bCs/>
          <w:sz w:val="24"/>
          <w:u w:val="single"/>
        </w:rPr>
        <w:t>本项目所有货物（设备）及未列明项目的质保期均为</w:t>
      </w:r>
      <w:r>
        <w:rPr>
          <w:rFonts w:ascii="宋体" w:hAnsi="宋体" w:eastAsia="宋体" w:cs="宋体"/>
          <w:b/>
          <w:bCs/>
          <w:sz w:val="24"/>
          <w:u w:val="single"/>
        </w:rPr>
        <w:t>3年。</w:t>
      </w:r>
    </w:p>
    <w:p w14:paraId="592B1361">
      <w:pPr>
        <w:pStyle w:val="2"/>
        <w:ind w:left="0" w:leftChars="0" w:firstLine="482"/>
        <w:rPr>
          <w:rFonts w:ascii="宋体" w:hAnsi="宋体" w:cs="宋体"/>
          <w:sz w:val="24"/>
        </w:rPr>
      </w:pPr>
      <w:r>
        <w:rPr>
          <w:rFonts w:hint="eastAsia" w:ascii="宋体" w:hAnsi="宋体" w:cs="宋体"/>
          <w:b/>
          <w:sz w:val="24"/>
        </w:rPr>
        <w:t>质量保修期自竣工验收合格之日起计算</w:t>
      </w:r>
      <w:r>
        <w:rPr>
          <w:rFonts w:hint="eastAsia" w:ascii="宋体" w:hAnsi="宋体" w:cs="宋体"/>
          <w:sz w:val="24"/>
        </w:rPr>
        <w:t>。</w:t>
      </w:r>
    </w:p>
    <w:p w14:paraId="2D9A8DE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三、缺陷责任期</w:t>
      </w:r>
    </w:p>
    <w:p w14:paraId="2AFC4D4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工程缺陷责任期为</w:t>
      </w:r>
      <w:r>
        <w:rPr>
          <w:rFonts w:hint="eastAsia" w:ascii="宋体" w:hAnsi="宋体" w:eastAsia="宋体" w:cs="宋体"/>
          <w:b/>
          <w:color w:val="000000"/>
          <w:sz w:val="24"/>
          <w:u w:val="single"/>
        </w:rPr>
        <w:t>24</w:t>
      </w:r>
      <w:r>
        <w:rPr>
          <w:rFonts w:hint="eastAsia" w:ascii="宋体" w:hAnsi="宋体" w:eastAsia="宋体" w:cs="宋体"/>
          <w:color w:val="000000"/>
          <w:sz w:val="24"/>
        </w:rPr>
        <w:t>个月，缺陷责任期自工程竣工验收合格之日起计算。单位工程先于全部工程进行验收，单位工程缺陷责任期自单位工程验收合格之日起算。</w:t>
      </w:r>
    </w:p>
    <w:p w14:paraId="2073168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四、质量保修责任</w:t>
      </w:r>
    </w:p>
    <w:p w14:paraId="3998619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1．属于保修范围、内容的项目，承包人应当在接到保修通知之日起7天内派人保修。承包人不在约定期限内派人保修的，发包人可以委托他人修理。</w:t>
      </w:r>
    </w:p>
    <w:p w14:paraId="5964E9D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2．发生紧急事故需抢修的，承包人在接到事故通知后，应当立即到达事故现场抢修。</w:t>
      </w:r>
    </w:p>
    <w:p w14:paraId="032E322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0AD0EE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4．在工程设计使用期内，承包人确保地基基础工程和主体结构的质量。因承包人原因致使工程在设计使用期内造成人身和财产损害的，承包人应承担损害赔偿责任。</w:t>
      </w:r>
    </w:p>
    <w:p w14:paraId="22B3764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5.质量保修完成后，由发包人组织验收。</w:t>
      </w:r>
    </w:p>
    <w:p w14:paraId="6209094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五、保修费用</w:t>
      </w:r>
    </w:p>
    <w:p w14:paraId="271BCBE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保修费用由造成质量缺陷的责任方承担，工程质量保修金为发包人指定的审计单位确认最终审计结算价的3%。</w:t>
      </w:r>
    </w:p>
    <w:p w14:paraId="35E618A6">
      <w:pPr>
        <w:spacing w:line="360" w:lineRule="auto"/>
        <w:ind w:firstLine="482" w:firstLineChars="200"/>
        <w:rPr>
          <w:rFonts w:ascii="宋体" w:hAnsi="宋体" w:eastAsia="宋体" w:cs="宋体"/>
          <w:color w:val="000000"/>
          <w:sz w:val="24"/>
        </w:rPr>
      </w:pPr>
      <w:r>
        <w:rPr>
          <w:rFonts w:hint="eastAsia" w:ascii="宋体" w:hAnsi="宋体" w:eastAsia="宋体" w:cs="宋体"/>
          <w:b/>
          <w:color w:val="000000"/>
          <w:sz w:val="24"/>
        </w:rPr>
        <w:t>六</w:t>
      </w:r>
      <w:r>
        <w:rPr>
          <w:rFonts w:hint="eastAsia" w:ascii="宋体" w:hAnsi="宋体" w:eastAsia="宋体" w:cs="宋体"/>
          <w:color w:val="000000"/>
          <w:sz w:val="24"/>
        </w:rPr>
        <w:t>、双方约定的其他工程质量保修事项：</w:t>
      </w:r>
    </w:p>
    <w:p w14:paraId="05341824">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（1）工程保修期内，承包人委托一名代表专职处理本工程的维修工作。</w:t>
      </w:r>
    </w:p>
    <w:p w14:paraId="4F4B2032">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（2）本合同约定的质量保修金银行利率为0。</w:t>
      </w:r>
    </w:p>
    <w:p w14:paraId="53BDB5C6">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（3）承包人实施工程质量保修须遵守有关规定。</w:t>
      </w:r>
    </w:p>
    <w:p w14:paraId="3103BAED">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（4）因承包人未能及时履行保修责任引起发包人的一切损失，均由承包人承担，发生的保修费用由发包人从保修金中抵扣。不足部分，由承包人承担。</w:t>
      </w:r>
    </w:p>
    <w:p w14:paraId="042EA75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本工程质量保修书，由施工合同发包人、承包人三方在竣工验收前共同签署，作为施工合同附件，其有效期限至保修期满。</w:t>
      </w:r>
    </w:p>
    <w:p w14:paraId="79AADE4E">
      <w:pPr>
        <w:autoSpaceDE w:val="0"/>
        <w:autoSpaceDN w:val="0"/>
        <w:adjustRightInd w:val="0"/>
        <w:spacing w:line="420" w:lineRule="exact"/>
        <w:jc w:val="left"/>
        <w:rPr>
          <w:rFonts w:ascii="宋体" w:hAnsi="宋体" w:eastAsia="宋体" w:cs="宋体"/>
          <w:color w:val="000000"/>
          <w:sz w:val="24"/>
        </w:rPr>
      </w:pPr>
    </w:p>
    <w:p w14:paraId="0A5B4530">
      <w:pPr>
        <w:autoSpaceDE w:val="0"/>
        <w:autoSpaceDN w:val="0"/>
        <w:adjustRightInd w:val="0"/>
        <w:spacing w:line="420" w:lineRule="exact"/>
        <w:jc w:val="left"/>
        <w:rPr>
          <w:rFonts w:ascii="宋体" w:hAnsi="宋体" w:eastAsia="宋体" w:cs="宋体"/>
          <w:color w:val="000000"/>
          <w:sz w:val="24"/>
        </w:rPr>
      </w:pPr>
    </w:p>
    <w:p w14:paraId="70E74802">
      <w:pPr>
        <w:autoSpaceDE w:val="0"/>
        <w:autoSpaceDN w:val="0"/>
        <w:adjustRightInd w:val="0"/>
        <w:spacing w:line="420" w:lineRule="exact"/>
        <w:jc w:val="left"/>
        <w:rPr>
          <w:rFonts w:ascii="宋体" w:hAnsi="宋体" w:eastAsia="宋体" w:cs="宋体"/>
          <w:color w:val="000000"/>
          <w:sz w:val="24"/>
        </w:rPr>
      </w:pPr>
    </w:p>
    <w:p w14:paraId="267560B7">
      <w:pPr>
        <w:autoSpaceDE w:val="0"/>
        <w:autoSpaceDN w:val="0"/>
        <w:adjustRightInd w:val="0"/>
        <w:spacing w:line="420" w:lineRule="exact"/>
        <w:jc w:val="left"/>
        <w:rPr>
          <w:rFonts w:ascii="宋体" w:hAnsi="宋体" w:eastAsia="宋体" w:cs="宋体"/>
          <w:color w:val="000000"/>
          <w:sz w:val="24"/>
        </w:rPr>
      </w:pPr>
    </w:p>
    <w:p w14:paraId="401E3802">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发包人（公章）：                   承包人（公章）：            </w:t>
      </w:r>
    </w:p>
    <w:p w14:paraId="0D1A6B5E">
      <w:pPr>
        <w:spacing w:line="360" w:lineRule="auto"/>
        <w:ind w:firstLine="480" w:firstLineChars="200"/>
        <w:rPr>
          <w:rFonts w:ascii="宋体" w:hAnsi="宋体" w:eastAsia="宋体" w:cs="宋体"/>
          <w:sz w:val="24"/>
        </w:rPr>
      </w:pPr>
    </w:p>
    <w:p w14:paraId="554E017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法定代表人（签字或盖章）：         法定代表人（签字或盖章）： </w:t>
      </w:r>
    </w:p>
    <w:p w14:paraId="3753B048">
      <w:pPr>
        <w:spacing w:line="360" w:lineRule="auto"/>
        <w:ind w:firstLine="480" w:firstLineChars="200"/>
        <w:rPr>
          <w:rFonts w:ascii="宋体" w:hAnsi="宋体" w:eastAsia="宋体" w:cs="宋体"/>
          <w:sz w:val="24"/>
        </w:rPr>
      </w:pPr>
    </w:p>
    <w:p w14:paraId="21BC3F6F">
      <w:pPr>
        <w:spacing w:line="360" w:lineRule="auto"/>
        <w:ind w:firstLine="2400" w:firstLineChars="1000"/>
        <w:rPr>
          <w:rFonts w:ascii="宋体" w:hAnsi="宋体" w:eastAsia="宋体" w:cs="宋体"/>
          <w:color w:val="000000"/>
          <w:sz w:val="24"/>
        </w:rPr>
      </w:pPr>
      <w:r>
        <w:rPr>
          <w:rFonts w:hint="eastAsia" w:ascii="宋体" w:hAnsi="宋体" w:eastAsia="宋体" w:cs="宋体"/>
          <w:sz w:val="24"/>
        </w:rPr>
        <w:t xml:space="preserve">                       年   月  日   </w:t>
      </w:r>
    </w:p>
    <w:p w14:paraId="493410B6">
      <w:pPr>
        <w:spacing w:line="276" w:lineRule="auto"/>
        <w:ind w:firstLine="420"/>
        <w:rPr>
          <w:rFonts w:ascii="宋体" w:hAnsi="宋体" w:eastAsia="宋体" w:cs="宋体"/>
          <w:sz w:val="24"/>
          <w:u w:val="single"/>
        </w:rPr>
      </w:pPr>
      <w:r>
        <w:rPr>
          <w:rFonts w:hint="eastAsia" w:ascii="宋体" w:hAnsi="宋体" w:eastAsia="宋体" w:cs="宋体"/>
          <w:b/>
          <w:color w:val="000000"/>
          <w:sz w:val="24"/>
        </w:rPr>
        <w:br w:type="page"/>
      </w:r>
    </w:p>
    <w:p w14:paraId="77E2A71A">
      <w:pPr>
        <w:spacing w:before="156" w:beforeLines="50" w:after="156"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第六部分  响应文件组成</w:t>
      </w:r>
    </w:p>
    <w:p w14:paraId="16B424B1">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5B68351F">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1855D9E0">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1、供应商必须提供有效的营业执照复印件或扫描件。</w:t>
      </w:r>
    </w:p>
    <w:p w14:paraId="6B6D8BE2">
      <w:pPr>
        <w:shd w:val="clear" w:color="auto"/>
        <w:snapToGrid w:val="0"/>
        <w:spacing w:line="360" w:lineRule="auto"/>
        <w:ind w:firstLine="480"/>
        <w:rPr>
          <w:rFonts w:ascii="宋体" w:hAnsi="宋体" w:eastAsia="宋体" w:cs="宋体"/>
          <w:color w:val="000000"/>
          <w:sz w:val="24"/>
        </w:rPr>
      </w:pPr>
      <w:r>
        <w:rPr>
          <w:rFonts w:hint="eastAsia" w:ascii="宋体" w:hAnsi="宋体" w:eastAsia="宋体" w:cs="宋体"/>
          <w:snapToGrid/>
          <w:kern w:val="2"/>
          <w:sz w:val="24"/>
          <w:shd w:val="clear"/>
        </w:rPr>
        <w:t>2、</w:t>
      </w:r>
      <w:r>
        <w:rPr>
          <w:rFonts w:hint="eastAsia" w:ascii="宋体" w:hAnsi="宋体" w:eastAsia="宋体" w:cs="宋体"/>
          <w:color w:val="000000"/>
          <w:sz w:val="24"/>
          <w:shd w:val="clear"/>
        </w:rPr>
        <w:t>供应商法定代表人参加的，必须提供法定代表人身份证明（</w:t>
      </w:r>
      <w:r>
        <w:rPr>
          <w:rFonts w:hint="eastAsia" w:ascii="宋体" w:hAnsi="宋体" w:eastAsia="宋体" w:cs="宋体"/>
          <w:sz w:val="24"/>
          <w:shd w:val="clear"/>
        </w:rPr>
        <w:t>格式见附件</w:t>
      </w:r>
      <w:r>
        <w:rPr>
          <w:rFonts w:hint="eastAsia" w:ascii="宋体" w:hAnsi="宋体" w:eastAsia="宋体" w:cs="宋体"/>
          <w:color w:val="000000"/>
          <w:sz w:val="24"/>
          <w:shd w:val="clear"/>
        </w:rPr>
        <w:t>）；</w:t>
      </w:r>
    </w:p>
    <w:p w14:paraId="2A3CBB06">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color w:val="000000"/>
          <w:sz w:val="24"/>
        </w:rPr>
        <w:t>非法定代表人参加的，必须提供①法定代表人身份证明（格式附后）、②法定代表人签字或盖章的授权委托书（</w:t>
      </w:r>
      <w:r>
        <w:rPr>
          <w:rFonts w:hint="eastAsia" w:ascii="宋体" w:hAnsi="宋体" w:eastAsia="宋体" w:cs="宋体"/>
          <w:sz w:val="24"/>
        </w:rPr>
        <w:t>格式见附件</w:t>
      </w:r>
      <w:r>
        <w:rPr>
          <w:rFonts w:hint="eastAsia" w:ascii="宋体" w:hAnsi="宋体" w:eastAsia="宋体" w:cs="宋体"/>
          <w:color w:val="000000"/>
          <w:sz w:val="24"/>
        </w:rPr>
        <w:t>）。</w:t>
      </w:r>
    </w:p>
    <w:p w14:paraId="78F64373">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3、供应商须提供《供应商信用承诺书》（格式见附件）。</w:t>
      </w:r>
    </w:p>
    <w:p w14:paraId="4CA150AA">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lang w:val="en-US" w:eastAsia="zh-CN"/>
        </w:rPr>
        <w:t>4</w:t>
      </w:r>
      <w:r>
        <w:rPr>
          <w:rFonts w:hint="eastAsia" w:ascii="宋体" w:hAnsi="宋体" w:eastAsia="宋体" w:cs="宋体"/>
          <w:snapToGrid/>
          <w:kern w:val="2"/>
          <w:sz w:val="24"/>
        </w:rPr>
        <w:t>、供应商具有良好的商业信誉和健全的财务会计制度；具有履行合同所必需的设备和专业技术能力；有依法缴纳税收和社会保障资金的良好记录；参加本次采购活动前三年内，在经营活动中没有重大违法记录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snapToGrid/>
          <w:kern w:val="2"/>
          <w:sz w:val="24"/>
        </w:rPr>
        <w:t>；法律、行政法规规定的其他条件。须提供：</w:t>
      </w:r>
      <w:r>
        <w:rPr>
          <w:rFonts w:hint="eastAsia" w:ascii="宋体" w:hAnsi="宋体" w:eastAsia="宋体" w:cs="宋体"/>
          <w:snapToGrid/>
          <w:kern w:val="2"/>
          <w:sz w:val="24"/>
        </w:rPr>
        <w:t>符合条件的</w:t>
      </w:r>
      <w:r>
        <w:rPr>
          <w:rFonts w:ascii="宋体" w:hAnsi="宋体" w:eastAsia="宋体" w:cs="宋体"/>
          <w:snapToGrid/>
          <w:kern w:val="2"/>
          <w:sz w:val="24"/>
        </w:rPr>
        <w:t>声明函</w:t>
      </w:r>
      <w:r>
        <w:rPr>
          <w:rFonts w:hint="eastAsia" w:ascii="宋体" w:hAnsi="宋体" w:eastAsia="宋体" w:cs="宋体"/>
          <w:snapToGrid/>
          <w:kern w:val="2"/>
          <w:sz w:val="24"/>
        </w:rPr>
        <w:t>（</w:t>
      </w:r>
      <w:r>
        <w:rPr>
          <w:rFonts w:hint="eastAsia" w:ascii="宋体" w:hAnsi="宋体" w:eastAsia="宋体" w:cs="宋体"/>
          <w:sz w:val="24"/>
        </w:rPr>
        <w:t>格式见附件</w:t>
      </w:r>
      <w:r>
        <w:rPr>
          <w:rFonts w:hint="eastAsia" w:ascii="宋体" w:hAnsi="宋体" w:eastAsia="宋体"/>
          <w:sz w:val="24"/>
        </w:rPr>
        <w:t>，正本中必须为原件</w:t>
      </w:r>
      <w:r>
        <w:rPr>
          <w:rFonts w:hint="eastAsia" w:ascii="宋体" w:hAnsi="宋体" w:eastAsia="宋体" w:cs="宋体"/>
          <w:snapToGrid/>
          <w:kern w:val="2"/>
          <w:sz w:val="24"/>
        </w:rPr>
        <w:t>）。</w:t>
      </w:r>
    </w:p>
    <w:p w14:paraId="50675BC6">
      <w:pPr>
        <w:autoSpaceDE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、中小企业声明函或</w:t>
      </w:r>
      <w:r>
        <w:rPr>
          <w:rFonts w:hint="eastAsia" w:ascii="宋体" w:hAnsi="宋体" w:eastAsia="宋体" w:cs="宋体"/>
          <w:sz w:val="24"/>
          <w:lang w:val="zh-CN"/>
        </w:rPr>
        <w:t>残疾人福利性单位声明函</w:t>
      </w:r>
      <w:r>
        <w:rPr>
          <w:rFonts w:hint="eastAsia" w:ascii="宋体" w:hAnsi="宋体" w:eastAsia="宋体" w:cs="宋体"/>
          <w:sz w:val="24"/>
        </w:rPr>
        <w:t>或</w:t>
      </w:r>
      <w:r>
        <w:rPr>
          <w:rFonts w:hint="eastAsia" w:ascii="宋体" w:hAnsi="宋体" w:eastAsia="宋体" w:cs="宋体"/>
          <w:sz w:val="24"/>
          <w:lang w:val="zh-CN"/>
        </w:rPr>
        <w:t>监狱和戒毒企业证</w:t>
      </w:r>
      <w:r>
        <w:rPr>
          <w:rFonts w:hint="eastAsia" w:ascii="宋体" w:hAnsi="宋体" w:eastAsia="宋体" w:cs="宋体"/>
          <w:sz w:val="24"/>
        </w:rPr>
        <w:t>明材料（格式见附件，正本中必须为原件）。</w:t>
      </w:r>
    </w:p>
    <w:p w14:paraId="71E5E918">
      <w:pPr>
        <w:autoSpaceDE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、未被“信用中国”网站（www.creditchina.gov.cn）列入失信被执行人、重大税收违法案件当事人名单、政府采购严重违法失信行为记录名单</w:t>
      </w:r>
      <w:r>
        <w:rPr>
          <w:rFonts w:hint="eastAsia" w:ascii="宋体" w:hAnsi="宋体" w:eastAsia="宋体" w:cs="宋体"/>
          <w:b/>
          <w:bCs/>
          <w:sz w:val="24"/>
        </w:rPr>
        <w:t>（</w:t>
      </w:r>
      <w:r>
        <w:rPr>
          <w:rFonts w:hint="eastAsia" w:ascii="宋体" w:hAnsi="宋体" w:eastAsia="宋体" w:cs="宋体"/>
          <w:b/>
          <w:bCs/>
          <w:sz w:val="24"/>
          <w:lang w:eastAsia="zh-CN"/>
        </w:rPr>
        <w:t>提供</w:t>
      </w:r>
      <w:r>
        <w:rPr>
          <w:rFonts w:hint="eastAsia" w:ascii="宋体" w:hAnsi="宋体" w:eastAsia="宋体" w:cs="宋体"/>
          <w:b/>
          <w:bCs/>
          <w:sz w:val="24"/>
        </w:rPr>
        <w:t>截图）。</w:t>
      </w:r>
    </w:p>
    <w:p w14:paraId="14B9FECD">
      <w:pPr>
        <w:snapToGrid w:val="0"/>
        <w:spacing w:line="360" w:lineRule="auto"/>
        <w:ind w:firstLine="470" w:firstLineChars="196"/>
        <w:jc w:val="left"/>
        <w:textAlignment w:val="baseline"/>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、其他需要提交的资格审查证明材料。</w:t>
      </w:r>
    </w:p>
    <w:p w14:paraId="31090673">
      <w:pPr>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0A6AA2E1">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57C0BB2C">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1、商务部分正负偏离表（格式见附件）；</w:t>
      </w:r>
    </w:p>
    <w:p w14:paraId="01E375B9">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2、技术部分正负偏离表（格式见附件）；</w:t>
      </w:r>
    </w:p>
    <w:p w14:paraId="4CFEC1C1">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3、商务技术评分标准中须提供的相关得分佐证材料；</w:t>
      </w:r>
    </w:p>
    <w:p w14:paraId="20C085EE">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4、供应商认为需要提交的其他商务技术材料。</w:t>
      </w:r>
    </w:p>
    <w:p w14:paraId="011F91E6">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（三）报价响应文件（单独装订密封）</w:t>
      </w:r>
    </w:p>
    <w:p w14:paraId="0DCE5D37">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1、磋商响应报价总表，格式见附件；</w:t>
      </w:r>
    </w:p>
    <w:p w14:paraId="084E71C9">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2、磋商响应详细报价表（应用预算软件编制并打印），包括：【编制说明】、【投标报价汇总表】、【已标价的工程量清单】、【工程量清单单价分析表】等。</w:t>
      </w:r>
    </w:p>
    <w:p w14:paraId="18F03BBC">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Cs/>
          <w:sz w:val="24"/>
        </w:rPr>
        <w:br w:type="page"/>
      </w:r>
      <w:r>
        <w:rPr>
          <w:rFonts w:hint="eastAsia" w:ascii="宋体" w:hAnsi="宋体" w:eastAsia="宋体" w:cs="宋体"/>
          <w:b/>
          <w:bCs/>
          <w:snapToGrid/>
          <w:kern w:val="2"/>
          <w:sz w:val="28"/>
          <w:szCs w:val="28"/>
        </w:rPr>
        <w:t>附件：</w:t>
      </w:r>
    </w:p>
    <w:p w14:paraId="13700ABC">
      <w:pPr>
        <w:adjustRightInd w:val="0"/>
        <w:snapToGrid w:val="0"/>
        <w:spacing w:line="420" w:lineRule="exact"/>
        <w:jc w:val="center"/>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51EF6BBF">
      <w:pPr>
        <w:spacing w:before="312" w:beforeLines="100" w:line="360" w:lineRule="exact"/>
        <w:jc w:val="center"/>
        <w:rPr>
          <w:rFonts w:asciiTheme="majorEastAsia" w:hAnsiTheme="majorEastAsia" w:eastAsiaTheme="majorEastAsia" w:cstheme="majorEastAsia"/>
          <w:w w:val="80"/>
          <w:kern w:val="44"/>
          <w:sz w:val="24"/>
        </w:rPr>
      </w:pPr>
    </w:p>
    <w:p w14:paraId="0F16C89F">
      <w:pPr>
        <w:spacing w:line="360" w:lineRule="auto"/>
        <w:jc w:val="cente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32"/>
          <w:szCs w:val="32"/>
          <w:lang w:eastAsia="zh-CN"/>
        </w:rPr>
        <w:t>南通市政务中心食堂服务中心设备采购项目（二次）</w:t>
      </w:r>
    </w:p>
    <w:p w14:paraId="1C143DCE">
      <w:pPr>
        <w:spacing w:line="360" w:lineRule="auto"/>
        <w:jc w:val="center"/>
        <w:rPr>
          <w:rFonts w:asciiTheme="majorEastAsia" w:hAnsiTheme="majorEastAsia" w:eastAsiaTheme="majorEastAsia" w:cstheme="majorEastAsia"/>
          <w:b/>
          <w:bCs/>
          <w:sz w:val="24"/>
        </w:rPr>
      </w:pPr>
    </w:p>
    <w:p w14:paraId="7A192814">
      <w:pPr>
        <w:spacing w:line="360" w:lineRule="auto"/>
        <w:jc w:val="center"/>
        <w:rPr>
          <w:rFonts w:asciiTheme="majorEastAsia" w:hAnsiTheme="majorEastAsia" w:eastAsiaTheme="majorEastAsia" w:cstheme="majorEastAsia"/>
          <w:b/>
          <w:bCs/>
          <w:sz w:val="24"/>
        </w:rPr>
      </w:pPr>
    </w:p>
    <w:p w14:paraId="0C12FD15">
      <w:pPr>
        <w:spacing w:line="360" w:lineRule="auto"/>
        <w:jc w:val="center"/>
        <w:rPr>
          <w:rFonts w:asciiTheme="majorEastAsia" w:hAnsiTheme="majorEastAsia" w:eastAsiaTheme="majorEastAsia" w:cstheme="majorEastAsia"/>
          <w:b/>
          <w:bCs/>
          <w:sz w:val="24"/>
        </w:rPr>
      </w:pPr>
    </w:p>
    <w:p w14:paraId="4C626423">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3FF7287D">
      <w:pPr>
        <w:spacing w:line="520" w:lineRule="exact"/>
        <w:jc w:val="center"/>
        <w:rPr>
          <w:rFonts w:asciiTheme="majorEastAsia" w:hAnsiTheme="majorEastAsia" w:eastAsiaTheme="majorEastAsia" w:cstheme="majorEastAsia"/>
          <w:sz w:val="24"/>
        </w:rPr>
      </w:pPr>
    </w:p>
    <w:p w14:paraId="6BA1A32B">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64D44082">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27E77534">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1850B001">
      <w:pPr>
        <w:spacing w:line="36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0E944355">
      <w:pPr>
        <w:spacing w:line="360" w:lineRule="exact"/>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8"/>
          <w:szCs w:val="28"/>
        </w:rPr>
        <w:t>项目编号：</w:t>
      </w:r>
      <w:r>
        <w:rPr>
          <w:rFonts w:hint="eastAsia" w:asciiTheme="majorEastAsia" w:hAnsiTheme="majorEastAsia" w:eastAsiaTheme="majorEastAsia" w:cstheme="majorEastAsia"/>
          <w:sz w:val="28"/>
          <w:szCs w:val="28"/>
          <w:lang w:eastAsia="zh-CN"/>
        </w:rPr>
        <w:t>ZZNT2025030</w:t>
      </w:r>
    </w:p>
    <w:p w14:paraId="137D9162">
      <w:pPr>
        <w:spacing w:line="360" w:lineRule="exact"/>
        <w:jc w:val="center"/>
        <w:rPr>
          <w:rFonts w:asciiTheme="majorEastAsia" w:hAnsiTheme="majorEastAsia" w:eastAsiaTheme="majorEastAsia" w:cstheme="majorEastAsia"/>
          <w:sz w:val="24"/>
        </w:rPr>
      </w:pPr>
    </w:p>
    <w:p w14:paraId="77AE8293">
      <w:pPr>
        <w:spacing w:line="360" w:lineRule="exact"/>
        <w:jc w:val="center"/>
        <w:rPr>
          <w:rFonts w:asciiTheme="majorEastAsia" w:hAnsiTheme="majorEastAsia" w:eastAsiaTheme="majorEastAsia" w:cstheme="majorEastAsia"/>
          <w:sz w:val="24"/>
        </w:rPr>
      </w:pPr>
    </w:p>
    <w:p w14:paraId="678FA24A">
      <w:pPr>
        <w:spacing w:line="360" w:lineRule="exact"/>
        <w:jc w:val="center"/>
        <w:rPr>
          <w:rFonts w:asciiTheme="majorEastAsia" w:hAnsiTheme="majorEastAsia" w:eastAsiaTheme="majorEastAsia" w:cstheme="majorEastAsia"/>
          <w:sz w:val="24"/>
        </w:rPr>
      </w:pPr>
    </w:p>
    <w:p w14:paraId="6C0415EA">
      <w:pPr>
        <w:spacing w:line="360" w:lineRule="exact"/>
        <w:jc w:val="center"/>
        <w:rPr>
          <w:rFonts w:asciiTheme="majorEastAsia" w:hAnsiTheme="majorEastAsia" w:eastAsiaTheme="majorEastAsia" w:cstheme="majorEastAsia"/>
          <w:sz w:val="24"/>
        </w:rPr>
      </w:pPr>
    </w:p>
    <w:p w14:paraId="5C1A5A52">
      <w:pPr>
        <w:spacing w:line="360" w:lineRule="exact"/>
        <w:jc w:val="center"/>
        <w:rPr>
          <w:rFonts w:asciiTheme="majorEastAsia" w:hAnsiTheme="majorEastAsia" w:eastAsiaTheme="majorEastAsia" w:cstheme="majorEastAsia"/>
          <w:sz w:val="24"/>
        </w:rPr>
      </w:pPr>
    </w:p>
    <w:p w14:paraId="77785894">
      <w:pPr>
        <w:spacing w:line="360" w:lineRule="exact"/>
        <w:jc w:val="center"/>
        <w:rPr>
          <w:rFonts w:asciiTheme="majorEastAsia" w:hAnsiTheme="majorEastAsia" w:eastAsiaTheme="majorEastAsia" w:cstheme="majorEastAsia"/>
          <w:sz w:val="24"/>
        </w:rPr>
      </w:pPr>
    </w:p>
    <w:p w14:paraId="34EA8726">
      <w:pPr>
        <w:spacing w:line="360" w:lineRule="exact"/>
        <w:jc w:val="center"/>
        <w:rPr>
          <w:rFonts w:asciiTheme="majorEastAsia" w:hAnsiTheme="majorEastAsia" w:eastAsiaTheme="majorEastAsia" w:cstheme="majorEastAsia"/>
          <w:sz w:val="24"/>
        </w:rPr>
      </w:pPr>
    </w:p>
    <w:p w14:paraId="2C77C71B">
      <w:pPr>
        <w:spacing w:line="360" w:lineRule="exact"/>
        <w:jc w:val="center"/>
        <w:rPr>
          <w:rFonts w:asciiTheme="majorEastAsia" w:hAnsiTheme="majorEastAsia" w:eastAsiaTheme="majorEastAsia" w:cstheme="majorEastAsia"/>
          <w:sz w:val="24"/>
        </w:rPr>
      </w:pPr>
    </w:p>
    <w:p w14:paraId="0923FC5A">
      <w:pPr>
        <w:spacing w:line="360" w:lineRule="exact"/>
        <w:jc w:val="center"/>
        <w:rPr>
          <w:rFonts w:asciiTheme="majorEastAsia" w:hAnsiTheme="majorEastAsia" w:eastAsiaTheme="majorEastAsia" w:cstheme="majorEastAsia"/>
          <w:sz w:val="24"/>
        </w:rPr>
      </w:pPr>
    </w:p>
    <w:p w14:paraId="0EB0BC06">
      <w:pPr>
        <w:spacing w:line="360" w:lineRule="exact"/>
        <w:jc w:val="center"/>
        <w:rPr>
          <w:rFonts w:asciiTheme="majorEastAsia" w:hAnsiTheme="majorEastAsia" w:eastAsiaTheme="majorEastAsia" w:cstheme="majorEastAsia"/>
          <w:sz w:val="24"/>
        </w:rPr>
      </w:pPr>
    </w:p>
    <w:p w14:paraId="0D55F99F">
      <w:pPr>
        <w:rPr>
          <w:rFonts w:asciiTheme="majorEastAsia" w:hAnsiTheme="majorEastAsia" w:eastAsiaTheme="majorEastAsia" w:cstheme="majorEastAsia"/>
          <w:sz w:val="24"/>
        </w:rPr>
      </w:pPr>
    </w:p>
    <w:p w14:paraId="54E59A4E">
      <w:pPr>
        <w:spacing w:line="360" w:lineRule="exact"/>
        <w:jc w:val="center"/>
        <w:rPr>
          <w:rFonts w:asciiTheme="majorEastAsia" w:hAnsiTheme="majorEastAsia" w:eastAsiaTheme="majorEastAsia" w:cstheme="majorEastAsia"/>
          <w:sz w:val="30"/>
          <w:szCs w:val="30"/>
        </w:rPr>
      </w:pPr>
    </w:p>
    <w:p w14:paraId="60CDAAF6">
      <w:pPr>
        <w:adjustRightInd w:val="0"/>
        <w:snapToGrid w:val="0"/>
        <w:spacing w:line="480" w:lineRule="auto"/>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08877150">
      <w:pPr>
        <w:jc w:val="center"/>
        <w:rPr>
          <w:rFonts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w:t>
      </w: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rPr>
        <w:t>年  月  日</w:t>
      </w:r>
    </w:p>
    <w:p w14:paraId="5D783A0C">
      <w:pPr>
        <w:rPr>
          <w:rFonts w:ascii="宋体" w:hAnsi="宋体" w:eastAsia="宋体" w:cs="宋体"/>
          <w:b/>
          <w:color w:val="000000"/>
          <w:sz w:val="28"/>
          <w:szCs w:val="28"/>
        </w:rPr>
      </w:pPr>
      <w:r>
        <w:rPr>
          <w:rFonts w:hint="eastAsia" w:ascii="宋体" w:hAnsi="宋体" w:eastAsia="宋体" w:cs="宋体"/>
          <w:b/>
          <w:color w:val="000000"/>
          <w:sz w:val="28"/>
          <w:szCs w:val="28"/>
        </w:rPr>
        <w:br w:type="page"/>
      </w:r>
    </w:p>
    <w:p w14:paraId="557173A4">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法定代表人身份证明</w:t>
      </w:r>
    </w:p>
    <w:p w14:paraId="49FB000E">
      <w:pPr>
        <w:snapToGrid w:val="0"/>
        <w:spacing w:line="520" w:lineRule="exact"/>
        <w:jc w:val="center"/>
        <w:textAlignment w:val="baseline"/>
        <w:rPr>
          <w:rFonts w:ascii="宋体" w:hAnsi="宋体" w:eastAsia="宋体" w:cs="宋体"/>
          <w:color w:val="000000"/>
          <w:sz w:val="24"/>
        </w:rPr>
      </w:pPr>
    </w:p>
    <w:p w14:paraId="55770E38">
      <w:pPr>
        <w:snapToGrid w:val="0"/>
        <w:spacing w:line="360" w:lineRule="auto"/>
        <w:ind w:firstLine="480" w:firstLineChars="200"/>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6AD38E6E">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763EBEFB">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14BDBFDC">
      <w:pPr>
        <w:snapToGrid w:val="0"/>
        <w:spacing w:line="420" w:lineRule="exact"/>
        <w:ind w:firstLine="480" w:firstLineChars="200"/>
        <w:textAlignment w:val="baseline"/>
        <w:rPr>
          <w:rFonts w:ascii="宋体" w:hAnsi="宋体" w:eastAsia="宋体" w:cs="宋体"/>
          <w:sz w:val="24"/>
        </w:rPr>
      </w:pPr>
    </w:p>
    <w:p w14:paraId="3335F11D">
      <w:pPr>
        <w:snapToGrid w:val="0"/>
        <w:spacing w:line="420" w:lineRule="exact"/>
        <w:ind w:firstLine="480" w:firstLineChars="200"/>
        <w:textAlignment w:val="baseline"/>
        <w:rPr>
          <w:rFonts w:ascii="宋体" w:hAnsi="宋体" w:eastAsia="宋体" w:cs="宋体"/>
          <w:sz w:val="24"/>
          <w:u w:val="single"/>
        </w:rPr>
      </w:pPr>
    </w:p>
    <w:p w14:paraId="07DDA055">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5A3DF77C">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166BA653">
      <w:pPr>
        <w:snapToGrid w:val="0"/>
        <w:spacing w:line="420" w:lineRule="exact"/>
        <w:ind w:firstLine="484" w:firstLineChars="202"/>
        <w:jc w:val="left"/>
        <w:textAlignment w:val="baseline"/>
        <w:rPr>
          <w:rFonts w:ascii="宋体" w:hAnsi="宋体" w:eastAsia="宋体" w:cs="宋体"/>
          <w:sz w:val="24"/>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C82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trPr>
        <w:tc>
          <w:tcPr>
            <w:tcW w:w="7848" w:type="dxa"/>
          </w:tcPr>
          <w:p w14:paraId="26621113">
            <w:pPr>
              <w:snapToGrid w:val="0"/>
              <w:spacing w:line="420" w:lineRule="exact"/>
              <w:ind w:firstLine="484" w:firstLineChars="202"/>
              <w:jc w:val="left"/>
              <w:textAlignment w:val="baseline"/>
              <w:rPr>
                <w:rFonts w:ascii="宋体" w:hAnsi="宋体" w:eastAsia="宋体" w:cs="宋体"/>
                <w:kern w:val="2"/>
                <w:sz w:val="24"/>
              </w:rPr>
            </w:pPr>
          </w:p>
          <w:p w14:paraId="79D4901D">
            <w:pPr>
              <w:snapToGrid w:val="0"/>
              <w:spacing w:line="420" w:lineRule="exact"/>
              <w:ind w:firstLine="484" w:firstLineChars="202"/>
              <w:jc w:val="left"/>
              <w:textAlignment w:val="baseline"/>
              <w:rPr>
                <w:rFonts w:ascii="宋体" w:hAnsi="宋体" w:eastAsia="宋体" w:cs="宋体"/>
                <w:kern w:val="2"/>
                <w:sz w:val="24"/>
              </w:rPr>
            </w:pPr>
          </w:p>
          <w:p w14:paraId="7055EECF">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2BCD3C38">
            <w:pPr>
              <w:snapToGrid w:val="0"/>
              <w:spacing w:line="420" w:lineRule="exact"/>
              <w:jc w:val="center"/>
              <w:textAlignment w:val="baseline"/>
              <w:rPr>
                <w:rFonts w:ascii="宋体" w:hAnsi="宋体" w:eastAsia="宋体" w:cs="宋体"/>
                <w:b/>
                <w:bCs/>
                <w:kern w:val="2"/>
                <w:sz w:val="24"/>
              </w:rPr>
            </w:pPr>
          </w:p>
          <w:p w14:paraId="2BBBA5FF">
            <w:pPr>
              <w:snapToGrid w:val="0"/>
              <w:spacing w:line="420" w:lineRule="exact"/>
              <w:jc w:val="center"/>
              <w:textAlignment w:val="baseline"/>
              <w:rPr>
                <w:rFonts w:ascii="宋体" w:hAnsi="宋体" w:eastAsia="宋体" w:cs="宋体"/>
                <w:b/>
                <w:bCs/>
                <w:kern w:val="2"/>
                <w:sz w:val="24"/>
              </w:rPr>
            </w:pPr>
          </w:p>
          <w:p w14:paraId="3D9648AF">
            <w:pPr>
              <w:snapToGrid w:val="0"/>
              <w:spacing w:line="420" w:lineRule="exact"/>
              <w:jc w:val="center"/>
              <w:textAlignment w:val="baseline"/>
              <w:rPr>
                <w:rFonts w:ascii="宋体" w:hAnsi="宋体" w:eastAsia="宋体" w:cs="宋体"/>
                <w:b/>
                <w:bCs/>
                <w:kern w:val="2"/>
                <w:sz w:val="24"/>
              </w:rPr>
            </w:pPr>
          </w:p>
          <w:p w14:paraId="3CAA87FE">
            <w:pPr>
              <w:snapToGrid w:val="0"/>
              <w:spacing w:line="420" w:lineRule="exact"/>
              <w:jc w:val="center"/>
              <w:textAlignment w:val="baseline"/>
              <w:rPr>
                <w:rFonts w:ascii="宋体" w:hAnsi="宋体" w:eastAsia="宋体" w:cs="宋体"/>
                <w:kern w:val="2"/>
                <w:sz w:val="24"/>
              </w:rPr>
            </w:pPr>
          </w:p>
        </w:tc>
      </w:tr>
    </w:tbl>
    <w:p w14:paraId="58209C32">
      <w:pPr>
        <w:snapToGrid w:val="0"/>
        <w:spacing w:line="420" w:lineRule="exact"/>
        <w:jc w:val="center"/>
        <w:textAlignment w:val="baseline"/>
        <w:rPr>
          <w:rFonts w:ascii="宋体" w:hAnsi="宋体" w:eastAsia="宋体" w:cs="宋体"/>
          <w:sz w:val="24"/>
        </w:rPr>
      </w:pPr>
    </w:p>
    <w:p w14:paraId="6832317D">
      <w:pPr>
        <w:snapToGrid w:val="0"/>
        <w:spacing w:line="420" w:lineRule="exact"/>
        <w:jc w:val="center"/>
        <w:textAlignment w:val="baseline"/>
        <w:rPr>
          <w:rFonts w:ascii="宋体" w:hAnsi="宋体" w:eastAsia="宋体" w:cs="宋体"/>
          <w:sz w:val="24"/>
        </w:rPr>
      </w:pPr>
    </w:p>
    <w:p w14:paraId="772F31B9">
      <w:pPr>
        <w:snapToGrid w:val="0"/>
        <w:spacing w:line="420" w:lineRule="exact"/>
        <w:jc w:val="center"/>
        <w:textAlignment w:val="baseline"/>
        <w:rPr>
          <w:rFonts w:ascii="宋体" w:hAnsi="宋体" w:eastAsia="宋体" w:cs="宋体"/>
          <w:sz w:val="24"/>
        </w:rPr>
      </w:pPr>
    </w:p>
    <w:p w14:paraId="151B0374">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41311133">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750BAB37">
      <w:pPr>
        <w:snapToGrid w:val="0"/>
        <w:textAlignment w:val="baseline"/>
        <w:rPr>
          <w:rFonts w:ascii="宋体" w:hAnsi="宋体" w:eastAsia="宋体" w:cs="宋体"/>
          <w:b/>
          <w:sz w:val="24"/>
        </w:rPr>
      </w:pPr>
      <w:r>
        <w:rPr>
          <w:rFonts w:hint="eastAsia" w:ascii="宋体" w:hAnsi="宋体" w:eastAsia="宋体" w:cs="宋体"/>
          <w:b/>
          <w:sz w:val="24"/>
        </w:rPr>
        <w:br w:type="textWrapping"/>
      </w:r>
    </w:p>
    <w:p w14:paraId="39EA788A">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授权委托书</w:t>
      </w:r>
    </w:p>
    <w:p w14:paraId="3083F83B">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5D8CD997">
      <w:pPr>
        <w:snapToGrid w:val="0"/>
        <w:spacing w:line="520" w:lineRule="exact"/>
        <w:jc w:val="center"/>
        <w:textAlignment w:val="baseline"/>
        <w:rPr>
          <w:rFonts w:ascii="宋体" w:hAnsi="宋体" w:eastAsia="宋体" w:cs="宋体"/>
          <w:bCs/>
          <w:color w:val="000000"/>
          <w:sz w:val="24"/>
        </w:rPr>
      </w:pPr>
    </w:p>
    <w:p w14:paraId="72DF152D">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2C50697D">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0EE73D85">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4CC9C512">
      <w:pPr>
        <w:pStyle w:val="38"/>
        <w:snapToGrid w:val="0"/>
        <w:spacing w:line="360" w:lineRule="auto"/>
        <w:textAlignment w:val="baseline"/>
        <w:rPr>
          <w:rFonts w:ascii="宋体" w:hAnsi="宋体" w:cs="宋体"/>
          <w:sz w:val="24"/>
          <w:szCs w:val="24"/>
        </w:rPr>
      </w:pPr>
    </w:p>
    <w:p w14:paraId="1F4BC27D">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p>
    <w:p w14:paraId="139693CD">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2FB26A4B">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4A30DCB5">
      <w:pPr>
        <w:pStyle w:val="38"/>
        <w:rPr>
          <w:rFonts w:ascii="宋体" w:hAnsi="宋体" w:cs="宋体"/>
          <w:sz w:val="24"/>
          <w:szCs w:val="24"/>
        </w:rPr>
      </w:pPr>
    </w:p>
    <w:p w14:paraId="696720A7">
      <w:pPr>
        <w:snapToGrid w:val="0"/>
        <w:spacing w:line="48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lang w:val="zh-CN"/>
        </w:rPr>
        <w:t>竞争性磋商响应供应商：（单位盖章）</w:t>
      </w:r>
    </w:p>
    <w:p w14:paraId="5BAAE1E5">
      <w:pPr>
        <w:snapToGrid w:val="0"/>
        <w:spacing w:line="420" w:lineRule="exact"/>
        <w:ind w:firstLine="5040" w:firstLineChars="2100"/>
        <w:textAlignment w:val="baseline"/>
        <w:rPr>
          <w:rFonts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275704EE">
      <w:pPr>
        <w:snapToGrid w:val="0"/>
        <w:spacing w:line="420" w:lineRule="exact"/>
        <w:ind w:firstLine="484" w:firstLineChars="202"/>
        <w:jc w:val="left"/>
        <w:textAlignment w:val="baseline"/>
        <w:rPr>
          <w:rFonts w:ascii="宋体" w:hAnsi="宋体" w:eastAsia="宋体" w:cs="宋体"/>
          <w:sz w:val="24"/>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34E7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6" w:hRule="atLeast"/>
        </w:trPr>
        <w:tc>
          <w:tcPr>
            <w:tcW w:w="7236" w:type="dxa"/>
          </w:tcPr>
          <w:p w14:paraId="7EA44008">
            <w:pPr>
              <w:snapToGrid w:val="0"/>
              <w:spacing w:line="420" w:lineRule="exact"/>
              <w:ind w:firstLine="484" w:firstLineChars="202"/>
              <w:jc w:val="left"/>
              <w:textAlignment w:val="baseline"/>
              <w:rPr>
                <w:rFonts w:ascii="宋体" w:hAnsi="宋体" w:eastAsia="宋体" w:cs="宋体"/>
                <w:kern w:val="2"/>
                <w:sz w:val="24"/>
              </w:rPr>
            </w:pPr>
          </w:p>
          <w:p w14:paraId="40A66252">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5B2EF2C6">
            <w:pPr>
              <w:snapToGrid w:val="0"/>
              <w:spacing w:line="420" w:lineRule="exact"/>
              <w:jc w:val="center"/>
              <w:textAlignment w:val="baseline"/>
              <w:rPr>
                <w:rFonts w:ascii="宋体" w:hAnsi="宋体" w:eastAsia="宋体" w:cs="宋体"/>
                <w:b/>
                <w:bCs/>
                <w:kern w:val="2"/>
                <w:sz w:val="24"/>
              </w:rPr>
            </w:pPr>
          </w:p>
          <w:p w14:paraId="58A900F7">
            <w:pPr>
              <w:snapToGrid w:val="0"/>
              <w:spacing w:line="420" w:lineRule="exact"/>
              <w:jc w:val="center"/>
              <w:textAlignment w:val="baseline"/>
              <w:rPr>
                <w:rFonts w:ascii="宋体" w:hAnsi="宋体" w:eastAsia="宋体" w:cs="宋体"/>
                <w:b/>
                <w:bCs/>
                <w:kern w:val="2"/>
                <w:sz w:val="24"/>
              </w:rPr>
            </w:pPr>
          </w:p>
          <w:p w14:paraId="51DAE5C6">
            <w:pPr>
              <w:snapToGrid w:val="0"/>
              <w:spacing w:line="420" w:lineRule="exact"/>
              <w:jc w:val="center"/>
              <w:textAlignment w:val="baseline"/>
              <w:rPr>
                <w:rFonts w:ascii="宋体" w:hAnsi="宋体" w:eastAsia="宋体" w:cs="宋体"/>
                <w:kern w:val="2"/>
                <w:sz w:val="24"/>
              </w:rPr>
            </w:pPr>
          </w:p>
          <w:p w14:paraId="1B108C8B">
            <w:pPr>
              <w:snapToGrid w:val="0"/>
              <w:spacing w:line="420" w:lineRule="exact"/>
              <w:jc w:val="center"/>
              <w:textAlignment w:val="baseline"/>
              <w:rPr>
                <w:rFonts w:ascii="宋体" w:hAnsi="宋体" w:eastAsia="宋体" w:cs="宋体"/>
                <w:kern w:val="2"/>
                <w:sz w:val="24"/>
              </w:rPr>
            </w:pPr>
          </w:p>
        </w:tc>
      </w:tr>
    </w:tbl>
    <w:p w14:paraId="68D762A2">
      <w:pPr>
        <w:snapToGrid w:val="0"/>
        <w:spacing w:line="420" w:lineRule="exact"/>
        <w:jc w:val="center"/>
        <w:textAlignment w:val="baseline"/>
        <w:rPr>
          <w:rFonts w:ascii="宋体" w:hAnsi="宋体" w:eastAsia="宋体" w:cs="宋体"/>
          <w:sz w:val="24"/>
        </w:rPr>
      </w:pPr>
    </w:p>
    <w:p w14:paraId="4D94D1A9">
      <w:pPr>
        <w:snapToGrid w:val="0"/>
        <w:spacing w:line="420" w:lineRule="exact"/>
        <w:jc w:val="center"/>
        <w:textAlignment w:val="baseline"/>
        <w:rPr>
          <w:rFonts w:ascii="宋体" w:hAnsi="宋体" w:eastAsia="宋体" w:cs="宋体"/>
          <w:sz w:val="24"/>
        </w:rPr>
      </w:pPr>
    </w:p>
    <w:p w14:paraId="24CC215A">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329B42C1">
      <w:pPr>
        <w:spacing w:before="240" w:line="312" w:lineRule="auto"/>
        <w:jc w:val="center"/>
        <w:rPr>
          <w:rFonts w:ascii="宋体" w:hAnsi="宋体" w:eastAsia="宋体" w:cs="宋体"/>
          <w:b/>
          <w:sz w:val="32"/>
          <w:szCs w:val="32"/>
          <w:lang w:bidi="ar"/>
        </w:rPr>
      </w:pPr>
      <w:r>
        <w:rPr>
          <w:rFonts w:hint="eastAsia" w:cs="宋体"/>
          <w:sz w:val="24"/>
        </w:rPr>
        <w:br w:type="page"/>
      </w:r>
      <w:r>
        <w:rPr>
          <w:rFonts w:hint="eastAsia" w:ascii="宋体" w:hAnsi="宋体" w:eastAsia="宋体" w:cs="宋体"/>
          <w:b/>
          <w:sz w:val="28"/>
          <w:szCs w:val="28"/>
          <w:lang w:bidi="ar"/>
        </w:rPr>
        <w:t>供应商信用承诺书</w:t>
      </w:r>
    </w:p>
    <w:p w14:paraId="2F2F4426">
      <w:pPr>
        <w:spacing w:line="360" w:lineRule="auto"/>
        <w:ind w:firstLine="480" w:firstLineChars="200"/>
        <w:rPr>
          <w:rFonts w:ascii="宋体" w:hAnsi="宋体" w:eastAsia="宋体" w:cs="宋体"/>
          <w:sz w:val="24"/>
          <w:lang w:val="zh-CN" w:bidi="ar"/>
        </w:rPr>
      </w:pPr>
    </w:p>
    <w:p w14:paraId="1F4830A5">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5F7BED0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0E45D083">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5C809B22">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313EA2D1">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65566C04">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062929F0">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47079ADE">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629B1737">
      <w:pPr>
        <w:spacing w:line="360" w:lineRule="auto"/>
        <w:rPr>
          <w:rFonts w:ascii="宋体" w:hAnsi="宋体" w:eastAsia="宋体" w:cs="宋体"/>
          <w:sz w:val="24"/>
          <w:lang w:val="zh-CN"/>
        </w:rPr>
      </w:pPr>
    </w:p>
    <w:p w14:paraId="2E3E5CFA">
      <w:pPr>
        <w:spacing w:line="360" w:lineRule="auto"/>
        <w:ind w:firstLine="4560" w:firstLineChars="1900"/>
        <w:rPr>
          <w:rFonts w:ascii="宋体" w:hAnsi="宋体" w:eastAsia="宋体" w:cs="宋体"/>
          <w:sz w:val="24"/>
          <w:lang w:val="zh-CN"/>
        </w:rPr>
      </w:pPr>
    </w:p>
    <w:p w14:paraId="1BEDC085">
      <w:pPr>
        <w:snapToGrid w:val="0"/>
        <w:spacing w:line="36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6985572D">
      <w:pPr>
        <w:snapToGrid w:val="0"/>
        <w:spacing w:line="360" w:lineRule="auto"/>
        <w:ind w:firstLine="5040" w:firstLineChars="2100"/>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0B560B62">
      <w:pPr>
        <w:snapToGrid w:val="0"/>
        <w:spacing w:line="360" w:lineRule="auto"/>
        <w:jc w:val="center"/>
        <w:rPr>
          <w:rFonts w:ascii="宋体" w:hAnsi="宋体" w:eastAsia="宋体" w:cs="宋体"/>
          <w:b/>
          <w:bCs/>
          <w:snapToGrid/>
          <w:color w:val="000000"/>
          <w:kern w:val="2"/>
          <w:sz w:val="28"/>
          <w:szCs w:val="28"/>
        </w:rPr>
      </w:pPr>
      <w:r>
        <w:rPr>
          <w:rFonts w:hint="eastAsia" w:ascii="宋体" w:hAnsi="宋体" w:eastAsia="宋体" w:cs="宋体"/>
          <w:color w:val="000000"/>
          <w:sz w:val="24"/>
        </w:rPr>
        <w:t xml:space="preserve">                          日期：  年  月  日</w:t>
      </w:r>
    </w:p>
    <w:p w14:paraId="761EE565">
      <w:pPr>
        <w:rPr>
          <w:rFonts w:ascii="宋体" w:hAnsi="宋体" w:eastAsia="宋体" w:cs="宋体"/>
          <w:b/>
          <w:bCs/>
          <w:snapToGrid/>
          <w:kern w:val="2"/>
          <w:sz w:val="28"/>
          <w:szCs w:val="28"/>
        </w:rPr>
      </w:pPr>
      <w:r>
        <w:rPr>
          <w:rFonts w:eastAsia="仿宋_GB2312"/>
          <w:b/>
          <w:bCs/>
          <w:sz w:val="32"/>
          <w:szCs w:val="32"/>
        </w:rPr>
        <w:br w:type="page"/>
      </w:r>
      <w:r>
        <w:rPr>
          <w:rFonts w:hint="eastAsia" w:eastAsia="仿宋_GB2312"/>
          <w:b/>
          <w:bCs/>
          <w:sz w:val="32"/>
          <w:szCs w:val="32"/>
          <w:lang w:val="en-US" w:eastAsia="zh-CN"/>
        </w:rPr>
        <w:t xml:space="preserve">                     </w:t>
      </w:r>
      <w:r>
        <w:rPr>
          <w:rFonts w:hint="eastAsia" w:ascii="宋体" w:hAnsi="宋体" w:eastAsia="宋体" w:cs="宋体"/>
          <w:b/>
          <w:bCs/>
          <w:snapToGrid/>
          <w:kern w:val="2"/>
          <w:sz w:val="28"/>
          <w:szCs w:val="28"/>
        </w:rPr>
        <w:t>符合条件的声明函</w:t>
      </w:r>
    </w:p>
    <w:p w14:paraId="4C24CD90">
      <w:pPr>
        <w:spacing w:line="460" w:lineRule="exact"/>
        <w:rPr>
          <w:rFonts w:ascii="宋体" w:hAnsi="宋体" w:eastAsia="宋体"/>
          <w:b/>
          <w:bCs/>
          <w:snapToGrid/>
          <w:kern w:val="2"/>
          <w:sz w:val="44"/>
          <w:szCs w:val="44"/>
        </w:rPr>
      </w:pPr>
      <w:r>
        <w:rPr>
          <w:rFonts w:hint="eastAsia" w:ascii="宋体" w:hAnsi="宋体" w:eastAsia="宋体"/>
          <w:b/>
          <w:bCs/>
          <w:snapToGrid/>
          <w:kern w:val="2"/>
          <w:sz w:val="24"/>
          <w:szCs w:val="21"/>
        </w:rPr>
        <w:t xml:space="preserve">                       </w:t>
      </w:r>
      <w:r>
        <w:rPr>
          <w:rFonts w:hint="eastAsia" w:ascii="宋体" w:hAnsi="宋体" w:eastAsia="宋体"/>
          <w:b/>
          <w:bCs/>
          <w:snapToGrid/>
          <w:kern w:val="2"/>
          <w:sz w:val="44"/>
          <w:szCs w:val="44"/>
        </w:rPr>
        <w:t xml:space="preserve">   </w:t>
      </w:r>
    </w:p>
    <w:p w14:paraId="20DC8077">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lang w:eastAsia="zh-CN"/>
        </w:rPr>
        <w:t>南通市政务中心食堂服务中心设备采购项目（二次）</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val="en-US" w:eastAsia="zh-CN"/>
        </w:rPr>
        <w:t xml:space="preserve">      </w:t>
      </w:r>
      <w:r>
        <w:rPr>
          <w:rFonts w:hint="eastAsia" w:ascii="宋体" w:hAnsi="宋体" w:eastAsia="宋体" w:cs="宋体"/>
          <w:snapToGrid/>
          <w:kern w:val="2"/>
          <w:sz w:val="24"/>
          <w:u w:val="single"/>
        </w:rPr>
        <w:t>)</w:t>
      </w:r>
      <w:r>
        <w:rPr>
          <w:rFonts w:hint="eastAsia" w:ascii="宋体" w:hAnsi="宋体" w:eastAsia="宋体" w:cs="宋体"/>
          <w:snapToGrid/>
          <w:kern w:val="2"/>
          <w:sz w:val="24"/>
        </w:rPr>
        <w:t>的</w:t>
      </w:r>
      <w:r>
        <w:rPr>
          <w:rFonts w:hint="eastAsia" w:ascii="宋体" w:hAnsi="宋体" w:eastAsia="宋体" w:cs="宋体"/>
          <w:bCs/>
          <w:snapToGrid/>
          <w:kern w:val="2"/>
          <w:sz w:val="24"/>
          <w:szCs w:val="21"/>
        </w:rPr>
        <w:t>磋商响应活动。针对竞争性磋商文件规定做出如下声明：</w:t>
      </w:r>
    </w:p>
    <w:p w14:paraId="6D418812">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606AD0F6">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1B1F01F8">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1B929801">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4F257A8E">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48A2003F">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6DBE4DD9">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020F9695">
      <w:pPr>
        <w:spacing w:line="500" w:lineRule="exact"/>
        <w:ind w:firstLine="482"/>
        <w:rPr>
          <w:rFonts w:ascii="宋体" w:hAnsi="宋体" w:eastAsia="宋体" w:cs="宋体"/>
          <w:snapToGrid/>
          <w:kern w:val="2"/>
          <w:sz w:val="24"/>
          <w:szCs w:val="21"/>
        </w:rPr>
      </w:pPr>
    </w:p>
    <w:p w14:paraId="32ADDECA">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3AA6ACF3">
      <w:pPr>
        <w:rPr>
          <w:rFonts w:ascii="Times New Roman" w:hAnsi="Times New Roman" w:eastAsia="宋体"/>
          <w:snapToGrid/>
          <w:kern w:val="2"/>
          <w:szCs w:val="21"/>
        </w:rPr>
      </w:pPr>
    </w:p>
    <w:p w14:paraId="0FB778CB">
      <w:pPr>
        <w:spacing w:line="360" w:lineRule="auto"/>
        <w:rPr>
          <w:rFonts w:ascii="Times New Roman" w:hAnsi="Times New Roman" w:eastAsia="宋体"/>
          <w:snapToGrid/>
          <w:kern w:val="2"/>
          <w:sz w:val="24"/>
        </w:rPr>
      </w:pPr>
      <w:r>
        <w:rPr>
          <w:rFonts w:ascii="Times New Roman" w:hAnsi="Times New Roman" w:eastAsia="宋体"/>
          <w:snapToGrid/>
          <w:kern w:val="2"/>
          <w:szCs w:val="21"/>
        </w:rPr>
        <w:t xml:space="preserve">                                                </w:t>
      </w:r>
      <w:r>
        <w:rPr>
          <w:rFonts w:hint="eastAsia" w:ascii="Times New Roman" w:hAnsi="Times New Roman" w:eastAsia="宋体"/>
          <w:snapToGrid/>
          <w:kern w:val="2"/>
          <w:szCs w:val="21"/>
        </w:rPr>
        <w:t xml:space="preserve">      </w:t>
      </w:r>
      <w:r>
        <w:rPr>
          <w:rFonts w:hint="eastAsia" w:ascii="Times New Roman" w:hAnsi="Times New Roman" w:eastAsia="宋体" w:cs="宋体"/>
          <w:snapToGrid/>
          <w:kern w:val="2"/>
          <w:sz w:val="24"/>
        </w:rPr>
        <w:t>声明人：（公章）</w:t>
      </w:r>
    </w:p>
    <w:p w14:paraId="018BF98B">
      <w:pPr>
        <w:jc w:val="center"/>
        <w:rPr>
          <w:rFonts w:ascii="宋体" w:hAnsi="宋体" w:eastAsia="宋体" w:cs="宋体"/>
          <w:snapToGrid/>
          <w:kern w:val="2"/>
          <w:sz w:val="24"/>
        </w:rPr>
      </w:pPr>
      <w:r>
        <w:rPr>
          <w:rFonts w:ascii="Times New Roman" w:hAnsi="Times New Roman" w:eastAsia="宋体"/>
          <w:snapToGrid/>
          <w:kern w:val="2"/>
          <w:sz w:val="24"/>
        </w:rPr>
        <w:t xml:space="preserve">                                          </w:t>
      </w:r>
      <w:r>
        <w:rPr>
          <w:rFonts w:hint="eastAsia" w:ascii="Times New Roman" w:hAnsi="Times New Roman" w:eastAsia="宋体"/>
          <w:snapToGrid/>
          <w:kern w:val="2"/>
          <w:sz w:val="24"/>
        </w:rPr>
        <w:t xml:space="preserve">  </w:t>
      </w:r>
      <w:r>
        <w:rPr>
          <w:rFonts w:ascii="Times New Roman" w:hAnsi="Times New Roman" w:eastAsia="宋体"/>
          <w:snapToGrid/>
          <w:kern w:val="2"/>
          <w:sz w:val="24"/>
        </w:rPr>
        <w:t xml:space="preserve">  </w:t>
      </w:r>
      <w:r>
        <w:rPr>
          <w:rFonts w:hint="eastAsia" w:ascii="宋体" w:hAnsi="宋体" w:eastAsia="宋体" w:cs="宋体"/>
          <w:snapToGrid/>
          <w:kern w:val="2"/>
          <w:sz w:val="24"/>
        </w:rPr>
        <w:t>日期：        年      月     日</w:t>
      </w:r>
    </w:p>
    <w:p w14:paraId="71EE909B">
      <w:pPr>
        <w:rPr>
          <w:rFonts w:ascii="宋体" w:hAnsi="宋体" w:eastAsia="宋体" w:cs="宋体"/>
          <w:snapToGrid/>
          <w:kern w:val="2"/>
          <w:sz w:val="24"/>
        </w:rPr>
      </w:pPr>
      <w:r>
        <w:rPr>
          <w:rFonts w:hint="eastAsia" w:ascii="宋体" w:hAnsi="宋体" w:eastAsia="宋体" w:cs="宋体"/>
          <w:snapToGrid/>
          <w:kern w:val="2"/>
          <w:sz w:val="24"/>
        </w:rPr>
        <w:br w:type="page"/>
      </w:r>
    </w:p>
    <w:p w14:paraId="08673B8A">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rPr>
        <w:t>中小企业声明函（格式）</w:t>
      </w:r>
    </w:p>
    <w:p w14:paraId="05055809">
      <w:pPr>
        <w:snapToGrid w:val="0"/>
        <w:spacing w:before="240" w:line="360" w:lineRule="auto"/>
        <w:ind w:firstLine="480" w:firstLineChars="200"/>
        <w:rPr>
          <w:rFonts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南通市政务中心食堂服务中心设备采购项目（二次）</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val="en-US" w:eastAsia="zh-CN"/>
        </w:rPr>
        <w:t xml:space="preserve">     </w:t>
      </w:r>
      <w:r>
        <w:rPr>
          <w:rFonts w:hint="eastAsia" w:ascii="宋体" w:hAnsi="宋体" w:eastAsia="宋体" w:cs="宋体"/>
          <w:snapToGrid/>
          <w:kern w:val="2"/>
          <w:sz w:val="24"/>
          <w:u w:val="single"/>
        </w:rPr>
        <w:t>)</w:t>
      </w:r>
      <w:r>
        <w:rPr>
          <w:rFonts w:hint="eastAsia" w:ascii="宋体" w:hAnsi="宋体" w:eastAsia="宋体" w:cs="宋体"/>
          <w:sz w:val="24"/>
        </w:rPr>
        <w:t xml:space="preserve">采购活动，该项目服务全部由符合政策要求的中小企业提供。具体情况如下： </w:t>
      </w:r>
    </w:p>
    <w:p w14:paraId="0353C774">
      <w:pPr>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u w:val="single"/>
          <w:lang w:eastAsia="zh-CN"/>
        </w:rPr>
        <w:t>南通市政务中心食堂服务中心设备采购项目（二次）</w:t>
      </w:r>
      <w:r>
        <w:rPr>
          <w:rFonts w:hint="eastAsia" w:ascii="宋体" w:hAnsi="宋体" w:eastAsia="宋体" w:cs="宋体"/>
          <w:sz w:val="24"/>
        </w:rPr>
        <w:t>，属于</w:t>
      </w:r>
      <w:r>
        <w:rPr>
          <w:rFonts w:hint="eastAsia" w:ascii="宋体" w:hAnsi="宋体" w:eastAsia="宋体" w:cs="宋体"/>
          <w:sz w:val="24"/>
          <w:u w:val="single"/>
        </w:rPr>
        <w:t xml:space="preserve"> 建筑业 </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46EFDEF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3AB6EAA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03EB0D23">
      <w:pPr>
        <w:snapToGrid w:val="0"/>
        <w:spacing w:line="360" w:lineRule="auto"/>
        <w:rPr>
          <w:rFonts w:ascii="宋体" w:hAnsi="宋体" w:eastAsia="宋体" w:cs="宋体"/>
          <w:sz w:val="24"/>
        </w:rPr>
      </w:pPr>
    </w:p>
    <w:p w14:paraId="3B98A9DD">
      <w:pPr>
        <w:snapToGrid w:val="0"/>
        <w:spacing w:line="360" w:lineRule="auto"/>
        <w:ind w:firstLine="480" w:firstLineChars="200"/>
        <w:rPr>
          <w:rFonts w:ascii="宋体" w:hAnsi="宋体" w:eastAsia="宋体" w:cs="宋体"/>
          <w:sz w:val="24"/>
        </w:rPr>
      </w:pPr>
    </w:p>
    <w:p w14:paraId="1248D88E">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545B7D1A">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47B9250A">
      <w:pPr>
        <w:tabs>
          <w:tab w:val="left" w:pos="2040"/>
        </w:tabs>
        <w:ind w:left="2040" w:hanging="360"/>
        <w:rPr>
          <w:rFonts w:ascii="宋体" w:hAnsi="宋体" w:eastAsia="宋体" w:cs="宋体"/>
          <w:sz w:val="24"/>
        </w:rPr>
      </w:pPr>
      <w:r>
        <w:rPr>
          <w:rFonts w:hint="eastAsia" w:ascii="宋体" w:hAnsi="宋体" w:eastAsia="宋体" w:cs="宋体"/>
          <w:sz w:val="24"/>
        </w:rPr>
        <w:t xml:space="preserve">                      日期：      年      月     日</w:t>
      </w:r>
    </w:p>
    <w:p w14:paraId="7FC11EE2">
      <w:pPr>
        <w:tabs>
          <w:tab w:val="left" w:pos="2040"/>
        </w:tabs>
        <w:ind w:left="2040" w:hanging="360"/>
        <w:rPr>
          <w:rFonts w:ascii="宋体" w:hAnsi="宋体" w:eastAsia="宋体" w:cs="宋体"/>
          <w:szCs w:val="21"/>
        </w:rPr>
      </w:pPr>
    </w:p>
    <w:p w14:paraId="1C758E03">
      <w:pPr>
        <w:snapToGrid w:val="0"/>
        <w:textAlignment w:val="baseline"/>
        <w:rPr>
          <w:rFonts w:ascii="宋体" w:hAnsi="宋体" w:eastAsia="宋体" w:cs="宋体"/>
          <w:szCs w:val="21"/>
        </w:rPr>
      </w:pPr>
      <w:r>
        <w:rPr>
          <w:rFonts w:hint="eastAsia" w:ascii="宋体" w:hAnsi="宋体" w:eastAsia="宋体" w:cs="宋体"/>
          <w:szCs w:val="21"/>
        </w:rPr>
        <w:t>注：（1）未提供“中小企业声明函或残疾人福利性单位声明函或监狱和戒毒企业证明材料”的，视为资格审查不通过。</w:t>
      </w:r>
    </w:p>
    <w:p w14:paraId="7935F4F1">
      <w:pPr>
        <w:snapToGrid w:val="0"/>
        <w:ind w:firstLine="420" w:firstLineChars="200"/>
        <w:textAlignment w:val="baseline"/>
        <w:rPr>
          <w:rFonts w:ascii="宋体" w:hAnsi="宋体" w:eastAsia="宋体" w:cs="宋体"/>
          <w:szCs w:val="21"/>
        </w:rPr>
      </w:pPr>
      <w:r>
        <w:rPr>
          <w:rFonts w:hint="eastAsia" w:ascii="宋体" w:hAnsi="宋体" w:eastAsia="宋体" w:cs="宋体"/>
          <w:szCs w:val="21"/>
        </w:rPr>
        <w:t>（2）按照《政府采购促进中小企业发展管理办法》（财库﹝2020﹞46 号）、《关于进一步加大政府采购支持中小企业力度的通知》（通财购【2022】23号），本次响应供应商符合工信部联企业〔2011〕300号《关于印发中小企业划型标准规定的通知》中的中小企业“建筑业”类的划型标准规定的，将享受中小企业扶持政策。“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185E23">
      <w:pPr>
        <w:snapToGrid w:val="0"/>
        <w:ind w:firstLine="420" w:firstLineChars="200"/>
        <w:textAlignment w:val="baseline"/>
        <w:rPr>
          <w:rFonts w:ascii="宋体" w:hAnsi="宋体" w:eastAsia="宋体" w:cs="宋体"/>
          <w:szCs w:val="21"/>
        </w:rPr>
      </w:pPr>
      <w:r>
        <w:rPr>
          <w:rFonts w:hint="eastAsia" w:ascii="宋体" w:hAnsi="宋体" w:eastAsia="宋体" w:cs="宋体"/>
          <w:szCs w:val="21"/>
        </w:rPr>
        <w:t>（3）本项目享受中小企业扶持政策的响应供应商一旦成交，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3B27A3EB">
      <w:pPr>
        <w:snapToGrid w:val="0"/>
        <w:ind w:firstLine="420" w:firstLineChars="200"/>
        <w:textAlignment w:val="baseline"/>
        <w:rPr>
          <w:rFonts w:ascii="宋体" w:hAnsi="宋体" w:eastAsia="宋体" w:cs="宋体"/>
          <w:szCs w:val="21"/>
        </w:rPr>
      </w:pPr>
      <w:r>
        <w:rPr>
          <w:rFonts w:hint="eastAsia" w:ascii="宋体" w:hAnsi="宋体" w:eastAsia="宋体" w:cs="宋体"/>
          <w:szCs w:val="21"/>
        </w:rPr>
        <w:t>（4）若响应供应商提供的 “中小企业声明函或残疾人福利性单位声明函或监狱和戒毒企业证明材料”内容不实的，属于提供虚假材料谋取成交；响应供应商的该行为将报请政府采购监管的财政部门按《中华人民共和国政府采购法》第七十七条的规定处理并给予行政处罚。</w:t>
      </w:r>
    </w:p>
    <w:p w14:paraId="63E0DF46">
      <w:pPr>
        <w:snapToGrid w:val="0"/>
        <w:ind w:firstLine="420" w:firstLineChars="200"/>
        <w:textAlignment w:val="baseline"/>
        <w:rPr>
          <w:rFonts w:ascii="宋体" w:hAnsi="宋体" w:eastAsia="宋体" w:cs="宋体"/>
          <w:b/>
          <w:bCs/>
          <w:sz w:val="28"/>
          <w:szCs w:val="28"/>
        </w:rPr>
      </w:pPr>
      <w:r>
        <w:rPr>
          <w:rFonts w:hint="eastAsia" w:ascii="宋体" w:hAnsi="宋体" w:eastAsia="宋体" w:cs="宋体"/>
          <w:szCs w:val="21"/>
        </w:rPr>
        <w:t>（5）从业人员、营业收入、资产总额填报上一年度数据，无上一年度数据的新成立企业可不填报。</w:t>
      </w:r>
      <w:r>
        <w:rPr>
          <w:rFonts w:hint="eastAsia" w:ascii="宋体" w:hAnsi="宋体" w:eastAsia="宋体" w:cs="宋体"/>
          <w:b/>
          <w:bCs/>
          <w:szCs w:val="21"/>
        </w:rPr>
        <w:br w:type="page"/>
      </w:r>
    </w:p>
    <w:p w14:paraId="1F456656">
      <w:pPr>
        <w:autoSpaceDE w:val="0"/>
        <w:autoSpaceDN w:val="0"/>
        <w:spacing w:before="162"/>
        <w:jc w:val="center"/>
        <w:outlineLvl w:val="0"/>
        <w:rPr>
          <w:rFonts w:ascii="宋体" w:hAnsi="宋体" w:eastAsia="宋体" w:cs="宋体"/>
          <w:b/>
          <w:bCs/>
          <w:sz w:val="28"/>
        </w:rPr>
      </w:pPr>
      <w:r>
        <w:rPr>
          <w:rFonts w:hint="eastAsia" w:ascii="宋体" w:hAnsi="宋体" w:eastAsia="宋体" w:cs="宋体"/>
          <w:b/>
          <w:bCs/>
          <w:sz w:val="28"/>
        </w:rPr>
        <w:t>残疾人福利性单位声明函</w:t>
      </w:r>
    </w:p>
    <w:p w14:paraId="12541374">
      <w:pPr>
        <w:spacing w:before="240" w:line="588" w:lineRule="exact"/>
        <w:ind w:firstLine="480" w:firstLineChars="200"/>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南通市政务中心食堂服务中心设备采购项目（二次）</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eastAsia="zh-CN"/>
        </w:rPr>
        <w:t>ZZNT2025030</w:t>
      </w:r>
      <w:r>
        <w:rPr>
          <w:rFonts w:hint="eastAsia" w:ascii="宋体" w:hAnsi="宋体" w:eastAsia="宋体" w:cs="宋体"/>
          <w:snapToGrid/>
          <w:kern w:val="2"/>
          <w:sz w:val="24"/>
          <w:u w:val="single"/>
        </w:rPr>
        <w:t>)</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7EC05B80">
      <w:pPr>
        <w:spacing w:line="588" w:lineRule="exact"/>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41F7B99D">
      <w:pPr>
        <w:spacing w:line="588" w:lineRule="exact"/>
        <w:ind w:firstLine="420" w:firstLineChars="200"/>
        <w:rPr>
          <w:rFonts w:ascii="宋体" w:hAnsi="宋体" w:eastAsia="宋体" w:cs="宋体"/>
        </w:rPr>
      </w:pPr>
    </w:p>
    <w:p w14:paraId="61C643DA">
      <w:pPr>
        <w:spacing w:line="588" w:lineRule="exact"/>
        <w:ind w:firstLine="444" w:firstLineChars="200"/>
        <w:rPr>
          <w:rFonts w:ascii="宋体" w:hAnsi="宋体" w:eastAsia="宋体" w:cs="宋体"/>
          <w:spacing w:val="6"/>
        </w:rPr>
      </w:pPr>
    </w:p>
    <w:p w14:paraId="5F354003">
      <w:pPr>
        <w:spacing w:line="588" w:lineRule="exact"/>
        <w:ind w:firstLine="444" w:firstLineChars="200"/>
        <w:rPr>
          <w:rFonts w:ascii="宋体" w:hAnsi="宋体" w:eastAsia="宋体" w:cs="宋体"/>
          <w:spacing w:val="6"/>
        </w:rPr>
      </w:pPr>
    </w:p>
    <w:p w14:paraId="6440F9E9">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1F978B1A">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1BCABE5D">
      <w:pPr>
        <w:snapToGrid w:val="0"/>
        <w:spacing w:line="360" w:lineRule="auto"/>
        <w:ind w:firstLine="4320" w:firstLineChars="1800"/>
        <w:rPr>
          <w:rFonts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6F4CBBCE">
      <w:pPr>
        <w:snapToGrid w:val="0"/>
        <w:spacing w:line="300" w:lineRule="auto"/>
        <w:outlineLvl w:val="0"/>
        <w:rPr>
          <w:rFonts w:ascii="宋体" w:hAnsi="宋体" w:eastAsia="宋体" w:cs="宋体"/>
          <w:sz w:val="28"/>
          <w:szCs w:val="28"/>
        </w:rPr>
      </w:pPr>
    </w:p>
    <w:p w14:paraId="4678125D">
      <w:pPr>
        <w:snapToGrid w:val="0"/>
        <w:spacing w:line="300" w:lineRule="auto"/>
        <w:outlineLvl w:val="0"/>
        <w:rPr>
          <w:rFonts w:ascii="宋体" w:hAnsi="宋体" w:eastAsia="宋体" w:cs="宋体"/>
          <w:sz w:val="28"/>
          <w:szCs w:val="28"/>
        </w:rPr>
      </w:pPr>
    </w:p>
    <w:p w14:paraId="4374C04C">
      <w:pPr>
        <w:snapToGrid w:val="0"/>
        <w:spacing w:line="300" w:lineRule="auto"/>
        <w:outlineLvl w:val="0"/>
        <w:rPr>
          <w:rFonts w:ascii="宋体" w:hAnsi="宋体" w:eastAsia="宋体" w:cs="宋体"/>
          <w:sz w:val="28"/>
          <w:szCs w:val="28"/>
        </w:rPr>
      </w:pPr>
    </w:p>
    <w:p w14:paraId="72B54606">
      <w:pPr>
        <w:snapToGrid w:val="0"/>
        <w:spacing w:line="300" w:lineRule="auto"/>
        <w:outlineLvl w:val="0"/>
        <w:rPr>
          <w:rFonts w:ascii="宋体" w:hAnsi="宋体" w:eastAsia="宋体" w:cs="宋体"/>
          <w:sz w:val="28"/>
          <w:szCs w:val="28"/>
        </w:rPr>
      </w:pPr>
    </w:p>
    <w:p w14:paraId="5FE9D458">
      <w:pPr>
        <w:snapToGrid w:val="0"/>
        <w:spacing w:line="300" w:lineRule="auto"/>
        <w:outlineLvl w:val="0"/>
        <w:rPr>
          <w:rFonts w:ascii="宋体" w:hAnsi="宋体" w:eastAsia="宋体" w:cs="宋体"/>
          <w:sz w:val="28"/>
          <w:szCs w:val="28"/>
        </w:rPr>
      </w:pPr>
    </w:p>
    <w:p w14:paraId="7C38A948">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597B0DBF">
      <w:pPr>
        <w:snapToGrid w:val="0"/>
        <w:spacing w:line="420" w:lineRule="exact"/>
        <w:jc w:val="center"/>
        <w:outlineLvl w:val="3"/>
        <w:rPr>
          <w:rFonts w:ascii="宋体" w:hAnsi="宋体" w:eastAsia="宋体" w:cs="宋体"/>
          <w:b/>
          <w:bCs/>
          <w:sz w:val="28"/>
        </w:rPr>
      </w:pPr>
      <w:r>
        <w:rPr>
          <w:rFonts w:hint="eastAsia" w:ascii="宋体" w:hAnsi="宋体" w:eastAsia="宋体" w:cs="宋体"/>
          <w:b/>
          <w:bCs/>
          <w:sz w:val="28"/>
        </w:rPr>
        <w:t>监狱和戒毒企业证明材料</w:t>
      </w:r>
    </w:p>
    <w:p w14:paraId="4D6FF381">
      <w:pPr>
        <w:snapToGrid w:val="0"/>
        <w:spacing w:line="420" w:lineRule="exact"/>
        <w:ind w:firstLine="371" w:firstLineChars="177"/>
        <w:rPr>
          <w:rFonts w:ascii="宋体" w:hAnsi="宋体" w:eastAsia="宋体" w:cs="宋体"/>
        </w:rPr>
      </w:pPr>
    </w:p>
    <w:p w14:paraId="197ADCE7">
      <w:pPr>
        <w:snapToGrid w:val="0"/>
        <w:spacing w:line="420" w:lineRule="exact"/>
        <w:ind w:firstLine="373" w:firstLineChars="177"/>
        <w:jc w:val="center"/>
        <w:rPr>
          <w:rFonts w:ascii="宋体" w:hAnsi="宋体" w:eastAsia="宋体" w:cs="宋体"/>
          <w:b/>
        </w:rPr>
      </w:pPr>
      <w:r>
        <w:rPr>
          <w:rFonts w:hint="eastAsia" w:ascii="宋体" w:hAnsi="宋体" w:eastAsia="宋体" w:cs="宋体"/>
          <w:b/>
        </w:rPr>
        <w:t>（格式自拟）</w:t>
      </w:r>
    </w:p>
    <w:p w14:paraId="2A9D99D1">
      <w:pPr>
        <w:snapToGrid w:val="0"/>
        <w:spacing w:line="420" w:lineRule="exact"/>
        <w:ind w:firstLine="371" w:firstLineChars="177"/>
        <w:rPr>
          <w:rFonts w:ascii="宋体" w:hAnsi="宋体" w:eastAsia="宋体" w:cs="宋体"/>
        </w:rPr>
      </w:pPr>
    </w:p>
    <w:p w14:paraId="3D9BB363">
      <w:pPr>
        <w:snapToGrid w:val="0"/>
        <w:spacing w:line="420" w:lineRule="exact"/>
        <w:ind w:firstLine="566" w:firstLineChars="236"/>
        <w:rPr>
          <w:rFonts w:ascii="宋体" w:hAnsi="宋体" w:eastAsia="宋体" w:cs="宋体"/>
          <w:sz w:val="24"/>
        </w:rPr>
      </w:pPr>
      <w:r>
        <w:rPr>
          <w:rFonts w:hint="eastAsia" w:ascii="宋体" w:hAnsi="宋体" w:eastAsia="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7E7016C">
      <w:pPr>
        <w:snapToGrid w:val="0"/>
        <w:spacing w:line="360" w:lineRule="auto"/>
        <w:jc w:val="center"/>
        <w:textAlignment w:val="baseline"/>
        <w:rPr>
          <w:rFonts w:ascii="宋体" w:hAnsi="宋体" w:cs="宋体"/>
          <w:b/>
          <w:color w:val="000000"/>
          <w:sz w:val="24"/>
        </w:rPr>
      </w:pPr>
    </w:p>
    <w:p w14:paraId="4EB1EADD">
      <w:pPr>
        <w:spacing w:line="360" w:lineRule="auto"/>
        <w:jc w:val="center"/>
        <w:rPr>
          <w:rFonts w:ascii="宋体" w:hAnsi="宋体" w:eastAsia="宋体"/>
          <w:sz w:val="24"/>
        </w:rPr>
      </w:pPr>
      <w:r>
        <w:rPr>
          <w:rFonts w:ascii="宋体" w:hAnsi="宋体" w:eastAsia="宋体" w:cs="宋体"/>
          <w:b/>
          <w:bCs/>
          <w:snapToGrid/>
          <w:kern w:val="2"/>
          <w:sz w:val="28"/>
          <w:szCs w:val="28"/>
        </w:rPr>
        <w:br w:type="page"/>
      </w:r>
    </w:p>
    <w:p w14:paraId="3D832DD6">
      <w:pPr>
        <w:snapToGrid w:val="0"/>
        <w:spacing w:line="300" w:lineRule="auto"/>
        <w:contextualSpacing/>
        <w:jc w:val="center"/>
        <w:rPr>
          <w:rFonts w:ascii="宋体" w:hAnsi="宋体"/>
          <w:b/>
          <w:sz w:val="32"/>
          <w:szCs w:val="32"/>
        </w:rPr>
      </w:pPr>
      <w:r>
        <w:rPr>
          <w:rFonts w:hint="eastAsia" w:ascii="宋体" w:hAnsi="宋体" w:eastAsia="宋体" w:cs="宋体"/>
          <w:b/>
          <w:bCs/>
          <w:snapToGrid/>
          <w:kern w:val="2"/>
          <w:sz w:val="28"/>
          <w:szCs w:val="28"/>
        </w:rPr>
        <w:t>商务部分正负偏离表</w:t>
      </w:r>
    </w:p>
    <w:p w14:paraId="6082AE6F">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217E7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5DEC232">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37EA35B">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03B2D73">
            <w:pPr>
              <w:spacing w:line="340" w:lineRule="exact"/>
              <w:jc w:val="center"/>
              <w:rPr>
                <w:rFonts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E7EBF5B">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C79BC7">
            <w:pPr>
              <w:spacing w:line="340" w:lineRule="exact"/>
              <w:jc w:val="center"/>
              <w:rPr>
                <w:rFonts w:ascii="宋体" w:hAnsi="宋体" w:eastAsia="宋体" w:cs="宋体"/>
                <w:sz w:val="24"/>
              </w:rPr>
            </w:pPr>
          </w:p>
          <w:p w14:paraId="03E548A2">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3E648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6F2B78B">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E0DAB39">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D7E4F4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4D119E3">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EAF52E7">
            <w:pPr>
              <w:spacing w:line="340" w:lineRule="exact"/>
              <w:jc w:val="left"/>
              <w:rPr>
                <w:rFonts w:ascii="宋体" w:hAnsi="宋体" w:eastAsia="宋体" w:cs="宋体"/>
                <w:sz w:val="24"/>
              </w:rPr>
            </w:pPr>
          </w:p>
        </w:tc>
      </w:tr>
      <w:tr w14:paraId="3849F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0EFF5F2">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19AB12C">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54481F7">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857284">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BC9FA44">
            <w:pPr>
              <w:spacing w:line="340" w:lineRule="exact"/>
              <w:jc w:val="left"/>
              <w:rPr>
                <w:rFonts w:ascii="宋体" w:hAnsi="宋体" w:eastAsia="宋体" w:cs="宋体"/>
                <w:sz w:val="24"/>
              </w:rPr>
            </w:pPr>
          </w:p>
        </w:tc>
      </w:tr>
      <w:tr w14:paraId="14FD3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9964909">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1206195">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5B879E">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B31D8BB">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633BDB0">
            <w:pPr>
              <w:spacing w:line="340" w:lineRule="exact"/>
              <w:jc w:val="left"/>
              <w:rPr>
                <w:rFonts w:ascii="宋体" w:hAnsi="宋体" w:eastAsia="宋体" w:cs="宋体"/>
                <w:sz w:val="24"/>
              </w:rPr>
            </w:pPr>
          </w:p>
        </w:tc>
      </w:tr>
      <w:tr w14:paraId="574AC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16BBFFD">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CEBEB70">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7BEBC0E">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702132D">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A2FECC1">
            <w:pPr>
              <w:spacing w:line="340" w:lineRule="exact"/>
              <w:jc w:val="left"/>
              <w:rPr>
                <w:rFonts w:ascii="宋体" w:hAnsi="宋体" w:eastAsia="宋体" w:cs="宋体"/>
                <w:sz w:val="24"/>
              </w:rPr>
            </w:pPr>
          </w:p>
        </w:tc>
      </w:tr>
    </w:tbl>
    <w:p w14:paraId="29732DB3">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5A9C03BD">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w:t>
      </w:r>
    </w:p>
    <w:p w14:paraId="3B8A86A6">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w:t>
      </w:r>
      <w:r>
        <w:rPr>
          <w:rFonts w:hint="eastAsia" w:ascii="宋体" w:hAnsi="宋体" w:eastAsia="宋体" w:cs="宋体"/>
          <w:color w:val="000000"/>
          <w:sz w:val="24"/>
        </w:rPr>
        <w:t>委认定。</w:t>
      </w:r>
    </w:p>
    <w:p w14:paraId="646B2694">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2F4DDC00">
      <w:pPr>
        <w:snapToGrid w:val="0"/>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4.供应商若提供其他增值服务，可以在表中自行据实填写。</w:t>
      </w:r>
    </w:p>
    <w:p w14:paraId="1F254F5B">
      <w:pPr>
        <w:snapToGrid w:val="0"/>
        <w:spacing w:line="360" w:lineRule="auto"/>
        <w:ind w:right="79"/>
        <w:textAlignment w:val="baseline"/>
        <w:rPr>
          <w:rFonts w:ascii="宋体" w:hAnsi="宋体" w:eastAsia="宋体" w:cs="宋体"/>
          <w:color w:val="000000"/>
          <w:sz w:val="24"/>
        </w:rPr>
      </w:pPr>
    </w:p>
    <w:p w14:paraId="28B3C665">
      <w:pPr>
        <w:snapToGrid w:val="0"/>
        <w:spacing w:line="360" w:lineRule="auto"/>
        <w:ind w:right="79"/>
        <w:textAlignment w:val="baseline"/>
        <w:rPr>
          <w:rFonts w:ascii="宋体" w:hAnsi="宋体" w:eastAsia="宋体" w:cs="宋体"/>
          <w:color w:val="000000"/>
          <w:sz w:val="24"/>
        </w:rPr>
      </w:pPr>
    </w:p>
    <w:p w14:paraId="5EE1CB25">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4D8F799C">
      <w:pPr>
        <w:snapToGrid w:val="0"/>
        <w:spacing w:line="360" w:lineRule="auto"/>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0B8CD7C8">
      <w:pPr>
        <w:adjustRightInd w:val="0"/>
        <w:snapToGrid w:val="0"/>
        <w:spacing w:line="480" w:lineRule="auto"/>
        <w:jc w:val="left"/>
      </w:pPr>
      <w:r>
        <w:rPr>
          <w:rFonts w:hint="eastAsia" w:ascii="宋体" w:hAnsi="宋体" w:eastAsia="宋体" w:cs="宋体"/>
          <w:color w:val="000000"/>
          <w:sz w:val="24"/>
        </w:rPr>
        <w:t>日期：  年  月  日</w:t>
      </w:r>
    </w:p>
    <w:p w14:paraId="2C3AE4CC">
      <w:pPr>
        <w:rPr>
          <w:rFonts w:ascii="宋体" w:hAnsi="宋体" w:eastAsia="宋体" w:cs="宋体"/>
          <w:bCs/>
          <w:sz w:val="24"/>
        </w:rPr>
      </w:pPr>
    </w:p>
    <w:p w14:paraId="71AD75E2">
      <w:pPr>
        <w:rPr>
          <w:rFonts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07BED9FC">
      <w:pPr>
        <w:snapToGrid w:val="0"/>
        <w:spacing w:line="300" w:lineRule="auto"/>
        <w:contextualSpacing/>
        <w:jc w:val="center"/>
        <w:rPr>
          <w:rFonts w:ascii="宋体" w:hAnsi="宋体" w:eastAsia="宋体" w:cs="宋体"/>
          <w:b/>
          <w:bCs/>
          <w:snapToGrid/>
          <w:kern w:val="2"/>
          <w:sz w:val="28"/>
          <w:szCs w:val="28"/>
        </w:rPr>
      </w:pPr>
      <w:r>
        <w:rPr>
          <w:rFonts w:hint="eastAsia" w:ascii="宋体" w:hAnsi="宋体" w:eastAsia="宋体" w:cs="宋体"/>
          <w:b/>
          <w:bCs/>
          <w:snapToGrid/>
          <w:kern w:val="2"/>
          <w:sz w:val="28"/>
          <w:szCs w:val="28"/>
        </w:rPr>
        <w:t>技术部分正负偏离表</w:t>
      </w:r>
    </w:p>
    <w:p w14:paraId="4F0739A5">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A41F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708FD7C">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3C703F3">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A0D630F">
            <w:pPr>
              <w:spacing w:line="340" w:lineRule="exact"/>
              <w:jc w:val="center"/>
              <w:rPr>
                <w:rFonts w:ascii="宋体" w:hAnsi="宋体" w:eastAsia="宋体" w:cs="宋体"/>
                <w:sz w:val="24"/>
              </w:rPr>
            </w:pPr>
            <w:r>
              <w:rPr>
                <w:rFonts w:hint="eastAsia" w:ascii="宋体" w:hAnsi="宋体" w:eastAsia="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5707EF6">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180FF36">
            <w:pPr>
              <w:spacing w:line="340" w:lineRule="exact"/>
              <w:jc w:val="center"/>
              <w:rPr>
                <w:rFonts w:ascii="宋体" w:hAnsi="宋体" w:eastAsia="宋体" w:cs="宋体"/>
                <w:sz w:val="24"/>
              </w:rPr>
            </w:pPr>
          </w:p>
          <w:p w14:paraId="2A7AA7EB">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7A3B5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732EDA3">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68010FE">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462E09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ABA39AC">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8E9F2CD">
            <w:pPr>
              <w:spacing w:line="340" w:lineRule="exact"/>
              <w:jc w:val="left"/>
              <w:rPr>
                <w:rFonts w:ascii="宋体" w:hAnsi="宋体" w:eastAsia="宋体" w:cs="宋体"/>
                <w:sz w:val="24"/>
              </w:rPr>
            </w:pPr>
          </w:p>
        </w:tc>
      </w:tr>
      <w:tr w14:paraId="2D96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B0524AA">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C3E5E2E">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36F444F">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58C9BC3">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ADA2A94">
            <w:pPr>
              <w:spacing w:line="340" w:lineRule="exact"/>
              <w:jc w:val="left"/>
              <w:rPr>
                <w:rFonts w:ascii="宋体" w:hAnsi="宋体" w:eastAsia="宋体" w:cs="宋体"/>
                <w:sz w:val="24"/>
              </w:rPr>
            </w:pPr>
          </w:p>
        </w:tc>
      </w:tr>
      <w:tr w14:paraId="467A0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B566B90">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5933634">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94B7EA1">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0521B5E">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AE2666C">
            <w:pPr>
              <w:spacing w:line="340" w:lineRule="exact"/>
              <w:jc w:val="left"/>
              <w:rPr>
                <w:rFonts w:ascii="宋体" w:hAnsi="宋体" w:eastAsia="宋体" w:cs="宋体"/>
                <w:sz w:val="24"/>
              </w:rPr>
            </w:pPr>
          </w:p>
        </w:tc>
      </w:tr>
      <w:tr w14:paraId="77C24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1784E8D">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0FC23E3">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3FD32A6">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17967D7">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339FF5E">
            <w:pPr>
              <w:spacing w:line="340" w:lineRule="exact"/>
              <w:jc w:val="left"/>
              <w:rPr>
                <w:rFonts w:ascii="宋体" w:hAnsi="宋体" w:eastAsia="宋体" w:cs="宋体"/>
                <w:sz w:val="24"/>
              </w:rPr>
            </w:pPr>
          </w:p>
        </w:tc>
      </w:tr>
    </w:tbl>
    <w:p w14:paraId="7DD1464C">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5408FECA">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w:t>
      </w:r>
    </w:p>
    <w:p w14:paraId="237C371D">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w:t>
      </w:r>
      <w:r>
        <w:rPr>
          <w:rFonts w:hint="eastAsia" w:ascii="宋体" w:hAnsi="宋体" w:eastAsia="宋体" w:cs="宋体"/>
          <w:color w:val="000000"/>
          <w:sz w:val="24"/>
        </w:rPr>
        <w:t>由评委认定。</w:t>
      </w:r>
    </w:p>
    <w:p w14:paraId="5B9E1882">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1F5E69F2">
      <w:pPr>
        <w:snapToGrid w:val="0"/>
        <w:spacing w:line="360" w:lineRule="auto"/>
        <w:ind w:firstLine="480" w:firstLineChars="200"/>
        <w:contextualSpacing/>
        <w:rPr>
          <w:rFonts w:ascii="宋体" w:hAnsi="宋体" w:eastAsia="宋体" w:cs="宋体"/>
        </w:rPr>
      </w:pPr>
      <w:r>
        <w:rPr>
          <w:rFonts w:hint="eastAsia" w:ascii="宋体" w:hAnsi="宋体" w:eastAsia="宋体" w:cs="宋体"/>
          <w:bCs/>
          <w:sz w:val="24"/>
        </w:rPr>
        <w:t>4.供应商若提供其他增值服务，可以在表中自行据实填写。</w:t>
      </w:r>
    </w:p>
    <w:p w14:paraId="5D4A1750">
      <w:pPr>
        <w:snapToGrid w:val="0"/>
        <w:spacing w:line="360" w:lineRule="auto"/>
        <w:ind w:right="79"/>
        <w:textAlignment w:val="baseline"/>
        <w:rPr>
          <w:rFonts w:ascii="宋体" w:hAnsi="宋体" w:eastAsia="宋体" w:cs="宋体"/>
          <w:color w:val="000000"/>
          <w:sz w:val="24"/>
        </w:rPr>
      </w:pPr>
    </w:p>
    <w:p w14:paraId="4EABF081">
      <w:pPr>
        <w:snapToGrid w:val="0"/>
        <w:spacing w:line="360" w:lineRule="auto"/>
        <w:ind w:right="79"/>
        <w:textAlignment w:val="baseline"/>
        <w:rPr>
          <w:rFonts w:ascii="宋体" w:hAnsi="宋体" w:eastAsia="宋体" w:cs="宋体"/>
          <w:color w:val="000000"/>
          <w:sz w:val="24"/>
        </w:rPr>
      </w:pPr>
    </w:p>
    <w:p w14:paraId="0D72F6B3">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003E6D58">
      <w:pPr>
        <w:snapToGrid w:val="0"/>
        <w:spacing w:line="360" w:lineRule="auto"/>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54F3D182">
      <w:pPr>
        <w:adjustRightInd w:val="0"/>
        <w:snapToGrid w:val="0"/>
        <w:spacing w:line="480" w:lineRule="auto"/>
        <w:jc w:val="left"/>
      </w:pPr>
      <w:r>
        <w:rPr>
          <w:rFonts w:hint="eastAsia" w:ascii="宋体" w:hAnsi="宋体" w:eastAsia="宋体" w:cs="宋体"/>
          <w:color w:val="000000"/>
          <w:sz w:val="24"/>
        </w:rPr>
        <w:t>日期：  年  月  日</w:t>
      </w:r>
    </w:p>
    <w:p w14:paraId="6F8DC323">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77F18CA0">
      <w:pPr>
        <w:adjustRightInd w:val="0"/>
        <w:snapToGrid w:val="0"/>
        <w:spacing w:line="360" w:lineRule="auto"/>
        <w:jc w:val="center"/>
        <w:rPr>
          <w:rFonts w:ascii="宋体" w:hAnsi="宋体" w:eastAsia="宋体" w:cs="宋体"/>
          <w:b/>
          <w:bCs/>
          <w:sz w:val="28"/>
          <w:szCs w:val="28"/>
        </w:rPr>
      </w:pPr>
    </w:p>
    <w:p w14:paraId="33BFBF81">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2236B15E">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4972FCEA">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7330240A">
            <w:pPr>
              <w:widowControl/>
              <w:spacing w:line="360" w:lineRule="auto"/>
              <w:jc w:val="center"/>
              <w:rPr>
                <w:rFonts w:hint="eastAsia" w:ascii="宋体" w:hAnsi="宋体" w:eastAsia="宋体" w:cs="宋体"/>
                <w:sz w:val="24"/>
                <w:lang w:eastAsia="zh-CN"/>
              </w:rPr>
            </w:pPr>
            <w:r>
              <w:rPr>
                <w:rFonts w:hint="eastAsia" w:ascii="宋体" w:hAnsi="宋体" w:eastAsia="宋体" w:cs="宋体"/>
                <w:kern w:val="2"/>
                <w:sz w:val="24"/>
                <w:lang w:eastAsia="zh-CN"/>
              </w:rPr>
              <w:t>南通市政务中心食堂服务中心设备采购项目（二次）</w:t>
            </w:r>
          </w:p>
        </w:tc>
      </w:tr>
      <w:tr w14:paraId="202A3AD0">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5FB6EE99">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1A5E1BE2">
            <w:pPr>
              <w:widowControl/>
              <w:spacing w:line="360" w:lineRule="auto"/>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ZZNT2025030</w:t>
            </w:r>
          </w:p>
        </w:tc>
      </w:tr>
      <w:tr w14:paraId="6C27291C">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2837F5CE">
            <w:pPr>
              <w:widowControl/>
              <w:spacing w:line="360" w:lineRule="auto"/>
              <w:jc w:val="center"/>
              <w:rPr>
                <w:rFonts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5501FF78">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 xml:space="preserve"> 元</w:t>
            </w:r>
            <w:r>
              <w:rPr>
                <w:rFonts w:hint="eastAsia" w:ascii="宋体" w:hAnsi="宋体" w:eastAsia="宋体" w:cs="宋体"/>
                <w:kern w:val="2"/>
                <w:sz w:val="24"/>
              </w:rPr>
              <w:t>。</w:t>
            </w:r>
          </w:p>
          <w:p w14:paraId="6586CDB8">
            <w:pPr>
              <w:widowControl/>
              <w:spacing w:line="360" w:lineRule="auto"/>
              <w:jc w:val="left"/>
              <w:rPr>
                <w:rFonts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2840F63B">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1E7CD2E2">
            <w:pPr>
              <w:widowControl/>
              <w:spacing w:line="360" w:lineRule="auto"/>
              <w:jc w:val="center"/>
              <w:rPr>
                <w:rFonts w:ascii="宋体" w:hAnsi="宋体" w:eastAsia="宋体" w:cs="宋体"/>
                <w:sz w:val="24"/>
              </w:rPr>
            </w:pPr>
            <w:r>
              <w:rPr>
                <w:rFonts w:hint="eastAsia" w:ascii="宋体" w:hAnsi="宋体" w:eastAsia="宋体" w:cs="宋体"/>
                <w:sz w:val="24"/>
              </w:rPr>
              <w:t>最终磋商报价</w:t>
            </w:r>
          </w:p>
          <w:p w14:paraId="1F1A7913">
            <w:pPr>
              <w:widowControl/>
              <w:spacing w:line="360" w:lineRule="auto"/>
              <w:jc w:val="center"/>
              <w:rPr>
                <w:kern w:val="2"/>
              </w:rPr>
            </w:pPr>
            <w:r>
              <w:rPr>
                <w:rFonts w:hint="eastAsia" w:ascii="宋体" w:hAnsi="宋体" w:eastAsia="宋体" w:cs="宋体"/>
                <w:b/>
                <w:bCs/>
                <w:sz w:val="24"/>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61BA982A">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元</w:t>
            </w:r>
            <w:r>
              <w:rPr>
                <w:rFonts w:hint="eastAsia" w:ascii="宋体" w:hAnsi="宋体" w:eastAsia="宋体" w:cs="宋体"/>
                <w:kern w:val="2"/>
                <w:sz w:val="24"/>
              </w:rPr>
              <w:t>。</w:t>
            </w:r>
          </w:p>
          <w:p w14:paraId="7CB4CE84">
            <w:pPr>
              <w:widowControl/>
              <w:spacing w:line="360" w:lineRule="auto"/>
              <w:jc w:val="left"/>
              <w:rPr>
                <w:rFonts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6B33008E">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3D057356">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79D4DB83">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rPr>
              <w:t>完全接受并响应竞争性磋商文件中工期和质</w:t>
            </w:r>
            <w:r>
              <w:rPr>
                <w:rFonts w:hint="eastAsia" w:ascii="宋体" w:hAnsi="宋体" w:eastAsia="宋体" w:cs="宋体"/>
                <w:kern w:val="2"/>
                <w:sz w:val="24"/>
              </w:rPr>
              <w:t>量要求。</w:t>
            </w:r>
          </w:p>
        </w:tc>
      </w:tr>
    </w:tbl>
    <w:p w14:paraId="3422AE3F">
      <w:pPr>
        <w:spacing w:line="600" w:lineRule="exact"/>
        <w:rPr>
          <w:rFonts w:ascii="宋体" w:hAnsi="宋体" w:eastAsia="宋体"/>
          <w:kern w:val="2"/>
          <w:sz w:val="24"/>
        </w:rPr>
      </w:pPr>
    </w:p>
    <w:p w14:paraId="475F173F">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2E5BEF4F">
      <w:pPr>
        <w:snapToGrid w:val="0"/>
        <w:spacing w:line="360" w:lineRule="auto"/>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0FFB3901">
      <w:pPr>
        <w:adjustRightInd w:val="0"/>
        <w:snapToGrid w:val="0"/>
        <w:spacing w:line="480" w:lineRule="auto"/>
        <w:jc w:val="left"/>
      </w:pPr>
      <w:r>
        <w:rPr>
          <w:rFonts w:hint="eastAsia" w:ascii="宋体" w:hAnsi="宋体" w:eastAsia="宋体" w:cs="宋体"/>
          <w:color w:val="000000"/>
          <w:sz w:val="24"/>
        </w:rPr>
        <w:t>日期：  年  月  日</w:t>
      </w:r>
    </w:p>
    <w:p w14:paraId="689D1B05">
      <w:pPr>
        <w:snapToGrid w:val="0"/>
        <w:spacing w:line="360" w:lineRule="auto"/>
        <w:rPr>
          <w:rFonts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2EE04701">
      <w:pPr>
        <w:snapToGrid w:val="0"/>
        <w:spacing w:line="360" w:lineRule="auto"/>
        <w:ind w:firstLine="480" w:firstLineChars="200"/>
        <w:rPr>
          <w:rStyle w:val="96"/>
          <w:rFonts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6D27F02C">
      <w:pPr>
        <w:snapToGrid w:val="0"/>
        <w:spacing w:line="360" w:lineRule="auto"/>
        <w:ind w:firstLine="494" w:firstLineChars="206"/>
        <w:rPr>
          <w:rFonts w:ascii="宋体" w:hAnsi="宋体" w:eastAsia="宋体"/>
          <w:sz w:val="24"/>
        </w:rPr>
      </w:pPr>
      <w:r>
        <w:rPr>
          <w:rStyle w:val="96"/>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0320D8A1">
      <w:pPr>
        <w:widowControl/>
        <w:snapToGrid w:val="0"/>
        <w:spacing w:line="360" w:lineRule="auto"/>
        <w:ind w:firstLine="480" w:firstLineChars="200"/>
        <w:jc w:val="left"/>
        <w:rPr>
          <w:rFonts w:ascii="宋体" w:hAnsi="宋体" w:eastAsia="宋体"/>
          <w:sz w:val="24"/>
        </w:rPr>
      </w:pPr>
      <w:r>
        <w:rPr>
          <w:rFonts w:hint="eastAsia" w:ascii="宋体" w:hAnsi="宋体" w:eastAsia="宋体"/>
          <w:sz w:val="24"/>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14:paraId="58164CA2">
      <w:pPr>
        <w:snapToGrid w:val="0"/>
        <w:spacing w:line="360" w:lineRule="auto"/>
        <w:ind w:firstLine="494" w:firstLineChars="206"/>
        <w:outlineLvl w:val="1"/>
        <w:rPr>
          <w:rFonts w:ascii="宋体" w:hAnsi="宋体" w:eastAsia="宋体" w:cs="宋体"/>
          <w:sz w:val="24"/>
        </w:rPr>
      </w:pPr>
      <w:r>
        <w:rPr>
          <w:rFonts w:hint="eastAsia" w:ascii="宋体" w:hAnsi="宋体" w:eastAsia="宋体"/>
          <w:sz w:val="24"/>
        </w:rPr>
        <w:br w:type="page"/>
      </w:r>
      <w:r>
        <w:rPr>
          <w:rFonts w:hint="eastAsia" w:ascii="宋体" w:hAnsi="宋体" w:eastAsia="宋体" w:cs="宋体"/>
          <w:sz w:val="24"/>
        </w:rPr>
        <w:t>2、磋商响应详细报价表（应用预算软件编制并打印），包括：【编制说明】、【投标报价汇总表】、【已标价的工程量清单】、【工程量清单单价分析表】等。</w:t>
      </w:r>
    </w:p>
    <w:p w14:paraId="3999A63E">
      <w:pPr>
        <w:rPr>
          <w:rFonts w:ascii="宋体" w:hAnsi="宋体" w:eastAsia="宋体"/>
          <w:sz w:val="24"/>
        </w:rPr>
      </w:pPr>
    </w:p>
    <w:p w14:paraId="2CBC4CC5">
      <w:pPr>
        <w:pStyle w:val="2"/>
        <w:rPr>
          <w:rFonts w:ascii="宋体" w:hAnsi="宋体" w:eastAsia="宋体"/>
          <w:sz w:val="24"/>
        </w:rPr>
      </w:pPr>
    </w:p>
    <w:p w14:paraId="3F7714AB">
      <w:pPr>
        <w:pStyle w:val="2"/>
        <w:rPr>
          <w:rFonts w:ascii="宋体" w:hAnsi="宋体" w:eastAsia="宋体"/>
          <w:sz w:val="24"/>
        </w:rPr>
      </w:pPr>
    </w:p>
    <w:p w14:paraId="49AEA2AE">
      <w:pPr>
        <w:pStyle w:val="2"/>
        <w:rPr>
          <w:rFonts w:ascii="宋体" w:hAnsi="宋体" w:eastAsia="宋体"/>
          <w:sz w:val="24"/>
        </w:rPr>
      </w:pPr>
    </w:p>
    <w:p w14:paraId="56919AB2">
      <w:pPr>
        <w:pStyle w:val="2"/>
        <w:rPr>
          <w:rFonts w:ascii="宋体" w:hAnsi="宋体" w:eastAsia="宋体"/>
          <w:sz w:val="24"/>
        </w:rPr>
      </w:pPr>
    </w:p>
    <w:p w14:paraId="2A403B48">
      <w:pPr>
        <w:pStyle w:val="2"/>
        <w:rPr>
          <w:rFonts w:ascii="宋体" w:hAnsi="宋体" w:eastAsia="宋体"/>
          <w:sz w:val="24"/>
        </w:rPr>
      </w:pPr>
    </w:p>
    <w:p w14:paraId="16F72ACF">
      <w:pPr>
        <w:pStyle w:val="2"/>
        <w:rPr>
          <w:rFonts w:ascii="宋体" w:hAnsi="宋体" w:eastAsia="宋体"/>
          <w:sz w:val="24"/>
        </w:rPr>
      </w:pPr>
    </w:p>
    <w:p w14:paraId="4795549D">
      <w:pPr>
        <w:pStyle w:val="2"/>
        <w:rPr>
          <w:rFonts w:ascii="宋体" w:hAnsi="宋体" w:eastAsia="宋体"/>
          <w:sz w:val="24"/>
        </w:rPr>
      </w:pPr>
    </w:p>
    <w:p w14:paraId="5E2394AE">
      <w:pPr>
        <w:pStyle w:val="2"/>
        <w:rPr>
          <w:rFonts w:ascii="宋体" w:hAnsi="宋体" w:eastAsia="宋体"/>
          <w:sz w:val="24"/>
        </w:rPr>
      </w:pPr>
    </w:p>
    <w:p w14:paraId="1720632A">
      <w:pPr>
        <w:pStyle w:val="2"/>
        <w:rPr>
          <w:rFonts w:ascii="宋体" w:hAnsi="宋体" w:eastAsia="宋体"/>
          <w:sz w:val="24"/>
        </w:rPr>
      </w:pPr>
    </w:p>
    <w:p w14:paraId="5273E602">
      <w:pPr>
        <w:pStyle w:val="2"/>
        <w:rPr>
          <w:rFonts w:ascii="宋体" w:hAnsi="宋体" w:eastAsia="宋体"/>
          <w:sz w:val="24"/>
        </w:rPr>
      </w:pPr>
    </w:p>
    <w:p w14:paraId="533331DA">
      <w:pPr>
        <w:pStyle w:val="2"/>
        <w:rPr>
          <w:rFonts w:ascii="宋体" w:hAnsi="宋体" w:eastAsia="宋体"/>
          <w:sz w:val="24"/>
        </w:rPr>
      </w:pPr>
    </w:p>
    <w:p w14:paraId="1414CF10">
      <w:pPr>
        <w:pStyle w:val="2"/>
        <w:rPr>
          <w:rFonts w:ascii="宋体" w:hAnsi="宋体" w:eastAsia="宋体"/>
          <w:sz w:val="24"/>
        </w:rPr>
      </w:pPr>
    </w:p>
    <w:p w14:paraId="7566FEB5">
      <w:pPr>
        <w:pStyle w:val="2"/>
        <w:rPr>
          <w:rFonts w:ascii="宋体" w:hAnsi="宋体" w:eastAsia="宋体"/>
          <w:sz w:val="24"/>
        </w:rPr>
      </w:pPr>
    </w:p>
    <w:p w14:paraId="53691255">
      <w:pPr>
        <w:pStyle w:val="2"/>
        <w:rPr>
          <w:rFonts w:ascii="宋体" w:hAnsi="宋体" w:eastAsia="宋体"/>
          <w:sz w:val="24"/>
        </w:rPr>
      </w:pPr>
    </w:p>
    <w:p w14:paraId="244C7845">
      <w:pPr>
        <w:pStyle w:val="2"/>
        <w:rPr>
          <w:rFonts w:ascii="宋体" w:hAnsi="宋体" w:eastAsia="宋体"/>
          <w:sz w:val="24"/>
        </w:rPr>
      </w:pPr>
    </w:p>
    <w:p w14:paraId="3CE047FB">
      <w:pPr>
        <w:spacing w:before="156" w:beforeLines="50" w:after="156" w:afterLines="50" w:line="360" w:lineRule="auto"/>
        <w:jc w:val="center"/>
        <w:rPr>
          <w:rFonts w:hint="eastAsia" w:ascii="宋体" w:hAnsi="宋体" w:eastAsia="宋体" w:cs="宋体"/>
          <w:b/>
          <w:bCs/>
          <w:snapToGrid/>
          <w:w w:val="80"/>
          <w:kern w:val="2"/>
          <w:sz w:val="44"/>
          <w:szCs w:val="44"/>
        </w:rPr>
      </w:pPr>
    </w:p>
    <w:p w14:paraId="6BF0AF7E">
      <w:pPr>
        <w:spacing w:before="156" w:beforeLines="50" w:after="156" w:afterLines="50" w:line="360" w:lineRule="auto"/>
        <w:jc w:val="center"/>
        <w:rPr>
          <w:rFonts w:hint="eastAsia" w:ascii="宋体" w:hAnsi="宋体" w:eastAsia="宋体" w:cs="宋体"/>
          <w:b/>
          <w:bCs/>
          <w:snapToGrid/>
          <w:w w:val="80"/>
          <w:kern w:val="2"/>
          <w:sz w:val="44"/>
          <w:szCs w:val="44"/>
        </w:rPr>
      </w:pPr>
    </w:p>
    <w:p w14:paraId="6CA13644">
      <w:pPr>
        <w:spacing w:before="156" w:beforeLines="50" w:after="156" w:afterLines="50" w:line="360" w:lineRule="auto"/>
        <w:jc w:val="center"/>
        <w:rPr>
          <w:rFonts w:hint="eastAsia" w:ascii="宋体" w:hAnsi="宋体" w:eastAsia="宋体" w:cs="宋体"/>
          <w:b/>
          <w:bCs/>
          <w:snapToGrid/>
          <w:w w:val="80"/>
          <w:kern w:val="2"/>
          <w:sz w:val="44"/>
          <w:szCs w:val="44"/>
        </w:rPr>
      </w:pPr>
    </w:p>
    <w:p w14:paraId="130D8AC3">
      <w:pPr>
        <w:spacing w:before="156" w:beforeLines="50" w:after="156" w:afterLines="50" w:line="360" w:lineRule="auto"/>
        <w:jc w:val="center"/>
        <w:rPr>
          <w:rFonts w:hint="eastAsia" w:ascii="宋体" w:hAnsi="宋体" w:eastAsia="宋体" w:cs="宋体"/>
          <w:b/>
          <w:bCs/>
          <w:snapToGrid/>
          <w:w w:val="80"/>
          <w:kern w:val="2"/>
          <w:sz w:val="44"/>
          <w:szCs w:val="44"/>
        </w:rPr>
      </w:pPr>
    </w:p>
    <w:p w14:paraId="00FF2D1A">
      <w:pPr>
        <w:spacing w:before="156" w:beforeLines="50" w:after="156" w:afterLines="50" w:line="360" w:lineRule="auto"/>
        <w:jc w:val="center"/>
        <w:rPr>
          <w:rFonts w:hint="eastAsia" w:ascii="宋体" w:hAnsi="宋体" w:eastAsia="宋体" w:cs="宋体"/>
          <w:b/>
          <w:bCs/>
          <w:snapToGrid/>
          <w:w w:val="80"/>
          <w:kern w:val="2"/>
          <w:sz w:val="44"/>
          <w:szCs w:val="44"/>
        </w:rPr>
      </w:pPr>
    </w:p>
    <w:p w14:paraId="16AA31E9">
      <w:pPr>
        <w:spacing w:before="156" w:beforeLines="50" w:after="156" w:afterLines="50" w:line="360" w:lineRule="auto"/>
        <w:jc w:val="center"/>
        <w:rPr>
          <w:rFonts w:hint="eastAsia" w:ascii="宋体" w:hAnsi="宋体" w:eastAsia="宋体" w:cs="宋体"/>
          <w:b/>
          <w:bCs/>
          <w:snapToGrid/>
          <w:w w:val="80"/>
          <w:kern w:val="2"/>
          <w:sz w:val="44"/>
          <w:szCs w:val="44"/>
        </w:rPr>
      </w:pPr>
    </w:p>
    <w:p w14:paraId="44D59EA8">
      <w:pPr>
        <w:spacing w:before="156" w:beforeLines="50" w:after="156" w:afterLines="50" w:line="360" w:lineRule="auto"/>
        <w:jc w:val="center"/>
        <w:rPr>
          <w:rFonts w:hint="eastAsia" w:ascii="宋体" w:hAnsi="宋体" w:eastAsia="宋体" w:cs="宋体"/>
          <w:b/>
          <w:bCs/>
          <w:snapToGrid/>
          <w:w w:val="80"/>
          <w:kern w:val="2"/>
          <w:sz w:val="44"/>
          <w:szCs w:val="44"/>
        </w:rPr>
      </w:pPr>
    </w:p>
    <w:p w14:paraId="1CD119D2">
      <w:pPr>
        <w:spacing w:before="156" w:beforeLines="50" w:after="156" w:afterLines="50" w:line="360" w:lineRule="auto"/>
        <w:jc w:val="center"/>
        <w:rPr>
          <w:rFonts w:hint="eastAsia" w:ascii="宋体" w:hAnsi="宋体" w:eastAsia="宋体" w:cs="宋体"/>
          <w:b/>
          <w:bCs/>
          <w:snapToGrid/>
          <w:w w:val="80"/>
          <w:kern w:val="2"/>
          <w:sz w:val="44"/>
          <w:szCs w:val="44"/>
        </w:rPr>
      </w:pPr>
    </w:p>
    <w:p w14:paraId="61163DAA">
      <w:pPr>
        <w:spacing w:before="156" w:beforeLines="50" w:after="156" w:afterLines="50" w:line="360" w:lineRule="auto"/>
        <w:jc w:val="center"/>
        <w:rPr>
          <w:rFonts w:hint="eastAsia" w:ascii="宋体" w:hAnsi="宋体" w:eastAsia="宋体" w:cs="宋体"/>
          <w:b/>
          <w:bCs/>
          <w:snapToGrid/>
          <w:w w:val="80"/>
          <w:kern w:val="2"/>
          <w:sz w:val="44"/>
          <w:szCs w:val="44"/>
        </w:rPr>
      </w:pPr>
    </w:p>
    <w:p w14:paraId="56DE47D4">
      <w:pPr>
        <w:spacing w:before="156" w:beforeLines="50" w:after="156"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第七部分 工程量清单</w:t>
      </w:r>
    </w:p>
    <w:p w14:paraId="44AD2542">
      <w:pPr>
        <w:pStyle w:val="5"/>
        <w:ind w:left="0"/>
        <w:jc w:val="center"/>
        <w:rPr>
          <w:rFonts w:ascii="宋体" w:hAnsi="宋体" w:cs="宋体"/>
          <w:sz w:val="24"/>
          <w:szCs w:val="24"/>
        </w:rPr>
      </w:pPr>
      <w:r>
        <w:rPr>
          <w:rFonts w:hint="eastAsia" w:ascii="宋体" w:hAnsi="宋体" w:cs="宋体"/>
          <w:sz w:val="24"/>
          <w:szCs w:val="24"/>
        </w:rPr>
        <w:t>（详见附件）</w:t>
      </w:r>
    </w:p>
    <w:p w14:paraId="01AB5BF9">
      <w:pPr>
        <w:widowControl/>
        <w:ind w:firstLine="3373" w:firstLineChars="1400"/>
        <w:jc w:val="left"/>
        <w:rPr>
          <w:rFonts w:ascii="宋体" w:hAnsi="宋体" w:cs="宋体"/>
          <w:b/>
          <w:sz w:val="24"/>
          <w:szCs w:val="24"/>
        </w:rPr>
      </w:pPr>
      <w:r>
        <w:rPr>
          <w:rFonts w:ascii="宋体" w:hAnsi="宋体" w:cs="宋体"/>
          <w:b/>
          <w:sz w:val="24"/>
          <w:szCs w:val="24"/>
        </w:rPr>
        <w:t>……</w:t>
      </w:r>
      <w:r>
        <w:rPr>
          <w:rFonts w:hint="eastAsia" w:ascii="宋体" w:hAnsi="宋体" w:cs="宋体"/>
          <w:b/>
          <w:sz w:val="24"/>
          <w:szCs w:val="24"/>
        </w:rPr>
        <w:t>全文结束</w:t>
      </w:r>
      <w:r>
        <w:rPr>
          <w:rFonts w:ascii="宋体" w:hAnsi="宋体" w:cs="宋体"/>
          <w:b/>
          <w:sz w:val="24"/>
          <w:szCs w:val="24"/>
        </w:rPr>
        <w:t>……</w:t>
      </w:r>
    </w:p>
    <w:p w14:paraId="51965DDF">
      <w:pPr>
        <w:pStyle w:val="5"/>
        <w:ind w:left="0"/>
        <w:jc w:val="center"/>
        <w:rPr>
          <w:rFonts w:ascii="宋体" w:hAnsi="宋体" w:cs="宋体"/>
          <w:sz w:val="24"/>
          <w:szCs w:val="24"/>
        </w:rPr>
      </w:pPr>
    </w:p>
    <w:sectPr>
      <w:pgSz w:w="11906" w:h="16838"/>
      <w:pgMar w:top="1361" w:right="1361" w:bottom="1361" w:left="1361"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2052">
    <w:pPr>
      <w:pStyle w:val="5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3B650BD0">
                          <w:pPr>
                            <w:pStyle w:val="59"/>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3B650BD0">
                    <w:pPr>
                      <w:pStyle w:val="59"/>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4801">
    <w:pPr>
      <w:pStyle w:val="59"/>
      <w:jc w:val="right"/>
    </w:pPr>
    <w:r>
      <w:fldChar w:fldCharType="begin"/>
    </w:r>
    <w:r>
      <w:instrText xml:space="preserve">PAGE   \* MERGEFORMAT</w:instrText>
    </w:r>
    <w:r>
      <w:fldChar w:fldCharType="separate"/>
    </w:r>
    <w:r>
      <w:rPr>
        <w:lang w:val="zh-CN"/>
      </w:rPr>
      <w:t>-</w:t>
    </w:r>
    <w:r>
      <w:t xml:space="preserve"> 17 -</w:t>
    </w:r>
    <w:r>
      <w:fldChar w:fldCharType="end"/>
    </w:r>
  </w:p>
  <w:p w14:paraId="022B5CCB">
    <w:pPr>
      <w:pStyle w:val="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D874">
    <w:pPr>
      <w:pStyle w:val="59"/>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96B83A">
                          <w:pPr>
                            <w:pStyle w:val="59"/>
                            <w:jc w:val="right"/>
                          </w:pPr>
                          <w:r>
                            <w:fldChar w:fldCharType="begin"/>
                          </w:r>
                          <w:r>
                            <w:instrText xml:space="preserve">PAGE   \* MERGEFORMAT</w:instrText>
                          </w:r>
                          <w:r>
                            <w:fldChar w:fldCharType="separate"/>
                          </w:r>
                          <w:r>
                            <w:rPr>
                              <w:lang w:val="zh-CN"/>
                            </w:rPr>
                            <w:t>-</w:t>
                          </w:r>
                          <w:r>
                            <w:t xml:space="preserve"> 4 -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4796B83A">
                    <w:pPr>
                      <w:pStyle w:val="59"/>
                      <w:jc w:val="right"/>
                    </w:pPr>
                    <w:r>
                      <w:fldChar w:fldCharType="begin"/>
                    </w:r>
                    <w:r>
                      <w:instrText xml:space="preserve">PAGE   \* MERGEFORMAT</w:instrText>
                    </w:r>
                    <w:r>
                      <w:fldChar w:fldCharType="separate"/>
                    </w:r>
                    <w:r>
                      <w:rPr>
                        <w:lang w:val="zh-CN"/>
                      </w:rPr>
                      <w:t>-</w:t>
                    </w:r>
                    <w:r>
                      <w:t xml:space="preserve"> 4 -</w:t>
                    </w:r>
                    <w:r>
                      <w:fldChar w:fldCharType="end"/>
                    </w:r>
                  </w:p>
                </w:txbxContent>
              </v:textbox>
            </v:shape>
          </w:pict>
        </mc:Fallback>
      </mc:AlternateContent>
    </w:r>
  </w:p>
  <w:p w14:paraId="011BD316">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1924">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805D">
    <w:pPr>
      <w:snapToGrid w:val="0"/>
      <w:spacing w:line="360" w:lineRule="auto"/>
      <w:jc w:val="center"/>
    </w:pPr>
    <w:r>
      <w:rPr>
        <w:rFonts w:hint="eastAsia" w:ascii="宋体" w:hAnsi="宋体" w:eastAsia="宋体" w:cs="宋体"/>
        <w:sz w:val="18"/>
        <w:szCs w:val="18"/>
        <w:u w:val="single"/>
        <w:lang w:eastAsia="zh-CN"/>
      </w:rPr>
      <w:t>南通市政务中心食堂服务中心设备采购项目（二次）</w:t>
    </w:r>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001D">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lang w:eastAsia="zh-CN"/>
      </w:rPr>
      <w:t>南通市政务中心食堂服务中心设备采购项目（二次）</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5CEA"/>
    <w:multiLevelType w:val="singleLevel"/>
    <w:tmpl w:val="E2895CEA"/>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pStyle w:val="18"/>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1655D05D"/>
    <w:multiLevelType w:val="singleLevel"/>
    <w:tmpl w:val="1655D05D"/>
    <w:lvl w:ilvl="0" w:tentative="0">
      <w:start w:val="2"/>
      <w:numFmt w:val="decimal"/>
      <w:suff w:val="nothing"/>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jJkYzkzOGM1OWE1MTlhNjU3N2M1ZmRiNTBhZjYifQ=="/>
  </w:docVars>
  <w:rsids>
    <w:rsidRoot w:val="00172A27"/>
    <w:rsid w:val="00000038"/>
    <w:rsid w:val="00000983"/>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330"/>
    <w:rsid w:val="000C44FC"/>
    <w:rsid w:val="000C6F44"/>
    <w:rsid w:val="000D0EBD"/>
    <w:rsid w:val="000D1561"/>
    <w:rsid w:val="000D3AC8"/>
    <w:rsid w:val="000D56D0"/>
    <w:rsid w:val="000D68A0"/>
    <w:rsid w:val="000E155C"/>
    <w:rsid w:val="000E1F68"/>
    <w:rsid w:val="000E226B"/>
    <w:rsid w:val="000E39A5"/>
    <w:rsid w:val="000E3C80"/>
    <w:rsid w:val="000E4FEB"/>
    <w:rsid w:val="000E56C8"/>
    <w:rsid w:val="000E57B3"/>
    <w:rsid w:val="000E5FF0"/>
    <w:rsid w:val="000F01E9"/>
    <w:rsid w:val="000F15E9"/>
    <w:rsid w:val="000F39E2"/>
    <w:rsid w:val="000F3D60"/>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68B"/>
    <w:rsid w:val="00141499"/>
    <w:rsid w:val="001447C6"/>
    <w:rsid w:val="001509A6"/>
    <w:rsid w:val="0015236F"/>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75DC"/>
    <w:rsid w:val="00202E8B"/>
    <w:rsid w:val="0020435D"/>
    <w:rsid w:val="0020465D"/>
    <w:rsid w:val="00212B9F"/>
    <w:rsid w:val="00213418"/>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A8F"/>
    <w:rsid w:val="00273E43"/>
    <w:rsid w:val="00274720"/>
    <w:rsid w:val="00275485"/>
    <w:rsid w:val="0027746B"/>
    <w:rsid w:val="00277E11"/>
    <w:rsid w:val="00280205"/>
    <w:rsid w:val="002819DC"/>
    <w:rsid w:val="00282499"/>
    <w:rsid w:val="002824BB"/>
    <w:rsid w:val="002836E6"/>
    <w:rsid w:val="00290DB3"/>
    <w:rsid w:val="002928D5"/>
    <w:rsid w:val="00295033"/>
    <w:rsid w:val="00295AB1"/>
    <w:rsid w:val="002A0951"/>
    <w:rsid w:val="002A0A90"/>
    <w:rsid w:val="002A2240"/>
    <w:rsid w:val="002A22A8"/>
    <w:rsid w:val="002A2999"/>
    <w:rsid w:val="002A2EF6"/>
    <w:rsid w:val="002A3526"/>
    <w:rsid w:val="002A3739"/>
    <w:rsid w:val="002A4E52"/>
    <w:rsid w:val="002A6953"/>
    <w:rsid w:val="002A72E4"/>
    <w:rsid w:val="002A7424"/>
    <w:rsid w:val="002A79F3"/>
    <w:rsid w:val="002A7E1B"/>
    <w:rsid w:val="002B17E8"/>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D6037"/>
    <w:rsid w:val="002E50B5"/>
    <w:rsid w:val="002F0A04"/>
    <w:rsid w:val="00301915"/>
    <w:rsid w:val="00301BD6"/>
    <w:rsid w:val="00303F5E"/>
    <w:rsid w:val="00304FB5"/>
    <w:rsid w:val="0030612C"/>
    <w:rsid w:val="00307065"/>
    <w:rsid w:val="003118CF"/>
    <w:rsid w:val="00311D14"/>
    <w:rsid w:val="0031391A"/>
    <w:rsid w:val="00313CCF"/>
    <w:rsid w:val="00314287"/>
    <w:rsid w:val="003146EA"/>
    <w:rsid w:val="003149BF"/>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F33"/>
    <w:rsid w:val="00360A53"/>
    <w:rsid w:val="00361293"/>
    <w:rsid w:val="003624E8"/>
    <w:rsid w:val="00365218"/>
    <w:rsid w:val="003654BF"/>
    <w:rsid w:val="00365DBE"/>
    <w:rsid w:val="003729E8"/>
    <w:rsid w:val="00373ECD"/>
    <w:rsid w:val="00374FEC"/>
    <w:rsid w:val="00380535"/>
    <w:rsid w:val="00380AB9"/>
    <w:rsid w:val="00381B04"/>
    <w:rsid w:val="003820F7"/>
    <w:rsid w:val="00383AD7"/>
    <w:rsid w:val="00384492"/>
    <w:rsid w:val="0038501D"/>
    <w:rsid w:val="003865FD"/>
    <w:rsid w:val="00390CF0"/>
    <w:rsid w:val="003937CE"/>
    <w:rsid w:val="003A0F42"/>
    <w:rsid w:val="003A20B7"/>
    <w:rsid w:val="003A549F"/>
    <w:rsid w:val="003A59C3"/>
    <w:rsid w:val="003A678E"/>
    <w:rsid w:val="003A7258"/>
    <w:rsid w:val="003A7CE3"/>
    <w:rsid w:val="003B2371"/>
    <w:rsid w:val="003B54C9"/>
    <w:rsid w:val="003B64D8"/>
    <w:rsid w:val="003B6986"/>
    <w:rsid w:val="003B6BE3"/>
    <w:rsid w:val="003B7408"/>
    <w:rsid w:val="003C00E1"/>
    <w:rsid w:val="003C2028"/>
    <w:rsid w:val="003C77BE"/>
    <w:rsid w:val="003C7D41"/>
    <w:rsid w:val="003D0EFC"/>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584"/>
    <w:rsid w:val="00406A54"/>
    <w:rsid w:val="00410639"/>
    <w:rsid w:val="00411278"/>
    <w:rsid w:val="004120F4"/>
    <w:rsid w:val="004137CE"/>
    <w:rsid w:val="004141F7"/>
    <w:rsid w:val="004148DC"/>
    <w:rsid w:val="004151C8"/>
    <w:rsid w:val="0041788C"/>
    <w:rsid w:val="00421EF0"/>
    <w:rsid w:val="004248CF"/>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DB"/>
    <w:rsid w:val="00477256"/>
    <w:rsid w:val="00481D35"/>
    <w:rsid w:val="00482248"/>
    <w:rsid w:val="004822FE"/>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12A8"/>
    <w:rsid w:val="004B1A50"/>
    <w:rsid w:val="004B21EB"/>
    <w:rsid w:val="004B2218"/>
    <w:rsid w:val="004B2BF8"/>
    <w:rsid w:val="004B41F3"/>
    <w:rsid w:val="004B42AA"/>
    <w:rsid w:val="004B5113"/>
    <w:rsid w:val="004C08CF"/>
    <w:rsid w:val="004C12FD"/>
    <w:rsid w:val="004C2B3E"/>
    <w:rsid w:val="004C4F87"/>
    <w:rsid w:val="004C6D36"/>
    <w:rsid w:val="004C6E28"/>
    <w:rsid w:val="004D1899"/>
    <w:rsid w:val="004D4DDD"/>
    <w:rsid w:val="004D7973"/>
    <w:rsid w:val="004D7EF3"/>
    <w:rsid w:val="004E02AE"/>
    <w:rsid w:val="004E5400"/>
    <w:rsid w:val="004E6503"/>
    <w:rsid w:val="004F7662"/>
    <w:rsid w:val="005014F1"/>
    <w:rsid w:val="0050166A"/>
    <w:rsid w:val="00501DE9"/>
    <w:rsid w:val="00504B58"/>
    <w:rsid w:val="005059FF"/>
    <w:rsid w:val="0050666C"/>
    <w:rsid w:val="00507593"/>
    <w:rsid w:val="00510BF3"/>
    <w:rsid w:val="005146A6"/>
    <w:rsid w:val="00517378"/>
    <w:rsid w:val="0052348C"/>
    <w:rsid w:val="005243DE"/>
    <w:rsid w:val="005307A0"/>
    <w:rsid w:val="005314DD"/>
    <w:rsid w:val="00533424"/>
    <w:rsid w:val="00533B7E"/>
    <w:rsid w:val="00533D1B"/>
    <w:rsid w:val="0053556A"/>
    <w:rsid w:val="0053673D"/>
    <w:rsid w:val="00536F0E"/>
    <w:rsid w:val="00537A4A"/>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EC1"/>
    <w:rsid w:val="005B1F8E"/>
    <w:rsid w:val="005B25AE"/>
    <w:rsid w:val="005B3D76"/>
    <w:rsid w:val="005B5697"/>
    <w:rsid w:val="005B579C"/>
    <w:rsid w:val="005B7251"/>
    <w:rsid w:val="005C2E92"/>
    <w:rsid w:val="005D040E"/>
    <w:rsid w:val="005D2D41"/>
    <w:rsid w:val="005D5120"/>
    <w:rsid w:val="005D519D"/>
    <w:rsid w:val="005D5F33"/>
    <w:rsid w:val="005D61EA"/>
    <w:rsid w:val="005E063D"/>
    <w:rsid w:val="005E17D3"/>
    <w:rsid w:val="005E1CA5"/>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F8A"/>
    <w:rsid w:val="00624A60"/>
    <w:rsid w:val="0062558F"/>
    <w:rsid w:val="0062585E"/>
    <w:rsid w:val="00626AD1"/>
    <w:rsid w:val="00626FC8"/>
    <w:rsid w:val="00627440"/>
    <w:rsid w:val="00627581"/>
    <w:rsid w:val="00633B21"/>
    <w:rsid w:val="00634C71"/>
    <w:rsid w:val="0063585D"/>
    <w:rsid w:val="006368DF"/>
    <w:rsid w:val="00637BE4"/>
    <w:rsid w:val="0064011F"/>
    <w:rsid w:val="0064531B"/>
    <w:rsid w:val="00646384"/>
    <w:rsid w:val="006464DC"/>
    <w:rsid w:val="006469C4"/>
    <w:rsid w:val="00647B02"/>
    <w:rsid w:val="00647BD3"/>
    <w:rsid w:val="00653CB5"/>
    <w:rsid w:val="00653F99"/>
    <w:rsid w:val="0065457A"/>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82187"/>
    <w:rsid w:val="00683419"/>
    <w:rsid w:val="00684911"/>
    <w:rsid w:val="00685C2C"/>
    <w:rsid w:val="00686CDF"/>
    <w:rsid w:val="0069081F"/>
    <w:rsid w:val="006913EC"/>
    <w:rsid w:val="00692CD9"/>
    <w:rsid w:val="006930C3"/>
    <w:rsid w:val="006948CC"/>
    <w:rsid w:val="00694CF2"/>
    <w:rsid w:val="00695E41"/>
    <w:rsid w:val="0069752F"/>
    <w:rsid w:val="006A114A"/>
    <w:rsid w:val="006A18F4"/>
    <w:rsid w:val="006A4770"/>
    <w:rsid w:val="006A76F4"/>
    <w:rsid w:val="006A7708"/>
    <w:rsid w:val="006A78A2"/>
    <w:rsid w:val="006B150E"/>
    <w:rsid w:val="006B1E51"/>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4C03"/>
    <w:rsid w:val="006E5467"/>
    <w:rsid w:val="006E5E30"/>
    <w:rsid w:val="006E7626"/>
    <w:rsid w:val="006F6A85"/>
    <w:rsid w:val="006F6BDB"/>
    <w:rsid w:val="006F76B7"/>
    <w:rsid w:val="006F7DF9"/>
    <w:rsid w:val="00701DF7"/>
    <w:rsid w:val="00701F80"/>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37B0"/>
    <w:rsid w:val="007738C2"/>
    <w:rsid w:val="00773CD4"/>
    <w:rsid w:val="0077532C"/>
    <w:rsid w:val="007756B8"/>
    <w:rsid w:val="00776650"/>
    <w:rsid w:val="007766A6"/>
    <w:rsid w:val="007773CC"/>
    <w:rsid w:val="007826AE"/>
    <w:rsid w:val="007834F0"/>
    <w:rsid w:val="007847EA"/>
    <w:rsid w:val="00786287"/>
    <w:rsid w:val="00790C8A"/>
    <w:rsid w:val="007911F1"/>
    <w:rsid w:val="00791C65"/>
    <w:rsid w:val="007949A9"/>
    <w:rsid w:val="00795EA6"/>
    <w:rsid w:val="007971FA"/>
    <w:rsid w:val="007A0EBE"/>
    <w:rsid w:val="007A2888"/>
    <w:rsid w:val="007A58DD"/>
    <w:rsid w:val="007B1A3B"/>
    <w:rsid w:val="007B1D52"/>
    <w:rsid w:val="007B3375"/>
    <w:rsid w:val="007B34FA"/>
    <w:rsid w:val="007B3CDA"/>
    <w:rsid w:val="007B50BA"/>
    <w:rsid w:val="007B6AB0"/>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54D2"/>
    <w:rsid w:val="007D5823"/>
    <w:rsid w:val="007D7443"/>
    <w:rsid w:val="007E00EA"/>
    <w:rsid w:val="007E0DFB"/>
    <w:rsid w:val="007E1081"/>
    <w:rsid w:val="007E235F"/>
    <w:rsid w:val="007E299A"/>
    <w:rsid w:val="007E3F7B"/>
    <w:rsid w:val="007E61BA"/>
    <w:rsid w:val="007E716B"/>
    <w:rsid w:val="007F0810"/>
    <w:rsid w:val="007F1C9B"/>
    <w:rsid w:val="007F1FE7"/>
    <w:rsid w:val="007F2328"/>
    <w:rsid w:val="007F430B"/>
    <w:rsid w:val="007F6E74"/>
    <w:rsid w:val="007F7AC8"/>
    <w:rsid w:val="00800E75"/>
    <w:rsid w:val="008011A7"/>
    <w:rsid w:val="00802EFE"/>
    <w:rsid w:val="008043A5"/>
    <w:rsid w:val="0080490F"/>
    <w:rsid w:val="00804CE3"/>
    <w:rsid w:val="00804E87"/>
    <w:rsid w:val="00805443"/>
    <w:rsid w:val="0080703E"/>
    <w:rsid w:val="00812D46"/>
    <w:rsid w:val="00815095"/>
    <w:rsid w:val="00816B78"/>
    <w:rsid w:val="00820418"/>
    <w:rsid w:val="00823E28"/>
    <w:rsid w:val="008245B9"/>
    <w:rsid w:val="00824E2B"/>
    <w:rsid w:val="00831A1F"/>
    <w:rsid w:val="00833451"/>
    <w:rsid w:val="0083426D"/>
    <w:rsid w:val="00840D51"/>
    <w:rsid w:val="008424A8"/>
    <w:rsid w:val="008438B1"/>
    <w:rsid w:val="0084434F"/>
    <w:rsid w:val="008443B5"/>
    <w:rsid w:val="00845724"/>
    <w:rsid w:val="008473CE"/>
    <w:rsid w:val="00847492"/>
    <w:rsid w:val="008503A8"/>
    <w:rsid w:val="00853506"/>
    <w:rsid w:val="00854FAB"/>
    <w:rsid w:val="00855869"/>
    <w:rsid w:val="00855BE6"/>
    <w:rsid w:val="0086184D"/>
    <w:rsid w:val="008626C2"/>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385C"/>
    <w:rsid w:val="008B409C"/>
    <w:rsid w:val="008B494B"/>
    <w:rsid w:val="008B5F8F"/>
    <w:rsid w:val="008B78FC"/>
    <w:rsid w:val="008C026D"/>
    <w:rsid w:val="008C310D"/>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C71"/>
    <w:rsid w:val="00940043"/>
    <w:rsid w:val="0094109C"/>
    <w:rsid w:val="0094172E"/>
    <w:rsid w:val="00942638"/>
    <w:rsid w:val="0094317C"/>
    <w:rsid w:val="009433D1"/>
    <w:rsid w:val="009453DB"/>
    <w:rsid w:val="00946800"/>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E75"/>
    <w:rsid w:val="009644C4"/>
    <w:rsid w:val="0096568D"/>
    <w:rsid w:val="00965884"/>
    <w:rsid w:val="009700EB"/>
    <w:rsid w:val="009702A7"/>
    <w:rsid w:val="00973E33"/>
    <w:rsid w:val="0097619E"/>
    <w:rsid w:val="00976B56"/>
    <w:rsid w:val="009774CB"/>
    <w:rsid w:val="00977C53"/>
    <w:rsid w:val="00977E65"/>
    <w:rsid w:val="00980429"/>
    <w:rsid w:val="0098190D"/>
    <w:rsid w:val="00983760"/>
    <w:rsid w:val="00983D02"/>
    <w:rsid w:val="009855B2"/>
    <w:rsid w:val="00991AF1"/>
    <w:rsid w:val="0099235B"/>
    <w:rsid w:val="009925BF"/>
    <w:rsid w:val="009927BF"/>
    <w:rsid w:val="00992866"/>
    <w:rsid w:val="009937AC"/>
    <w:rsid w:val="0099559E"/>
    <w:rsid w:val="00996093"/>
    <w:rsid w:val="009A1743"/>
    <w:rsid w:val="009A3271"/>
    <w:rsid w:val="009A32ED"/>
    <w:rsid w:val="009A7EBF"/>
    <w:rsid w:val="009B189D"/>
    <w:rsid w:val="009B1F96"/>
    <w:rsid w:val="009B368B"/>
    <w:rsid w:val="009B59A4"/>
    <w:rsid w:val="009B5A30"/>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1A52"/>
    <w:rsid w:val="009E3C3C"/>
    <w:rsid w:val="009E4CFA"/>
    <w:rsid w:val="009E6DAE"/>
    <w:rsid w:val="009E6DD9"/>
    <w:rsid w:val="009F0052"/>
    <w:rsid w:val="009F2149"/>
    <w:rsid w:val="009F313A"/>
    <w:rsid w:val="009F5726"/>
    <w:rsid w:val="009F5E77"/>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95"/>
    <w:rsid w:val="00A702FF"/>
    <w:rsid w:val="00A70C08"/>
    <w:rsid w:val="00A70CFE"/>
    <w:rsid w:val="00A71033"/>
    <w:rsid w:val="00A75187"/>
    <w:rsid w:val="00A75F57"/>
    <w:rsid w:val="00A804D6"/>
    <w:rsid w:val="00A81F9A"/>
    <w:rsid w:val="00A83376"/>
    <w:rsid w:val="00A84D8B"/>
    <w:rsid w:val="00A862B3"/>
    <w:rsid w:val="00A86C50"/>
    <w:rsid w:val="00A87518"/>
    <w:rsid w:val="00A87D27"/>
    <w:rsid w:val="00A90102"/>
    <w:rsid w:val="00A902F1"/>
    <w:rsid w:val="00A94710"/>
    <w:rsid w:val="00A96661"/>
    <w:rsid w:val="00A96C21"/>
    <w:rsid w:val="00A96F8C"/>
    <w:rsid w:val="00A97705"/>
    <w:rsid w:val="00AA04E0"/>
    <w:rsid w:val="00AA08FF"/>
    <w:rsid w:val="00AA1EA3"/>
    <w:rsid w:val="00AA2B62"/>
    <w:rsid w:val="00AA32B1"/>
    <w:rsid w:val="00AA614D"/>
    <w:rsid w:val="00AB148A"/>
    <w:rsid w:val="00AB7114"/>
    <w:rsid w:val="00AB7F26"/>
    <w:rsid w:val="00AC06E6"/>
    <w:rsid w:val="00AC1F5E"/>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2F92"/>
    <w:rsid w:val="00B35458"/>
    <w:rsid w:val="00B370C8"/>
    <w:rsid w:val="00B37308"/>
    <w:rsid w:val="00B40ABA"/>
    <w:rsid w:val="00B417CD"/>
    <w:rsid w:val="00B4236C"/>
    <w:rsid w:val="00B42931"/>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589B"/>
    <w:rsid w:val="00B85A78"/>
    <w:rsid w:val="00B9605B"/>
    <w:rsid w:val="00B975F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7FB2"/>
    <w:rsid w:val="00BE00D5"/>
    <w:rsid w:val="00BE2243"/>
    <w:rsid w:val="00BE2A72"/>
    <w:rsid w:val="00BE2BF5"/>
    <w:rsid w:val="00BE2BF6"/>
    <w:rsid w:val="00BE3CA0"/>
    <w:rsid w:val="00BE4891"/>
    <w:rsid w:val="00BF0462"/>
    <w:rsid w:val="00BF0DA8"/>
    <w:rsid w:val="00BF27B5"/>
    <w:rsid w:val="00BF28B1"/>
    <w:rsid w:val="00BF3DFF"/>
    <w:rsid w:val="00BF60B8"/>
    <w:rsid w:val="00BF787D"/>
    <w:rsid w:val="00C010CB"/>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1587"/>
    <w:rsid w:val="00C2685F"/>
    <w:rsid w:val="00C316EA"/>
    <w:rsid w:val="00C32B9A"/>
    <w:rsid w:val="00C32EEB"/>
    <w:rsid w:val="00C338CC"/>
    <w:rsid w:val="00C40774"/>
    <w:rsid w:val="00C42B62"/>
    <w:rsid w:val="00C432C4"/>
    <w:rsid w:val="00C43338"/>
    <w:rsid w:val="00C45AA9"/>
    <w:rsid w:val="00C45F62"/>
    <w:rsid w:val="00C460BC"/>
    <w:rsid w:val="00C462BB"/>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B05"/>
    <w:rsid w:val="00C90C21"/>
    <w:rsid w:val="00C91A4B"/>
    <w:rsid w:val="00C94434"/>
    <w:rsid w:val="00C9610D"/>
    <w:rsid w:val="00C96622"/>
    <w:rsid w:val="00C96D1E"/>
    <w:rsid w:val="00C97DEB"/>
    <w:rsid w:val="00C97E8C"/>
    <w:rsid w:val="00CA174A"/>
    <w:rsid w:val="00CA2B8C"/>
    <w:rsid w:val="00CA3A03"/>
    <w:rsid w:val="00CA466F"/>
    <w:rsid w:val="00CA4BE5"/>
    <w:rsid w:val="00CA51C6"/>
    <w:rsid w:val="00CA574C"/>
    <w:rsid w:val="00CA6067"/>
    <w:rsid w:val="00CB2D58"/>
    <w:rsid w:val="00CB2F2C"/>
    <w:rsid w:val="00CB30D5"/>
    <w:rsid w:val="00CB43A2"/>
    <w:rsid w:val="00CB454A"/>
    <w:rsid w:val="00CB586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ADB"/>
    <w:rsid w:val="00CE0F7B"/>
    <w:rsid w:val="00CE1703"/>
    <w:rsid w:val="00CE48E7"/>
    <w:rsid w:val="00CE60C0"/>
    <w:rsid w:val="00CE622E"/>
    <w:rsid w:val="00CE671D"/>
    <w:rsid w:val="00CE689C"/>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4741"/>
    <w:rsid w:val="00D15ADC"/>
    <w:rsid w:val="00D15EAC"/>
    <w:rsid w:val="00D16C00"/>
    <w:rsid w:val="00D22964"/>
    <w:rsid w:val="00D24A5B"/>
    <w:rsid w:val="00D24FE4"/>
    <w:rsid w:val="00D26880"/>
    <w:rsid w:val="00D27DC0"/>
    <w:rsid w:val="00D31295"/>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1677"/>
    <w:rsid w:val="00DB2E62"/>
    <w:rsid w:val="00DB3542"/>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9AB"/>
    <w:rsid w:val="00E27465"/>
    <w:rsid w:val="00E30364"/>
    <w:rsid w:val="00E31659"/>
    <w:rsid w:val="00E32CAC"/>
    <w:rsid w:val="00E34FFC"/>
    <w:rsid w:val="00E352A6"/>
    <w:rsid w:val="00E36616"/>
    <w:rsid w:val="00E36E16"/>
    <w:rsid w:val="00E41203"/>
    <w:rsid w:val="00E43461"/>
    <w:rsid w:val="00E44C33"/>
    <w:rsid w:val="00E45158"/>
    <w:rsid w:val="00E46836"/>
    <w:rsid w:val="00E50E77"/>
    <w:rsid w:val="00E51201"/>
    <w:rsid w:val="00E51955"/>
    <w:rsid w:val="00E53BF1"/>
    <w:rsid w:val="00E54F7A"/>
    <w:rsid w:val="00E602DF"/>
    <w:rsid w:val="00E63C1F"/>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73B8"/>
    <w:rsid w:val="00EF0632"/>
    <w:rsid w:val="00EF27FE"/>
    <w:rsid w:val="00EF2A7B"/>
    <w:rsid w:val="00EF3D7E"/>
    <w:rsid w:val="00EF6128"/>
    <w:rsid w:val="00EF6BFE"/>
    <w:rsid w:val="00F01ADC"/>
    <w:rsid w:val="00F01FC2"/>
    <w:rsid w:val="00F0241A"/>
    <w:rsid w:val="00F0243B"/>
    <w:rsid w:val="00F02612"/>
    <w:rsid w:val="00F04061"/>
    <w:rsid w:val="00F0534C"/>
    <w:rsid w:val="00F05A65"/>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3760"/>
    <w:rsid w:val="00F34DB2"/>
    <w:rsid w:val="00F37BBA"/>
    <w:rsid w:val="00F4064B"/>
    <w:rsid w:val="00F40A0C"/>
    <w:rsid w:val="00F41648"/>
    <w:rsid w:val="00F41B81"/>
    <w:rsid w:val="00F425EE"/>
    <w:rsid w:val="00F42C84"/>
    <w:rsid w:val="00F42EF5"/>
    <w:rsid w:val="00F459E9"/>
    <w:rsid w:val="00F46FE4"/>
    <w:rsid w:val="00F51754"/>
    <w:rsid w:val="00F5175E"/>
    <w:rsid w:val="00F54C1B"/>
    <w:rsid w:val="00F55958"/>
    <w:rsid w:val="00F573B0"/>
    <w:rsid w:val="00F620E6"/>
    <w:rsid w:val="00F62608"/>
    <w:rsid w:val="00F63692"/>
    <w:rsid w:val="00F63CF2"/>
    <w:rsid w:val="00F645EA"/>
    <w:rsid w:val="00F64774"/>
    <w:rsid w:val="00F64F4B"/>
    <w:rsid w:val="00F6774F"/>
    <w:rsid w:val="00F70313"/>
    <w:rsid w:val="00F7085C"/>
    <w:rsid w:val="00F75E07"/>
    <w:rsid w:val="00F77FB9"/>
    <w:rsid w:val="00F80D00"/>
    <w:rsid w:val="00F82A04"/>
    <w:rsid w:val="00F91ED7"/>
    <w:rsid w:val="00F95DB7"/>
    <w:rsid w:val="00F9730C"/>
    <w:rsid w:val="00FA034A"/>
    <w:rsid w:val="00FA0D84"/>
    <w:rsid w:val="00FA3338"/>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31"/>
    <w:rsid w:val="00FE33A9"/>
    <w:rsid w:val="00FE50A2"/>
    <w:rsid w:val="00FE6E17"/>
    <w:rsid w:val="00FE74EE"/>
    <w:rsid w:val="00FF0497"/>
    <w:rsid w:val="00FF2007"/>
    <w:rsid w:val="00FF3B97"/>
    <w:rsid w:val="00FF48F4"/>
    <w:rsid w:val="00FF5A37"/>
    <w:rsid w:val="00FF5BFB"/>
    <w:rsid w:val="00FF6C86"/>
    <w:rsid w:val="00FF7F9B"/>
    <w:rsid w:val="01536131"/>
    <w:rsid w:val="016128F5"/>
    <w:rsid w:val="017E39A9"/>
    <w:rsid w:val="01967DCC"/>
    <w:rsid w:val="022335E1"/>
    <w:rsid w:val="02807867"/>
    <w:rsid w:val="028D1415"/>
    <w:rsid w:val="02B127FF"/>
    <w:rsid w:val="02E04439"/>
    <w:rsid w:val="02E74285"/>
    <w:rsid w:val="03D10C9E"/>
    <w:rsid w:val="043E0B51"/>
    <w:rsid w:val="046107AB"/>
    <w:rsid w:val="04723400"/>
    <w:rsid w:val="04B654FF"/>
    <w:rsid w:val="04EF152A"/>
    <w:rsid w:val="04F3513D"/>
    <w:rsid w:val="053C0D83"/>
    <w:rsid w:val="05A51346"/>
    <w:rsid w:val="05CA0F79"/>
    <w:rsid w:val="05EA6938"/>
    <w:rsid w:val="06002E14"/>
    <w:rsid w:val="06296FF4"/>
    <w:rsid w:val="066252E1"/>
    <w:rsid w:val="06CD4426"/>
    <w:rsid w:val="070B4A32"/>
    <w:rsid w:val="08B466A8"/>
    <w:rsid w:val="08FD6B72"/>
    <w:rsid w:val="092D370C"/>
    <w:rsid w:val="093F0D49"/>
    <w:rsid w:val="0966277A"/>
    <w:rsid w:val="09837013"/>
    <w:rsid w:val="099208A0"/>
    <w:rsid w:val="0A39416F"/>
    <w:rsid w:val="0A426D43"/>
    <w:rsid w:val="0AA14F66"/>
    <w:rsid w:val="0AAE43D8"/>
    <w:rsid w:val="0AC02BDC"/>
    <w:rsid w:val="0AD11C61"/>
    <w:rsid w:val="0AD8365D"/>
    <w:rsid w:val="0ADD55E7"/>
    <w:rsid w:val="0AE23E86"/>
    <w:rsid w:val="0B050CA4"/>
    <w:rsid w:val="0B361F96"/>
    <w:rsid w:val="0B3A2110"/>
    <w:rsid w:val="0BAC7E55"/>
    <w:rsid w:val="0C425E43"/>
    <w:rsid w:val="0C7803C2"/>
    <w:rsid w:val="0CDF7EBC"/>
    <w:rsid w:val="0CE51C08"/>
    <w:rsid w:val="0D142709"/>
    <w:rsid w:val="0D942755"/>
    <w:rsid w:val="0DBB1F91"/>
    <w:rsid w:val="0DC2436E"/>
    <w:rsid w:val="0DF6738D"/>
    <w:rsid w:val="0E05580F"/>
    <w:rsid w:val="0E7B78C7"/>
    <w:rsid w:val="0E8D451A"/>
    <w:rsid w:val="0E9869F2"/>
    <w:rsid w:val="0F205179"/>
    <w:rsid w:val="0F31002F"/>
    <w:rsid w:val="0F5240AD"/>
    <w:rsid w:val="0F56503F"/>
    <w:rsid w:val="0FA814FE"/>
    <w:rsid w:val="109C11D1"/>
    <w:rsid w:val="113B172F"/>
    <w:rsid w:val="11967974"/>
    <w:rsid w:val="1236016D"/>
    <w:rsid w:val="12644E70"/>
    <w:rsid w:val="12A147FB"/>
    <w:rsid w:val="12EB0686"/>
    <w:rsid w:val="13141499"/>
    <w:rsid w:val="13383059"/>
    <w:rsid w:val="138C744D"/>
    <w:rsid w:val="14423DE3"/>
    <w:rsid w:val="15437E13"/>
    <w:rsid w:val="156E5386"/>
    <w:rsid w:val="159B2F20"/>
    <w:rsid w:val="159F45E4"/>
    <w:rsid w:val="16823727"/>
    <w:rsid w:val="16933BA9"/>
    <w:rsid w:val="17296DB3"/>
    <w:rsid w:val="17574443"/>
    <w:rsid w:val="17960C97"/>
    <w:rsid w:val="18001DFE"/>
    <w:rsid w:val="18716B48"/>
    <w:rsid w:val="18DE232D"/>
    <w:rsid w:val="19095406"/>
    <w:rsid w:val="19471BF0"/>
    <w:rsid w:val="19517AFF"/>
    <w:rsid w:val="19747BBC"/>
    <w:rsid w:val="19D21059"/>
    <w:rsid w:val="1A7C1EB7"/>
    <w:rsid w:val="1A8226E3"/>
    <w:rsid w:val="1A862C7C"/>
    <w:rsid w:val="1A92257F"/>
    <w:rsid w:val="1ADF238C"/>
    <w:rsid w:val="1AEB78ED"/>
    <w:rsid w:val="1B452D37"/>
    <w:rsid w:val="1B7526B6"/>
    <w:rsid w:val="1B8F5B60"/>
    <w:rsid w:val="1BDF5EED"/>
    <w:rsid w:val="1C422231"/>
    <w:rsid w:val="1C6067D6"/>
    <w:rsid w:val="1CFF6462"/>
    <w:rsid w:val="1D231455"/>
    <w:rsid w:val="1D5951DB"/>
    <w:rsid w:val="1D6E6F58"/>
    <w:rsid w:val="1D9B550E"/>
    <w:rsid w:val="1DCB0BE0"/>
    <w:rsid w:val="1E8555E3"/>
    <w:rsid w:val="1EA71193"/>
    <w:rsid w:val="1ECA660B"/>
    <w:rsid w:val="1F811C64"/>
    <w:rsid w:val="1F9C084C"/>
    <w:rsid w:val="1FFD5BCC"/>
    <w:rsid w:val="201422E9"/>
    <w:rsid w:val="203C6FB1"/>
    <w:rsid w:val="21295501"/>
    <w:rsid w:val="215E6DAB"/>
    <w:rsid w:val="2184758F"/>
    <w:rsid w:val="219966D8"/>
    <w:rsid w:val="221C3A77"/>
    <w:rsid w:val="2283187E"/>
    <w:rsid w:val="23EC0713"/>
    <w:rsid w:val="24321CBE"/>
    <w:rsid w:val="245169EB"/>
    <w:rsid w:val="24A109B0"/>
    <w:rsid w:val="24B86132"/>
    <w:rsid w:val="252C5476"/>
    <w:rsid w:val="25FC064B"/>
    <w:rsid w:val="26121868"/>
    <w:rsid w:val="26571970"/>
    <w:rsid w:val="26BE369E"/>
    <w:rsid w:val="26E36D60"/>
    <w:rsid w:val="27C04FF5"/>
    <w:rsid w:val="27D017CB"/>
    <w:rsid w:val="27DE30F1"/>
    <w:rsid w:val="27DF5133"/>
    <w:rsid w:val="27F560E7"/>
    <w:rsid w:val="28326DA8"/>
    <w:rsid w:val="28B5472C"/>
    <w:rsid w:val="28C574CC"/>
    <w:rsid w:val="28E702F4"/>
    <w:rsid w:val="28F60AAB"/>
    <w:rsid w:val="28F803C7"/>
    <w:rsid w:val="29477A7A"/>
    <w:rsid w:val="29F6324E"/>
    <w:rsid w:val="2A290829"/>
    <w:rsid w:val="2A852156"/>
    <w:rsid w:val="2A8D20D4"/>
    <w:rsid w:val="2AB0139E"/>
    <w:rsid w:val="2B0B0B30"/>
    <w:rsid w:val="2B771119"/>
    <w:rsid w:val="2BA421EC"/>
    <w:rsid w:val="2BDD78F5"/>
    <w:rsid w:val="2C444276"/>
    <w:rsid w:val="2C530A72"/>
    <w:rsid w:val="2C576226"/>
    <w:rsid w:val="2C8B747B"/>
    <w:rsid w:val="2CE04C48"/>
    <w:rsid w:val="2CF04F5D"/>
    <w:rsid w:val="2D0B1D7F"/>
    <w:rsid w:val="2D502C75"/>
    <w:rsid w:val="2DAA05D8"/>
    <w:rsid w:val="2EB10275"/>
    <w:rsid w:val="2F1120CC"/>
    <w:rsid w:val="2F5500EA"/>
    <w:rsid w:val="2F7D6C3A"/>
    <w:rsid w:val="2F877444"/>
    <w:rsid w:val="2FC072EB"/>
    <w:rsid w:val="30247706"/>
    <w:rsid w:val="304C1E1A"/>
    <w:rsid w:val="30B24526"/>
    <w:rsid w:val="3112609C"/>
    <w:rsid w:val="31496359"/>
    <w:rsid w:val="3220355E"/>
    <w:rsid w:val="32236BAB"/>
    <w:rsid w:val="323D19AC"/>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985DB9"/>
    <w:rsid w:val="36B35430"/>
    <w:rsid w:val="375A0883"/>
    <w:rsid w:val="37AB09D0"/>
    <w:rsid w:val="37C14E9C"/>
    <w:rsid w:val="37F27EC3"/>
    <w:rsid w:val="37F50E10"/>
    <w:rsid w:val="38796120"/>
    <w:rsid w:val="3908426B"/>
    <w:rsid w:val="39311BAD"/>
    <w:rsid w:val="397A17A6"/>
    <w:rsid w:val="39C011A9"/>
    <w:rsid w:val="3A3D4495"/>
    <w:rsid w:val="3A520291"/>
    <w:rsid w:val="3A8A7A28"/>
    <w:rsid w:val="3AB42A96"/>
    <w:rsid w:val="3AF61300"/>
    <w:rsid w:val="3B011823"/>
    <w:rsid w:val="3B15239D"/>
    <w:rsid w:val="3B976C1F"/>
    <w:rsid w:val="3BDB03EA"/>
    <w:rsid w:val="3C4607F2"/>
    <w:rsid w:val="3CC50C34"/>
    <w:rsid w:val="3D1D10BA"/>
    <w:rsid w:val="3D2F7E2D"/>
    <w:rsid w:val="3D5236AA"/>
    <w:rsid w:val="3D642FFB"/>
    <w:rsid w:val="3D756550"/>
    <w:rsid w:val="3D8432BA"/>
    <w:rsid w:val="3D84766D"/>
    <w:rsid w:val="3DBF411C"/>
    <w:rsid w:val="3DDE4D70"/>
    <w:rsid w:val="3E0042CD"/>
    <w:rsid w:val="3E1975F1"/>
    <w:rsid w:val="3EA572C5"/>
    <w:rsid w:val="3EB968CD"/>
    <w:rsid w:val="3EF7343D"/>
    <w:rsid w:val="3FA6545F"/>
    <w:rsid w:val="40AB493B"/>
    <w:rsid w:val="415E375B"/>
    <w:rsid w:val="419C630F"/>
    <w:rsid w:val="41DE6BDE"/>
    <w:rsid w:val="42642FF3"/>
    <w:rsid w:val="43422672"/>
    <w:rsid w:val="43756869"/>
    <w:rsid w:val="438F3C13"/>
    <w:rsid w:val="43E77A38"/>
    <w:rsid w:val="440469C7"/>
    <w:rsid w:val="4433676F"/>
    <w:rsid w:val="44CB4478"/>
    <w:rsid w:val="44DB40F2"/>
    <w:rsid w:val="44EF764B"/>
    <w:rsid w:val="4513485D"/>
    <w:rsid w:val="45BE2073"/>
    <w:rsid w:val="46883EF7"/>
    <w:rsid w:val="472843D7"/>
    <w:rsid w:val="475D6E50"/>
    <w:rsid w:val="47630206"/>
    <w:rsid w:val="47B76B30"/>
    <w:rsid w:val="47F24D3A"/>
    <w:rsid w:val="483A349D"/>
    <w:rsid w:val="48684EBF"/>
    <w:rsid w:val="48CE242A"/>
    <w:rsid w:val="492C76F7"/>
    <w:rsid w:val="49323487"/>
    <w:rsid w:val="494330C8"/>
    <w:rsid w:val="495849FC"/>
    <w:rsid w:val="4A765837"/>
    <w:rsid w:val="4A772580"/>
    <w:rsid w:val="4B401982"/>
    <w:rsid w:val="4B6461DA"/>
    <w:rsid w:val="4B7E22FC"/>
    <w:rsid w:val="4BA6714C"/>
    <w:rsid w:val="4BDD1AE7"/>
    <w:rsid w:val="4D573EC1"/>
    <w:rsid w:val="4D642772"/>
    <w:rsid w:val="4D794113"/>
    <w:rsid w:val="4DA16EA9"/>
    <w:rsid w:val="4E231F7E"/>
    <w:rsid w:val="4E6B245D"/>
    <w:rsid w:val="4E71398D"/>
    <w:rsid w:val="4E881E17"/>
    <w:rsid w:val="4EA51083"/>
    <w:rsid w:val="4EB26E94"/>
    <w:rsid w:val="4EC21DD0"/>
    <w:rsid w:val="4F2A2DF2"/>
    <w:rsid w:val="4F375610"/>
    <w:rsid w:val="4F6D38C0"/>
    <w:rsid w:val="4F73207A"/>
    <w:rsid w:val="50011E81"/>
    <w:rsid w:val="50B4145F"/>
    <w:rsid w:val="517859C4"/>
    <w:rsid w:val="51AC22C1"/>
    <w:rsid w:val="51F53341"/>
    <w:rsid w:val="52254EA8"/>
    <w:rsid w:val="52343C47"/>
    <w:rsid w:val="523F5D3A"/>
    <w:rsid w:val="524B48B1"/>
    <w:rsid w:val="52E2325A"/>
    <w:rsid w:val="532B45E0"/>
    <w:rsid w:val="5428215B"/>
    <w:rsid w:val="54414F42"/>
    <w:rsid w:val="545D78A2"/>
    <w:rsid w:val="54A67B78"/>
    <w:rsid w:val="54FB4AFB"/>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92827E0"/>
    <w:rsid w:val="59BD39BE"/>
    <w:rsid w:val="59E70355"/>
    <w:rsid w:val="59ED632E"/>
    <w:rsid w:val="5A144EA7"/>
    <w:rsid w:val="5ABE0E26"/>
    <w:rsid w:val="5AC35E3A"/>
    <w:rsid w:val="5AF77960"/>
    <w:rsid w:val="5B036D9F"/>
    <w:rsid w:val="5B491EA8"/>
    <w:rsid w:val="5B8F3CE4"/>
    <w:rsid w:val="5BEE4F64"/>
    <w:rsid w:val="5C593896"/>
    <w:rsid w:val="5D753EAF"/>
    <w:rsid w:val="5DB3607E"/>
    <w:rsid w:val="5E4562C3"/>
    <w:rsid w:val="5EA07300"/>
    <w:rsid w:val="5ED11B6D"/>
    <w:rsid w:val="5F021772"/>
    <w:rsid w:val="5F46462A"/>
    <w:rsid w:val="60054E02"/>
    <w:rsid w:val="60B847DE"/>
    <w:rsid w:val="60F92E43"/>
    <w:rsid w:val="61700C15"/>
    <w:rsid w:val="6233638E"/>
    <w:rsid w:val="625A4B92"/>
    <w:rsid w:val="62703343"/>
    <w:rsid w:val="62ED7867"/>
    <w:rsid w:val="62F35580"/>
    <w:rsid w:val="638061C1"/>
    <w:rsid w:val="63EA7860"/>
    <w:rsid w:val="640E2967"/>
    <w:rsid w:val="64C26078"/>
    <w:rsid w:val="64DF0AFE"/>
    <w:rsid w:val="66154073"/>
    <w:rsid w:val="66726134"/>
    <w:rsid w:val="669F0B6A"/>
    <w:rsid w:val="67FA3502"/>
    <w:rsid w:val="6819344E"/>
    <w:rsid w:val="683F35B9"/>
    <w:rsid w:val="68FE57E9"/>
    <w:rsid w:val="69227A8F"/>
    <w:rsid w:val="694302F0"/>
    <w:rsid w:val="694F7CAA"/>
    <w:rsid w:val="699B698E"/>
    <w:rsid w:val="6A0B153B"/>
    <w:rsid w:val="6A4757E1"/>
    <w:rsid w:val="6A5E5B47"/>
    <w:rsid w:val="6A6C1225"/>
    <w:rsid w:val="6BB44445"/>
    <w:rsid w:val="6BF258B5"/>
    <w:rsid w:val="6C082426"/>
    <w:rsid w:val="6C240F7A"/>
    <w:rsid w:val="6C4761F3"/>
    <w:rsid w:val="6C9003BD"/>
    <w:rsid w:val="6D2D7C59"/>
    <w:rsid w:val="6D3C36EF"/>
    <w:rsid w:val="6DA03CB7"/>
    <w:rsid w:val="6DA848B1"/>
    <w:rsid w:val="6E001573"/>
    <w:rsid w:val="6E1321C3"/>
    <w:rsid w:val="6F122D10"/>
    <w:rsid w:val="6FBF35AE"/>
    <w:rsid w:val="700D2A49"/>
    <w:rsid w:val="70383246"/>
    <w:rsid w:val="70436206"/>
    <w:rsid w:val="7046650E"/>
    <w:rsid w:val="70E30BE7"/>
    <w:rsid w:val="70E76A1A"/>
    <w:rsid w:val="710019DC"/>
    <w:rsid w:val="712B6906"/>
    <w:rsid w:val="71B94EAF"/>
    <w:rsid w:val="72080D8E"/>
    <w:rsid w:val="72797A70"/>
    <w:rsid w:val="727F3267"/>
    <w:rsid w:val="72B15531"/>
    <w:rsid w:val="7329331A"/>
    <w:rsid w:val="732D68A2"/>
    <w:rsid w:val="73563D56"/>
    <w:rsid w:val="73676B0B"/>
    <w:rsid w:val="736D557B"/>
    <w:rsid w:val="73774085"/>
    <w:rsid w:val="73B73D06"/>
    <w:rsid w:val="73CD2FC7"/>
    <w:rsid w:val="7464499E"/>
    <w:rsid w:val="74D453D8"/>
    <w:rsid w:val="74F4230F"/>
    <w:rsid w:val="75004E12"/>
    <w:rsid w:val="75444CE6"/>
    <w:rsid w:val="75CA0D8D"/>
    <w:rsid w:val="75D05CCE"/>
    <w:rsid w:val="75ED4AD2"/>
    <w:rsid w:val="7623401F"/>
    <w:rsid w:val="762C55FB"/>
    <w:rsid w:val="766864D8"/>
    <w:rsid w:val="76837F0B"/>
    <w:rsid w:val="76F02150"/>
    <w:rsid w:val="770117D0"/>
    <w:rsid w:val="770E68EE"/>
    <w:rsid w:val="771332F3"/>
    <w:rsid w:val="7713525D"/>
    <w:rsid w:val="77D57B19"/>
    <w:rsid w:val="780659D7"/>
    <w:rsid w:val="782037BB"/>
    <w:rsid w:val="78212811"/>
    <w:rsid w:val="784731B4"/>
    <w:rsid w:val="78A407FE"/>
    <w:rsid w:val="78A8668A"/>
    <w:rsid w:val="78B70D97"/>
    <w:rsid w:val="7A3F1AB2"/>
    <w:rsid w:val="7A8C0E44"/>
    <w:rsid w:val="7AA77987"/>
    <w:rsid w:val="7B0A519B"/>
    <w:rsid w:val="7B286E3C"/>
    <w:rsid w:val="7B555B44"/>
    <w:rsid w:val="7B6B171D"/>
    <w:rsid w:val="7BE841A3"/>
    <w:rsid w:val="7BF42242"/>
    <w:rsid w:val="7C4F2869"/>
    <w:rsid w:val="7C685FEA"/>
    <w:rsid w:val="7C6A17D1"/>
    <w:rsid w:val="7C974F21"/>
    <w:rsid w:val="7CAD4798"/>
    <w:rsid w:val="7CB9122E"/>
    <w:rsid w:val="7CD924C5"/>
    <w:rsid w:val="7D761851"/>
    <w:rsid w:val="7D8E6B9B"/>
    <w:rsid w:val="7E2175F4"/>
    <w:rsid w:val="7E313FCB"/>
    <w:rsid w:val="7E736A89"/>
    <w:rsid w:val="7E826256"/>
    <w:rsid w:val="7F046956"/>
    <w:rsid w:val="7F3C22A1"/>
    <w:rsid w:val="7F8367C0"/>
    <w:rsid w:val="7FA13BCB"/>
    <w:rsid w:val="7FBE4DEA"/>
    <w:rsid w:val="7FD727AE"/>
    <w:rsid w:val="7FF8648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7">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8">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9">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10">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11">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12">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13">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4">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5">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142"/>
    <w:unhideWhenUsed/>
    <w:qFormat/>
    <w:uiPriority w:val="99"/>
    <w:pPr>
      <w:spacing w:after="120"/>
      <w:ind w:left="420" w:leftChars="200" w:firstLine="420" w:firstLineChars="200"/>
    </w:pPr>
    <w:rPr>
      <w:rFonts w:ascii="Calibri" w:hAnsi="Calibri" w:eastAsia="宋体"/>
      <w:sz w:val="21"/>
      <w:szCs w:val="24"/>
    </w:rPr>
  </w:style>
  <w:style w:type="paragraph" w:styleId="3">
    <w:name w:val="Body Text Indent"/>
    <w:basedOn w:val="1"/>
    <w:next w:val="4"/>
    <w:link w:val="103"/>
    <w:qFormat/>
    <w:uiPriority w:val="0"/>
    <w:pPr>
      <w:ind w:firstLine="570"/>
    </w:pPr>
    <w:rPr>
      <w:rFonts w:ascii="楷体_GB2312" w:hAnsi="Times New Roman" w:eastAsia="楷体_GB2312"/>
      <w:snapToGrid/>
      <w:kern w:val="2"/>
      <w:sz w:val="30"/>
      <w:szCs w:val="20"/>
    </w:rPr>
  </w:style>
  <w:style w:type="paragraph" w:styleId="4">
    <w:name w:val="envelope return"/>
    <w:basedOn w:val="1"/>
    <w:qFormat/>
    <w:uiPriority w:val="0"/>
    <w:pPr>
      <w:snapToGrid w:val="0"/>
    </w:pPr>
    <w:rPr>
      <w:rFonts w:ascii="Arial" w:hAnsi="Arial" w:eastAsia="宋体" w:cs="Arial"/>
      <w:snapToGrid/>
      <w:kern w:val="2"/>
    </w:rPr>
  </w:style>
  <w:style w:type="paragraph" w:styleId="5">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6">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6">
    <w:name w:val="List 3"/>
    <w:basedOn w:val="1"/>
    <w:qFormat/>
    <w:uiPriority w:val="0"/>
    <w:pPr>
      <w:ind w:left="100" w:leftChars="400" w:hanging="200" w:hangingChars="200"/>
    </w:pPr>
    <w:rPr>
      <w:rFonts w:ascii="Times New Roman" w:hAnsi="Times New Roman" w:eastAsia="宋体"/>
      <w:snapToGrid/>
      <w:kern w:val="2"/>
    </w:rPr>
  </w:style>
  <w:style w:type="paragraph" w:styleId="17">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8">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9">
    <w:name w:val="table of authorities"/>
    <w:basedOn w:val="1"/>
    <w:next w:val="1"/>
    <w:qFormat/>
    <w:uiPriority w:val="0"/>
    <w:pPr>
      <w:ind w:left="420" w:leftChars="200"/>
    </w:pPr>
    <w:rPr>
      <w:rFonts w:ascii="Times New Roman" w:hAnsi="Times New Roman" w:eastAsia="宋体"/>
      <w:snapToGrid/>
      <w:kern w:val="2"/>
    </w:rPr>
  </w:style>
  <w:style w:type="paragraph" w:styleId="20">
    <w:name w:val="Note Heading"/>
    <w:basedOn w:val="1"/>
    <w:next w:val="1"/>
    <w:link w:val="116"/>
    <w:qFormat/>
    <w:uiPriority w:val="0"/>
    <w:pPr>
      <w:jc w:val="center"/>
    </w:pPr>
    <w:rPr>
      <w:rFonts w:ascii="Times New Roman" w:hAnsi="Times New Roman" w:eastAsia="宋体"/>
      <w:snapToGrid/>
      <w:kern w:val="2"/>
    </w:rPr>
  </w:style>
  <w:style w:type="paragraph" w:styleId="21">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22">
    <w:name w:val="index 8"/>
    <w:basedOn w:val="1"/>
    <w:next w:val="1"/>
    <w:qFormat/>
    <w:uiPriority w:val="0"/>
    <w:pPr>
      <w:ind w:left="1400" w:leftChars="1400"/>
    </w:pPr>
    <w:rPr>
      <w:rFonts w:ascii="Times New Roman" w:hAnsi="Times New Roman" w:eastAsia="宋体"/>
      <w:snapToGrid/>
      <w:kern w:val="2"/>
    </w:rPr>
  </w:style>
  <w:style w:type="paragraph" w:styleId="23">
    <w:name w:val="E-mail Signature"/>
    <w:basedOn w:val="1"/>
    <w:link w:val="117"/>
    <w:qFormat/>
    <w:uiPriority w:val="0"/>
    <w:rPr>
      <w:rFonts w:ascii="Times New Roman" w:hAnsi="Times New Roman" w:eastAsia="宋体"/>
      <w:snapToGrid/>
      <w:kern w:val="2"/>
    </w:rPr>
  </w:style>
  <w:style w:type="paragraph" w:styleId="24">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6">
    <w:name w:val="caption"/>
    <w:basedOn w:val="1"/>
    <w:next w:val="1"/>
    <w:qFormat/>
    <w:uiPriority w:val="0"/>
    <w:rPr>
      <w:rFonts w:ascii="Cambria" w:hAnsi="Cambria" w:eastAsia="黑体"/>
      <w:snapToGrid/>
      <w:kern w:val="2"/>
      <w:sz w:val="20"/>
      <w:szCs w:val="20"/>
    </w:rPr>
  </w:style>
  <w:style w:type="paragraph" w:styleId="27">
    <w:name w:val="index 5"/>
    <w:basedOn w:val="1"/>
    <w:next w:val="1"/>
    <w:qFormat/>
    <w:uiPriority w:val="0"/>
    <w:pPr>
      <w:ind w:left="800" w:leftChars="800"/>
    </w:pPr>
    <w:rPr>
      <w:rFonts w:ascii="Times New Roman" w:hAnsi="Times New Roman" w:eastAsia="宋体"/>
      <w:snapToGrid/>
      <w:kern w:val="2"/>
    </w:rPr>
  </w:style>
  <w:style w:type="paragraph" w:styleId="28">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30">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31">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32">
    <w:name w:val="annotation text"/>
    <w:basedOn w:val="1"/>
    <w:link w:val="120"/>
    <w:qFormat/>
    <w:uiPriority w:val="0"/>
    <w:pPr>
      <w:jc w:val="left"/>
    </w:pPr>
    <w:rPr>
      <w:rFonts w:ascii="Times New Roman" w:hAnsi="Times New Roman" w:eastAsia="宋体"/>
      <w:snapToGrid/>
      <w:kern w:val="2"/>
    </w:rPr>
  </w:style>
  <w:style w:type="paragraph" w:styleId="33">
    <w:name w:val="index 6"/>
    <w:basedOn w:val="1"/>
    <w:next w:val="1"/>
    <w:qFormat/>
    <w:uiPriority w:val="0"/>
    <w:pPr>
      <w:ind w:left="1000" w:leftChars="1000"/>
    </w:pPr>
    <w:rPr>
      <w:rFonts w:ascii="Times New Roman" w:hAnsi="Times New Roman" w:eastAsia="宋体"/>
      <w:snapToGrid/>
      <w:kern w:val="2"/>
    </w:rPr>
  </w:style>
  <w:style w:type="paragraph" w:styleId="34">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5">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6">
    <w:name w:val="Closing"/>
    <w:basedOn w:val="1"/>
    <w:link w:val="123"/>
    <w:qFormat/>
    <w:uiPriority w:val="0"/>
    <w:pPr>
      <w:ind w:left="100" w:leftChars="2100"/>
    </w:pPr>
    <w:rPr>
      <w:rFonts w:ascii="Times New Roman" w:hAnsi="Times New Roman" w:eastAsia="宋体"/>
      <w:snapToGrid/>
      <w:kern w:val="2"/>
    </w:rPr>
  </w:style>
  <w:style w:type="paragraph" w:styleId="37">
    <w:name w:val="List Bullet 3"/>
    <w:basedOn w:val="1"/>
    <w:qFormat/>
    <w:uiPriority w:val="0"/>
    <w:pPr>
      <w:tabs>
        <w:tab w:val="left" w:pos="1200"/>
      </w:tabs>
      <w:ind w:left="1180" w:hanging="720"/>
    </w:pPr>
    <w:rPr>
      <w:rFonts w:ascii="Times New Roman" w:hAnsi="Times New Roman" w:eastAsia="宋体"/>
      <w:snapToGrid/>
      <w:kern w:val="2"/>
    </w:rPr>
  </w:style>
  <w:style w:type="paragraph" w:styleId="38">
    <w:name w:val="Body Text"/>
    <w:basedOn w:val="1"/>
    <w:next w:val="39"/>
    <w:link w:val="124"/>
    <w:unhideWhenUsed/>
    <w:qFormat/>
    <w:uiPriority w:val="0"/>
    <w:pPr>
      <w:tabs>
        <w:tab w:val="left" w:pos="5250"/>
      </w:tabs>
    </w:pPr>
    <w:rPr>
      <w:rFonts w:ascii="Times New Roman" w:hAnsi="Times New Roman" w:eastAsia="宋体"/>
      <w:snapToGrid/>
      <w:kern w:val="2"/>
      <w:szCs w:val="20"/>
    </w:rPr>
  </w:style>
  <w:style w:type="paragraph" w:styleId="39">
    <w:name w:val="toc 2"/>
    <w:basedOn w:val="1"/>
    <w:next w:val="1"/>
    <w:semiHidden/>
    <w:qFormat/>
    <w:uiPriority w:val="99"/>
    <w:pPr>
      <w:ind w:left="210"/>
      <w:jc w:val="left"/>
    </w:pPr>
    <w:rPr>
      <w:smallCaps/>
      <w:sz w:val="20"/>
      <w:szCs w:val="20"/>
    </w:rPr>
  </w:style>
  <w:style w:type="paragraph" w:styleId="40">
    <w:name w:val="List Number 3"/>
    <w:basedOn w:val="1"/>
    <w:qFormat/>
    <w:uiPriority w:val="0"/>
    <w:pPr>
      <w:tabs>
        <w:tab w:val="left" w:pos="1200"/>
      </w:tabs>
      <w:ind w:left="1180" w:hanging="720"/>
    </w:pPr>
    <w:rPr>
      <w:rFonts w:ascii="Times New Roman" w:hAnsi="Times New Roman" w:eastAsia="宋体"/>
      <w:snapToGrid/>
      <w:kern w:val="2"/>
    </w:rPr>
  </w:style>
  <w:style w:type="paragraph" w:styleId="41">
    <w:name w:val="List 2"/>
    <w:basedOn w:val="1"/>
    <w:qFormat/>
    <w:uiPriority w:val="0"/>
    <w:pPr>
      <w:ind w:left="100" w:leftChars="200" w:hanging="200" w:hangingChars="200"/>
    </w:pPr>
    <w:rPr>
      <w:rFonts w:ascii="Times New Roman" w:hAnsi="Times New Roman" w:eastAsia="宋体"/>
      <w:snapToGrid/>
      <w:kern w:val="2"/>
    </w:rPr>
  </w:style>
  <w:style w:type="paragraph" w:styleId="42">
    <w:name w:val="List Continue"/>
    <w:basedOn w:val="1"/>
    <w:qFormat/>
    <w:uiPriority w:val="0"/>
    <w:pPr>
      <w:spacing w:after="120"/>
      <w:ind w:left="420" w:leftChars="200"/>
    </w:pPr>
    <w:rPr>
      <w:rFonts w:ascii="Times New Roman" w:hAnsi="Times New Roman" w:eastAsia="宋体"/>
      <w:snapToGrid/>
      <w:kern w:val="2"/>
    </w:rPr>
  </w:style>
  <w:style w:type="paragraph" w:styleId="43">
    <w:name w:val="Block Text"/>
    <w:basedOn w:val="1"/>
    <w:qFormat/>
    <w:uiPriority w:val="0"/>
    <w:pPr>
      <w:ind w:left="1" w:leftChars="-171" w:right="-359" w:rightChars="-171" w:hanging="360" w:hangingChars="150"/>
    </w:pPr>
    <w:rPr>
      <w:rFonts w:ascii="仿宋_GB2312" w:hAnsi="DotumChe" w:eastAsia="仿宋_GB2312"/>
      <w:sz w:val="24"/>
    </w:rPr>
  </w:style>
  <w:style w:type="paragraph" w:styleId="44">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5">
    <w:name w:val="HTML Address"/>
    <w:basedOn w:val="1"/>
    <w:link w:val="125"/>
    <w:qFormat/>
    <w:uiPriority w:val="0"/>
    <w:rPr>
      <w:rFonts w:ascii="Times New Roman" w:hAnsi="Times New Roman" w:eastAsia="宋体"/>
      <w:i/>
      <w:iCs/>
      <w:snapToGrid/>
      <w:kern w:val="2"/>
    </w:rPr>
  </w:style>
  <w:style w:type="paragraph" w:styleId="46">
    <w:name w:val="index 4"/>
    <w:basedOn w:val="1"/>
    <w:next w:val="1"/>
    <w:qFormat/>
    <w:uiPriority w:val="0"/>
    <w:pPr>
      <w:ind w:left="600" w:leftChars="600"/>
    </w:pPr>
    <w:rPr>
      <w:rFonts w:ascii="Times New Roman" w:hAnsi="Times New Roman" w:eastAsia="宋体"/>
      <w:snapToGrid/>
      <w:kern w:val="2"/>
    </w:rPr>
  </w:style>
  <w:style w:type="paragraph" w:styleId="47">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8">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9">
    <w:name w:val="Plain Text"/>
    <w:basedOn w:val="1"/>
    <w:link w:val="126"/>
    <w:unhideWhenUsed/>
    <w:qFormat/>
    <w:uiPriority w:val="0"/>
    <w:rPr>
      <w:rFonts w:hint="eastAsia" w:ascii="宋体" w:hAnsi="Courier New" w:eastAsia="楷体_GB2312"/>
      <w:snapToGrid/>
      <w:sz w:val="28"/>
      <w:szCs w:val="20"/>
    </w:rPr>
  </w:style>
  <w:style w:type="paragraph" w:styleId="50">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51">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2">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3">
    <w:name w:val="index 3"/>
    <w:basedOn w:val="1"/>
    <w:next w:val="1"/>
    <w:qFormat/>
    <w:uiPriority w:val="0"/>
    <w:pPr>
      <w:ind w:left="400" w:leftChars="400"/>
    </w:pPr>
    <w:rPr>
      <w:rFonts w:ascii="Times New Roman" w:hAnsi="Times New Roman" w:eastAsia="宋体"/>
      <w:snapToGrid/>
      <w:kern w:val="2"/>
    </w:rPr>
  </w:style>
  <w:style w:type="paragraph" w:styleId="54">
    <w:name w:val="Date"/>
    <w:basedOn w:val="1"/>
    <w:next w:val="1"/>
    <w:link w:val="127"/>
    <w:qFormat/>
    <w:uiPriority w:val="0"/>
    <w:pPr>
      <w:ind w:left="2500" w:leftChars="2500"/>
    </w:pPr>
    <w:rPr>
      <w:rFonts w:ascii="Times New Roman" w:hAnsi="Times New Roman" w:eastAsia="宋体"/>
      <w:snapToGrid/>
      <w:sz w:val="20"/>
      <w:szCs w:val="20"/>
    </w:rPr>
  </w:style>
  <w:style w:type="paragraph" w:styleId="55">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6">
    <w:name w:val="endnote text"/>
    <w:basedOn w:val="1"/>
    <w:link w:val="129"/>
    <w:qFormat/>
    <w:uiPriority w:val="0"/>
    <w:pPr>
      <w:snapToGrid w:val="0"/>
      <w:jc w:val="left"/>
    </w:pPr>
    <w:rPr>
      <w:rFonts w:ascii="Times New Roman" w:hAnsi="Times New Roman" w:eastAsia="宋体"/>
      <w:snapToGrid/>
      <w:kern w:val="2"/>
    </w:rPr>
  </w:style>
  <w:style w:type="paragraph" w:styleId="57">
    <w:name w:val="List Continue 5"/>
    <w:basedOn w:val="1"/>
    <w:qFormat/>
    <w:uiPriority w:val="0"/>
    <w:pPr>
      <w:spacing w:after="120"/>
      <w:ind w:left="2100" w:leftChars="1000"/>
    </w:pPr>
    <w:rPr>
      <w:rFonts w:ascii="Times New Roman" w:hAnsi="Times New Roman" w:eastAsia="宋体"/>
      <w:snapToGrid/>
      <w:kern w:val="2"/>
    </w:rPr>
  </w:style>
  <w:style w:type="paragraph" w:styleId="58">
    <w:name w:val="Balloon Text"/>
    <w:basedOn w:val="1"/>
    <w:link w:val="130"/>
    <w:qFormat/>
    <w:uiPriority w:val="0"/>
    <w:rPr>
      <w:rFonts w:ascii="Times New Roman" w:hAnsi="Times New Roman" w:eastAsia="宋体"/>
      <w:snapToGrid/>
      <w:kern w:val="2"/>
      <w:sz w:val="18"/>
      <w:szCs w:val="18"/>
    </w:rPr>
  </w:style>
  <w:style w:type="paragraph" w:styleId="59">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60">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61">
    <w:name w:val="Signature"/>
    <w:basedOn w:val="1"/>
    <w:link w:val="133"/>
    <w:qFormat/>
    <w:uiPriority w:val="0"/>
    <w:pPr>
      <w:ind w:left="100" w:leftChars="2100"/>
    </w:pPr>
    <w:rPr>
      <w:rFonts w:ascii="Times New Roman" w:hAnsi="Times New Roman" w:eastAsia="宋体"/>
      <w:snapToGrid/>
      <w:kern w:val="2"/>
    </w:rPr>
  </w:style>
  <w:style w:type="paragraph" w:styleId="62">
    <w:name w:val="toc 1"/>
    <w:basedOn w:val="1"/>
    <w:next w:val="1"/>
    <w:unhideWhenUsed/>
    <w:qFormat/>
    <w:uiPriority w:val="39"/>
  </w:style>
  <w:style w:type="paragraph" w:styleId="63">
    <w:name w:val="List Continue 4"/>
    <w:basedOn w:val="1"/>
    <w:qFormat/>
    <w:uiPriority w:val="0"/>
    <w:pPr>
      <w:spacing w:after="120"/>
      <w:ind w:left="1680" w:leftChars="800"/>
    </w:pPr>
    <w:rPr>
      <w:rFonts w:ascii="Times New Roman" w:hAnsi="Times New Roman" w:eastAsia="宋体"/>
      <w:snapToGrid/>
      <w:kern w:val="2"/>
    </w:rPr>
  </w:style>
  <w:style w:type="paragraph" w:styleId="64">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5">
    <w:name w:val="index heading"/>
    <w:basedOn w:val="1"/>
    <w:next w:val="66"/>
    <w:qFormat/>
    <w:uiPriority w:val="0"/>
    <w:rPr>
      <w:rFonts w:ascii="Arial" w:hAnsi="Arial" w:eastAsia="宋体" w:cs="Arial"/>
      <w:b/>
      <w:bCs/>
      <w:snapToGrid/>
      <w:kern w:val="2"/>
    </w:rPr>
  </w:style>
  <w:style w:type="paragraph" w:styleId="66">
    <w:name w:val="index 1"/>
    <w:basedOn w:val="1"/>
    <w:next w:val="1"/>
    <w:unhideWhenUsed/>
    <w:qFormat/>
    <w:uiPriority w:val="0"/>
  </w:style>
  <w:style w:type="paragraph" w:styleId="67">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8">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9">
    <w:name w:val="List"/>
    <w:basedOn w:val="1"/>
    <w:qFormat/>
    <w:uiPriority w:val="0"/>
    <w:pPr>
      <w:ind w:left="200" w:hanging="200" w:hangingChars="200"/>
    </w:pPr>
    <w:rPr>
      <w:rFonts w:ascii="Times New Roman" w:hAnsi="Times New Roman" w:eastAsia="宋体"/>
      <w:snapToGrid/>
      <w:kern w:val="2"/>
    </w:rPr>
  </w:style>
  <w:style w:type="paragraph" w:styleId="70">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71">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2">
    <w:name w:val="List 5"/>
    <w:basedOn w:val="1"/>
    <w:qFormat/>
    <w:uiPriority w:val="0"/>
    <w:pPr>
      <w:ind w:left="100" w:leftChars="800" w:hanging="200" w:hangingChars="200"/>
    </w:pPr>
    <w:rPr>
      <w:rFonts w:ascii="Times New Roman" w:hAnsi="Times New Roman" w:eastAsia="宋体"/>
      <w:snapToGrid/>
      <w:kern w:val="2"/>
    </w:rPr>
  </w:style>
  <w:style w:type="paragraph" w:styleId="73">
    <w:name w:val="index 7"/>
    <w:basedOn w:val="1"/>
    <w:next w:val="1"/>
    <w:qFormat/>
    <w:uiPriority w:val="0"/>
    <w:pPr>
      <w:ind w:left="1200" w:leftChars="1200"/>
    </w:pPr>
    <w:rPr>
      <w:rFonts w:ascii="Times New Roman" w:hAnsi="Times New Roman" w:eastAsia="宋体"/>
      <w:snapToGrid/>
      <w:kern w:val="2"/>
    </w:rPr>
  </w:style>
  <w:style w:type="paragraph" w:styleId="74">
    <w:name w:val="index 9"/>
    <w:basedOn w:val="1"/>
    <w:next w:val="1"/>
    <w:qFormat/>
    <w:uiPriority w:val="0"/>
    <w:pPr>
      <w:ind w:left="1600" w:leftChars="1600"/>
    </w:pPr>
    <w:rPr>
      <w:rFonts w:ascii="Times New Roman" w:hAnsi="Times New Roman" w:eastAsia="宋体"/>
      <w:snapToGrid/>
      <w:kern w:val="2"/>
    </w:rPr>
  </w:style>
  <w:style w:type="paragraph" w:styleId="75">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6">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7">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8">
    <w:name w:val="List 4"/>
    <w:basedOn w:val="1"/>
    <w:qFormat/>
    <w:uiPriority w:val="0"/>
    <w:pPr>
      <w:ind w:left="100" w:leftChars="600" w:hanging="200" w:hangingChars="200"/>
    </w:pPr>
    <w:rPr>
      <w:rFonts w:ascii="Times New Roman" w:hAnsi="Times New Roman" w:eastAsia="宋体"/>
      <w:snapToGrid/>
      <w:kern w:val="2"/>
    </w:rPr>
  </w:style>
  <w:style w:type="paragraph" w:styleId="79">
    <w:name w:val="List Continue 2"/>
    <w:basedOn w:val="1"/>
    <w:qFormat/>
    <w:uiPriority w:val="0"/>
    <w:pPr>
      <w:spacing w:after="120"/>
      <w:ind w:left="840" w:leftChars="400"/>
    </w:pPr>
    <w:rPr>
      <w:rFonts w:ascii="Times New Roman" w:hAnsi="Times New Roman" w:eastAsia="宋体"/>
      <w:snapToGrid/>
      <w:kern w:val="2"/>
    </w:rPr>
  </w:style>
  <w:style w:type="paragraph" w:styleId="80">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1">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2">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3">
    <w:name w:val="List Continue 3"/>
    <w:basedOn w:val="1"/>
    <w:qFormat/>
    <w:uiPriority w:val="0"/>
    <w:pPr>
      <w:spacing w:after="120"/>
      <w:ind w:left="1260" w:leftChars="600"/>
    </w:pPr>
    <w:rPr>
      <w:rFonts w:ascii="Times New Roman" w:hAnsi="Times New Roman" w:eastAsia="宋体"/>
      <w:snapToGrid/>
      <w:kern w:val="2"/>
    </w:rPr>
  </w:style>
  <w:style w:type="paragraph" w:styleId="84">
    <w:name w:val="index 2"/>
    <w:basedOn w:val="1"/>
    <w:next w:val="1"/>
    <w:qFormat/>
    <w:uiPriority w:val="0"/>
    <w:pPr>
      <w:ind w:left="200" w:leftChars="200"/>
    </w:pPr>
    <w:rPr>
      <w:rFonts w:ascii="Times New Roman" w:hAnsi="Times New Roman" w:eastAsia="宋体"/>
      <w:snapToGrid/>
      <w:kern w:val="2"/>
    </w:rPr>
  </w:style>
  <w:style w:type="paragraph" w:styleId="85">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6">
    <w:name w:val="annotation subject"/>
    <w:basedOn w:val="32"/>
    <w:next w:val="32"/>
    <w:link w:val="140"/>
    <w:qFormat/>
    <w:uiPriority w:val="0"/>
    <w:rPr>
      <w:b/>
      <w:bCs/>
    </w:rPr>
  </w:style>
  <w:style w:type="paragraph" w:styleId="87">
    <w:name w:val="Body Text First Indent"/>
    <w:basedOn w:val="38"/>
    <w:link w:val="143"/>
    <w:unhideWhenUsed/>
    <w:qFormat/>
    <w:uiPriority w:val="0"/>
    <w:pPr>
      <w:tabs>
        <w:tab w:val="clear" w:pos="5250"/>
      </w:tabs>
      <w:spacing w:after="120"/>
      <w:ind w:firstLine="420" w:firstLineChars="100"/>
    </w:pPr>
    <w:rPr>
      <w:rFonts w:eastAsia="仿宋_GB2312"/>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Char2"/>
    <w:link w:val="3"/>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Char1"/>
    <w:link w:val="5"/>
    <w:qFormat/>
    <w:uiPriority w:val="99"/>
    <w:rPr>
      <w:rFonts w:hint="default" w:ascii="Times New Roman" w:hAnsi="Times New Roman" w:cs="Times New Roman"/>
      <w:kern w:val="2"/>
      <w:sz w:val="16"/>
      <w:szCs w:val="16"/>
    </w:rPr>
  </w:style>
  <w:style w:type="character" w:customStyle="1" w:styleId="106">
    <w:name w:val="宏文本 Char"/>
    <w:link w:val="6"/>
    <w:qFormat/>
    <w:uiPriority w:val="0"/>
    <w:rPr>
      <w:rFonts w:ascii="Courier New" w:hAnsi="Courier New" w:cs="Courier New"/>
      <w:kern w:val="2"/>
      <w:sz w:val="24"/>
      <w:szCs w:val="24"/>
    </w:rPr>
  </w:style>
  <w:style w:type="character" w:customStyle="1" w:styleId="107">
    <w:name w:val="标题 1 Char"/>
    <w:link w:val="7"/>
    <w:qFormat/>
    <w:uiPriority w:val="0"/>
    <w:rPr>
      <w:rFonts w:hint="default" w:ascii="Times New Roman" w:hAnsi="Times New Roman" w:cs="Times New Roman"/>
      <w:b/>
      <w:kern w:val="44"/>
      <w:sz w:val="44"/>
      <w:szCs w:val="44"/>
    </w:rPr>
  </w:style>
  <w:style w:type="character" w:customStyle="1" w:styleId="108">
    <w:name w:val="标题 2 Char"/>
    <w:link w:val="8"/>
    <w:qFormat/>
    <w:uiPriority w:val="0"/>
    <w:rPr>
      <w:rFonts w:ascii="Arial" w:hAnsi="Arial" w:eastAsia="黑体"/>
      <w:b/>
      <w:bCs/>
      <w:kern w:val="2"/>
      <w:sz w:val="21"/>
      <w:szCs w:val="32"/>
    </w:rPr>
  </w:style>
  <w:style w:type="character" w:customStyle="1" w:styleId="109">
    <w:name w:val="标题 3 Char"/>
    <w:link w:val="9"/>
    <w:qFormat/>
    <w:uiPriority w:val="0"/>
    <w:rPr>
      <w:rFonts w:ascii="华文楷体" w:hAnsi="华文楷体" w:eastAsia="华文楷体"/>
      <w:b/>
      <w:bCs/>
      <w:snapToGrid/>
      <w:sz w:val="32"/>
      <w:szCs w:val="32"/>
    </w:rPr>
  </w:style>
  <w:style w:type="character" w:customStyle="1" w:styleId="110">
    <w:name w:val="标题 4 Char"/>
    <w:link w:val="10"/>
    <w:qFormat/>
    <w:uiPriority w:val="0"/>
    <w:rPr>
      <w:rFonts w:ascii="Cambria" w:hAnsi="Cambria" w:eastAsia="宋体" w:cs="Times New Roman"/>
      <w:b/>
      <w:bCs/>
      <w:snapToGrid/>
      <w:sz w:val="28"/>
      <w:szCs w:val="28"/>
    </w:rPr>
  </w:style>
  <w:style w:type="character" w:customStyle="1" w:styleId="111">
    <w:name w:val="标题 5 Char"/>
    <w:link w:val="11"/>
    <w:qFormat/>
    <w:uiPriority w:val="0"/>
    <w:rPr>
      <w:b/>
      <w:bCs/>
      <w:kern w:val="2"/>
      <w:sz w:val="28"/>
      <w:szCs w:val="28"/>
    </w:rPr>
  </w:style>
  <w:style w:type="character" w:customStyle="1" w:styleId="112">
    <w:name w:val="标题 6 Char"/>
    <w:link w:val="12"/>
    <w:qFormat/>
    <w:uiPriority w:val="0"/>
    <w:rPr>
      <w:rFonts w:ascii="Cambria" w:hAnsi="Cambria"/>
      <w:b/>
      <w:bCs/>
      <w:kern w:val="2"/>
      <w:sz w:val="24"/>
      <w:szCs w:val="24"/>
    </w:rPr>
  </w:style>
  <w:style w:type="character" w:customStyle="1" w:styleId="113">
    <w:name w:val="标题 7 Char"/>
    <w:link w:val="13"/>
    <w:qFormat/>
    <w:uiPriority w:val="0"/>
    <w:rPr>
      <w:rFonts w:ascii="Calibri" w:hAnsi="Calibri"/>
      <w:b/>
      <w:bCs/>
      <w:kern w:val="2"/>
      <w:sz w:val="24"/>
      <w:szCs w:val="24"/>
    </w:rPr>
  </w:style>
  <w:style w:type="character" w:customStyle="1" w:styleId="114">
    <w:name w:val="标题 8 Char"/>
    <w:link w:val="14"/>
    <w:qFormat/>
    <w:uiPriority w:val="0"/>
    <w:rPr>
      <w:rFonts w:ascii="Cambria" w:hAnsi="Cambria"/>
      <w:kern w:val="2"/>
      <w:sz w:val="24"/>
      <w:szCs w:val="24"/>
    </w:rPr>
  </w:style>
  <w:style w:type="character" w:customStyle="1" w:styleId="115">
    <w:name w:val="标题 9 Char"/>
    <w:link w:val="15"/>
    <w:qFormat/>
    <w:uiPriority w:val="0"/>
    <w:rPr>
      <w:rFonts w:ascii="Cambria" w:hAnsi="Cambria"/>
      <w:kern w:val="2"/>
      <w:sz w:val="21"/>
      <w:szCs w:val="21"/>
    </w:rPr>
  </w:style>
  <w:style w:type="character" w:customStyle="1" w:styleId="116">
    <w:name w:val="注释标题 Char"/>
    <w:link w:val="20"/>
    <w:qFormat/>
    <w:uiPriority w:val="0"/>
    <w:rPr>
      <w:kern w:val="2"/>
      <w:sz w:val="21"/>
      <w:szCs w:val="24"/>
    </w:rPr>
  </w:style>
  <w:style w:type="character" w:customStyle="1" w:styleId="117">
    <w:name w:val="电子邮件签名 Char"/>
    <w:link w:val="23"/>
    <w:qFormat/>
    <w:uiPriority w:val="0"/>
    <w:rPr>
      <w:kern w:val="2"/>
      <w:sz w:val="21"/>
      <w:szCs w:val="24"/>
    </w:rPr>
  </w:style>
  <w:style w:type="character" w:customStyle="1" w:styleId="118">
    <w:name w:val="正文缩进 Char"/>
    <w:link w:val="25"/>
    <w:qFormat/>
    <w:uiPriority w:val="0"/>
    <w:rPr>
      <w:rFonts w:hint="default" w:ascii="Times New Roman" w:hAnsi="Times New Roman" w:eastAsia="楷体_GB2312" w:cs="Times New Roman"/>
      <w:kern w:val="2"/>
      <w:sz w:val="24"/>
    </w:rPr>
  </w:style>
  <w:style w:type="character" w:customStyle="1" w:styleId="119">
    <w:name w:val="文档结构图 Char"/>
    <w:link w:val="30"/>
    <w:qFormat/>
    <w:uiPriority w:val="0"/>
    <w:rPr>
      <w:kern w:val="2"/>
      <w:sz w:val="21"/>
      <w:szCs w:val="24"/>
      <w:shd w:val="clear" w:color="auto" w:fill="000080"/>
    </w:rPr>
  </w:style>
  <w:style w:type="character" w:customStyle="1" w:styleId="120">
    <w:name w:val="批注文字 Char2"/>
    <w:link w:val="32"/>
    <w:qFormat/>
    <w:uiPriority w:val="0"/>
    <w:rPr>
      <w:kern w:val="2"/>
      <w:sz w:val="21"/>
      <w:szCs w:val="24"/>
    </w:rPr>
  </w:style>
  <w:style w:type="character" w:customStyle="1" w:styleId="121">
    <w:name w:val="称呼 Char"/>
    <w:link w:val="34"/>
    <w:qFormat/>
    <w:uiPriority w:val="0"/>
    <w:rPr>
      <w:rFonts w:eastAsia="Times New Roman"/>
      <w:sz w:val="30"/>
    </w:rPr>
  </w:style>
  <w:style w:type="character" w:customStyle="1" w:styleId="122">
    <w:name w:val="正文文本 3 Char"/>
    <w:link w:val="35"/>
    <w:qFormat/>
    <w:uiPriority w:val="0"/>
    <w:rPr>
      <w:rFonts w:hint="eastAsia" w:ascii="宋体" w:hAnsi="宋体" w:eastAsia="宋体" w:cs="宋体"/>
      <w:color w:val="FF0000"/>
    </w:rPr>
  </w:style>
  <w:style w:type="character" w:customStyle="1" w:styleId="123">
    <w:name w:val="结束语 Char"/>
    <w:link w:val="36"/>
    <w:qFormat/>
    <w:uiPriority w:val="0"/>
    <w:rPr>
      <w:kern w:val="2"/>
      <w:sz w:val="21"/>
      <w:szCs w:val="24"/>
    </w:rPr>
  </w:style>
  <w:style w:type="character" w:customStyle="1" w:styleId="124">
    <w:name w:val="正文文本 Char1"/>
    <w:link w:val="38"/>
    <w:qFormat/>
    <w:uiPriority w:val="99"/>
    <w:rPr>
      <w:rFonts w:hint="default" w:ascii="Times New Roman" w:hAnsi="Times New Roman" w:cs="Times New Roman"/>
      <w:kern w:val="2"/>
      <w:sz w:val="21"/>
    </w:rPr>
  </w:style>
  <w:style w:type="character" w:customStyle="1" w:styleId="125">
    <w:name w:val="HTML 地址 Char"/>
    <w:link w:val="45"/>
    <w:qFormat/>
    <w:uiPriority w:val="0"/>
    <w:rPr>
      <w:i/>
      <w:iCs/>
      <w:kern w:val="2"/>
      <w:sz w:val="21"/>
      <w:szCs w:val="24"/>
    </w:rPr>
  </w:style>
  <w:style w:type="character" w:customStyle="1" w:styleId="126">
    <w:name w:val="纯文本 Char"/>
    <w:link w:val="49"/>
    <w:qFormat/>
    <w:uiPriority w:val="0"/>
    <w:rPr>
      <w:rFonts w:hint="eastAsia" w:ascii="宋体" w:hAnsi="Courier New" w:eastAsia="楷体_GB2312" w:cs="宋体"/>
      <w:sz w:val="28"/>
    </w:rPr>
  </w:style>
  <w:style w:type="character" w:customStyle="1" w:styleId="127">
    <w:name w:val="日期 Char"/>
    <w:link w:val="54"/>
    <w:qFormat/>
    <w:uiPriority w:val="0"/>
    <w:rPr>
      <w:rFonts w:hint="default" w:ascii="Times New Roman" w:hAnsi="Times New Roman" w:cs="Times New Roman"/>
    </w:rPr>
  </w:style>
  <w:style w:type="character" w:customStyle="1" w:styleId="128">
    <w:name w:val="正文文本缩进 2 Char1"/>
    <w:link w:val="55"/>
    <w:qFormat/>
    <w:uiPriority w:val="99"/>
    <w:rPr>
      <w:rFonts w:hint="default" w:ascii="Times New Roman" w:hAnsi="Times New Roman" w:cs="Times New Roman"/>
      <w:kern w:val="2"/>
      <w:sz w:val="21"/>
    </w:rPr>
  </w:style>
  <w:style w:type="character" w:customStyle="1" w:styleId="129">
    <w:name w:val="尾注文本 Char"/>
    <w:link w:val="56"/>
    <w:qFormat/>
    <w:uiPriority w:val="0"/>
    <w:rPr>
      <w:kern w:val="2"/>
      <w:sz w:val="21"/>
      <w:szCs w:val="24"/>
    </w:rPr>
  </w:style>
  <w:style w:type="character" w:customStyle="1" w:styleId="130">
    <w:name w:val="批注框文本 Char"/>
    <w:link w:val="58"/>
    <w:qFormat/>
    <w:uiPriority w:val="0"/>
    <w:rPr>
      <w:kern w:val="2"/>
      <w:sz w:val="18"/>
      <w:szCs w:val="18"/>
    </w:rPr>
  </w:style>
  <w:style w:type="character" w:customStyle="1" w:styleId="131">
    <w:name w:val="页脚 Char"/>
    <w:link w:val="59"/>
    <w:qFormat/>
    <w:uiPriority w:val="99"/>
    <w:rPr>
      <w:rFonts w:hint="default" w:ascii="Times New Roman" w:hAnsi="Times New Roman" w:cs="Times New Roman"/>
      <w:sz w:val="18"/>
    </w:rPr>
  </w:style>
  <w:style w:type="character" w:customStyle="1" w:styleId="132">
    <w:name w:val="页眉 Char1"/>
    <w:link w:val="60"/>
    <w:qFormat/>
    <w:uiPriority w:val="99"/>
    <w:rPr>
      <w:rFonts w:hint="default" w:ascii="Times New Roman" w:hAnsi="Times New Roman" w:cs="Times New Roman"/>
      <w:kern w:val="2"/>
      <w:sz w:val="18"/>
      <w:szCs w:val="18"/>
    </w:rPr>
  </w:style>
  <w:style w:type="character" w:customStyle="1" w:styleId="133">
    <w:name w:val="签名 Char"/>
    <w:link w:val="61"/>
    <w:qFormat/>
    <w:uiPriority w:val="0"/>
    <w:rPr>
      <w:kern w:val="2"/>
      <w:sz w:val="21"/>
      <w:szCs w:val="24"/>
    </w:rPr>
  </w:style>
  <w:style w:type="character" w:customStyle="1" w:styleId="134">
    <w:name w:val="副标题 Char"/>
    <w:link w:val="67"/>
    <w:qFormat/>
    <w:uiPriority w:val="0"/>
    <w:rPr>
      <w:rFonts w:ascii="Cambria" w:hAnsi="Cambria"/>
      <w:b/>
      <w:bCs/>
      <w:kern w:val="28"/>
      <w:sz w:val="32"/>
      <w:szCs w:val="32"/>
    </w:rPr>
  </w:style>
  <w:style w:type="character" w:customStyle="1" w:styleId="135">
    <w:name w:val="脚注文本 Char"/>
    <w:link w:val="70"/>
    <w:qFormat/>
    <w:uiPriority w:val="0"/>
    <w:rPr>
      <w:sz w:val="18"/>
    </w:rPr>
  </w:style>
  <w:style w:type="character" w:customStyle="1" w:styleId="136">
    <w:name w:val="正文文本 2 Char"/>
    <w:link w:val="77"/>
    <w:qFormat/>
    <w:uiPriority w:val="0"/>
    <w:rPr>
      <w:rFonts w:eastAsia="Times New Roman"/>
      <w:sz w:val="24"/>
      <w:szCs w:val="24"/>
    </w:rPr>
  </w:style>
  <w:style w:type="character" w:customStyle="1" w:styleId="137">
    <w:name w:val="信息标题 Char"/>
    <w:link w:val="80"/>
    <w:qFormat/>
    <w:uiPriority w:val="0"/>
    <w:rPr>
      <w:rFonts w:ascii="Arial" w:hAnsi="Arial" w:cs="Arial"/>
      <w:kern w:val="2"/>
      <w:sz w:val="24"/>
      <w:szCs w:val="24"/>
      <w:shd w:val="pct20" w:color="auto" w:fill="auto"/>
    </w:rPr>
  </w:style>
  <w:style w:type="character" w:customStyle="1" w:styleId="138">
    <w:name w:val="HTML 预设格式 Char"/>
    <w:link w:val="81"/>
    <w:qFormat/>
    <w:uiPriority w:val="0"/>
    <w:rPr>
      <w:rFonts w:hint="eastAsia" w:ascii="黑体" w:hAnsi="Courier New" w:eastAsia="黑体" w:cs="黑体"/>
    </w:rPr>
  </w:style>
  <w:style w:type="character" w:customStyle="1" w:styleId="139">
    <w:name w:val="标题 Char"/>
    <w:link w:val="85"/>
    <w:qFormat/>
    <w:uiPriority w:val="0"/>
    <w:rPr>
      <w:rFonts w:ascii="Cambria" w:hAnsi="Cambria"/>
      <w:b/>
      <w:bCs/>
      <w:kern w:val="2"/>
      <w:sz w:val="32"/>
      <w:szCs w:val="32"/>
    </w:rPr>
  </w:style>
  <w:style w:type="character" w:customStyle="1" w:styleId="140">
    <w:name w:val="批注主题 Char"/>
    <w:link w:val="86"/>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首行缩进 2 Char"/>
    <w:link w:val="2"/>
    <w:qFormat/>
    <w:uiPriority w:val="0"/>
    <w:rPr>
      <w:rFonts w:ascii="Calibri" w:hAnsi="Calibri"/>
      <w:kern w:val="2"/>
      <w:sz w:val="21"/>
      <w:szCs w:val="24"/>
      <w:lang w:bidi="ar-SA"/>
    </w:rPr>
  </w:style>
  <w:style w:type="character" w:customStyle="1" w:styleId="143">
    <w:name w:val="正文首行缩进 Char"/>
    <w:link w:val="87"/>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Char"/>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9"/>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9"/>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Char"/>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Char"/>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8"/>
    <w:next w:val="46"/>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9"/>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10"/>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2"/>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9"/>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8"/>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9"/>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2"/>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30"/>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8"/>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30"/>
    <w:qFormat/>
    <w:uiPriority w:val="0"/>
    <w:rPr>
      <w:rFonts w:ascii="Calibri" w:hAnsi="Calibri" w:eastAsia="Times New Roman"/>
    </w:rPr>
  </w:style>
  <w:style w:type="paragraph" w:customStyle="1" w:styleId="435">
    <w:name w:val="样式 标题 1 + 居中"/>
    <w:basedOn w:val="7"/>
    <w:qFormat/>
    <w:uiPriority w:val="0"/>
    <w:pPr>
      <w:keepLines/>
      <w:spacing w:before="340" w:after="330" w:line="576" w:lineRule="auto"/>
    </w:pPr>
    <w:rPr>
      <w:sz w:val="32"/>
      <w:szCs w:val="20"/>
    </w:rPr>
  </w:style>
  <w:style w:type="paragraph" w:customStyle="1" w:styleId="436">
    <w:name w:val="TOC 标题1"/>
    <w:basedOn w:val="7"/>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7"/>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70">
    <w:name w:val="列表1）"/>
    <w:basedOn w:val="25"/>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8"/>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2"/>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8"/>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9"/>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7"/>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8"/>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8"/>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5"/>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7"/>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7"/>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5"/>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8"/>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8"/>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8"/>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30"/>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等线 Light" w:hAnsi="等线 Light" w:eastAsia="等线 Light"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30"/>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9"/>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7"/>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99"/>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53</Pages>
  <Words>14694</Words>
  <Characters>15465</Characters>
  <Lines>463</Lines>
  <Paragraphs>130</Paragraphs>
  <TotalTime>6</TotalTime>
  <ScaleCrop>false</ScaleCrop>
  <LinksUpToDate>false</LinksUpToDate>
  <CharactersWithSpaces>15709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2024-11-26T02:44:00Z</dcterms:created>
  <dc:creator>JSJG</dc:creator>
  <cp:lastModifiedBy>XF</cp:lastModifiedBy>
  <cp:lastPrinted>2019-06-20T06:04:00Z</cp:lastPrinted>
  <dcterms:modified xsi:type="dcterms:W3CDTF">2026-02-10T08:37:04Z</dcterms:modified>
  <dc:title>张家港市政府采购竞争性谈判采购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02DB5EAE822F4620840AF643AC175079_13</vt:lpwstr>
  </property>
  <property fmtid="{D5CDD505-2E9C-101B-9397-08002B2CF9AE}" pid="4" name="KSOTemplateDocerSaveRecord">
    <vt:lpwstr>eyJoZGlkIjoiODgwYzQ5MGU2NDJjMzVlMmU3OTM2MTFmNzg3NzViYTciLCJ1c2VySWQiOiIxMTU2OTAzMjcwIn0=</vt:lpwstr>
  </property>
</Properties>
</file>