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76985B">
      <w:pPr>
        <w:pStyle w:val="2"/>
        <w:rPr>
          <w:color w:val="auto"/>
          <w:sz w:val="11"/>
          <w:szCs w:val="11"/>
          <w:highlight w:val="none"/>
        </w:rPr>
      </w:pPr>
    </w:p>
    <w:p w14:paraId="7DBFB7E4">
      <w:pPr>
        <w:pStyle w:val="87"/>
        <w:snapToGrid w:val="0"/>
        <w:spacing w:after="0" w:line="360" w:lineRule="auto"/>
        <w:ind w:left="0" w:leftChars="0" w:firstLine="0" w:firstLineChars="0"/>
        <w:jc w:val="center"/>
        <w:rPr>
          <w:rFonts w:hint="eastAsia" w:ascii="宋体" w:hAnsi="宋体" w:cs="宋体"/>
          <w:b/>
          <w:bCs/>
          <w:color w:val="auto"/>
          <w:sz w:val="44"/>
          <w:szCs w:val="44"/>
          <w:highlight w:val="none"/>
        </w:rPr>
      </w:pPr>
      <w:bookmarkStart w:id="0" w:name="OLE_LINK32"/>
      <w:r>
        <w:rPr>
          <w:rFonts w:hint="eastAsia" w:ascii="宋体" w:hAnsi="宋体" w:cs="宋体"/>
          <w:b/>
          <w:bCs/>
          <w:color w:val="auto"/>
          <w:sz w:val="44"/>
          <w:szCs w:val="44"/>
          <w:highlight w:val="none"/>
        </w:rPr>
        <w:t>南通市政务中心电气火灾监控系统改造工程</w:t>
      </w:r>
    </w:p>
    <w:bookmarkEnd w:id="0"/>
    <w:p w14:paraId="3EFEA80E">
      <w:pPr>
        <w:tabs>
          <w:tab w:val="left" w:pos="6300"/>
        </w:tabs>
        <w:snapToGrid w:val="0"/>
        <w:spacing w:line="300" w:lineRule="auto"/>
        <w:jc w:val="center"/>
        <w:rPr>
          <w:rFonts w:hint="eastAsia" w:ascii="宋体" w:hAnsi="宋体" w:eastAsia="宋体" w:cs="宋体"/>
          <w:b/>
          <w:color w:val="auto"/>
          <w:w w:val="80"/>
          <w:sz w:val="56"/>
          <w:szCs w:val="56"/>
          <w:highlight w:val="none"/>
        </w:rPr>
      </w:pPr>
    </w:p>
    <w:p w14:paraId="4A81EF3C">
      <w:pPr>
        <w:tabs>
          <w:tab w:val="left" w:pos="6300"/>
        </w:tabs>
        <w:snapToGrid w:val="0"/>
        <w:spacing w:line="300" w:lineRule="auto"/>
        <w:jc w:val="center"/>
        <w:rPr>
          <w:rFonts w:hint="eastAsia" w:ascii="宋体" w:hAnsi="宋体" w:eastAsia="宋体" w:cs="宋体"/>
          <w:color w:val="auto"/>
          <w:w w:val="80"/>
          <w:sz w:val="84"/>
          <w:highlight w:val="none"/>
        </w:rPr>
      </w:pPr>
    </w:p>
    <w:p w14:paraId="75C3BBF1">
      <w:pPr>
        <w:pStyle w:val="2"/>
        <w:rPr>
          <w:color w:val="auto"/>
          <w:highlight w:val="none"/>
        </w:rPr>
      </w:pPr>
    </w:p>
    <w:p w14:paraId="710E0302">
      <w:pPr>
        <w:pStyle w:val="87"/>
        <w:rPr>
          <w:color w:val="auto"/>
          <w:highlight w:val="none"/>
        </w:rPr>
      </w:pPr>
    </w:p>
    <w:p w14:paraId="41966AAC">
      <w:pPr>
        <w:tabs>
          <w:tab w:val="left" w:pos="1050"/>
          <w:tab w:val="right" w:leader="dot" w:pos="9402"/>
        </w:tabs>
        <w:spacing w:line="1000" w:lineRule="exact"/>
        <w:jc w:val="center"/>
        <w:rPr>
          <w:rFonts w:hint="eastAsia" w:ascii="宋体" w:hAnsi="宋体" w:eastAsia="宋体" w:cs="宋体"/>
          <w:color w:val="auto"/>
          <w:sz w:val="72"/>
          <w:szCs w:val="72"/>
          <w:highlight w:val="none"/>
        </w:rPr>
      </w:pPr>
      <w:r>
        <w:rPr>
          <w:rFonts w:hint="eastAsia" w:ascii="宋体" w:hAnsi="宋体" w:eastAsia="宋体" w:cs="宋体"/>
          <w:b/>
          <w:color w:val="auto"/>
          <w:w w:val="80"/>
          <w:sz w:val="72"/>
          <w:szCs w:val="72"/>
          <w:highlight w:val="none"/>
        </w:rPr>
        <w:t>竞争性磋商文件</w:t>
      </w:r>
    </w:p>
    <w:p w14:paraId="42872792">
      <w:pPr>
        <w:pStyle w:val="80"/>
        <w:spacing w:line="240" w:lineRule="atLeast"/>
        <w:contextualSpacing/>
        <w:jc w:val="center"/>
        <w:rPr>
          <w:rFonts w:ascii="宋体" w:hAnsi="宋体" w:cs="宋体"/>
          <w:b/>
          <w:bCs/>
          <w:color w:val="auto"/>
          <w:sz w:val="44"/>
          <w:szCs w:val="44"/>
          <w:highlight w:val="none"/>
        </w:rPr>
      </w:pPr>
    </w:p>
    <w:p w14:paraId="5605D2C5">
      <w:pPr>
        <w:pStyle w:val="80"/>
        <w:spacing w:line="312" w:lineRule="auto"/>
        <w:jc w:val="center"/>
        <w:rPr>
          <w:rFonts w:hint="default" w:eastAsia="宋体"/>
          <w:b/>
          <w:snapToGrid w:val="0"/>
          <w:color w:val="auto"/>
          <w:sz w:val="32"/>
          <w:szCs w:val="32"/>
          <w:highlight w:val="none"/>
        </w:rPr>
      </w:pPr>
      <w:r>
        <w:rPr>
          <w:rFonts w:ascii="宋体" w:hAnsi="宋体" w:eastAsia="宋体" w:cs="宋体"/>
          <w:b/>
          <w:snapToGrid w:val="0"/>
          <w:color w:val="auto"/>
          <w:sz w:val="32"/>
          <w:szCs w:val="32"/>
          <w:highlight w:val="none"/>
        </w:rPr>
        <w:t>项目编号：HXTD202511001</w:t>
      </w:r>
    </w:p>
    <w:p w14:paraId="3873BB64">
      <w:pPr>
        <w:pStyle w:val="80"/>
        <w:spacing w:line="312" w:lineRule="auto"/>
        <w:jc w:val="both"/>
        <w:rPr>
          <w:rStyle w:val="96"/>
          <w:rFonts w:ascii="宋体" w:hAnsi="宋体" w:eastAsia="宋体" w:cs="宋体"/>
          <w:color w:val="auto"/>
          <w:sz w:val="30"/>
          <w:highlight w:val="none"/>
        </w:rPr>
      </w:pPr>
    </w:p>
    <w:p w14:paraId="4AE8AD6A">
      <w:pPr>
        <w:pStyle w:val="80"/>
        <w:spacing w:line="312" w:lineRule="auto"/>
        <w:jc w:val="center"/>
        <w:rPr>
          <w:rStyle w:val="96"/>
          <w:rFonts w:ascii="宋体" w:hAnsi="宋体" w:eastAsia="宋体" w:cs="宋体"/>
          <w:color w:val="auto"/>
          <w:sz w:val="30"/>
          <w:highlight w:val="none"/>
        </w:rPr>
      </w:pPr>
    </w:p>
    <w:p w14:paraId="5B519D4A">
      <w:pPr>
        <w:pStyle w:val="80"/>
        <w:spacing w:line="312" w:lineRule="auto"/>
        <w:jc w:val="center"/>
        <w:rPr>
          <w:rStyle w:val="96"/>
          <w:rFonts w:ascii="宋体" w:hAnsi="宋体" w:eastAsia="宋体" w:cs="宋体"/>
          <w:color w:val="auto"/>
          <w:sz w:val="30"/>
          <w:highlight w:val="none"/>
        </w:rPr>
      </w:pPr>
    </w:p>
    <w:p w14:paraId="650BFB4B">
      <w:pPr>
        <w:rPr>
          <w:rFonts w:hint="eastAsia"/>
          <w:color w:val="auto"/>
          <w:highlight w:val="none"/>
        </w:rPr>
      </w:pPr>
    </w:p>
    <w:p w14:paraId="17B45D2A">
      <w:pPr>
        <w:rPr>
          <w:rFonts w:hint="eastAsia"/>
          <w:color w:val="auto"/>
          <w:highlight w:val="none"/>
        </w:rPr>
      </w:pPr>
    </w:p>
    <w:p w14:paraId="7D66E3D4">
      <w:pPr>
        <w:pStyle w:val="80"/>
        <w:spacing w:line="312" w:lineRule="auto"/>
        <w:jc w:val="center"/>
        <w:rPr>
          <w:rStyle w:val="96"/>
          <w:rFonts w:ascii="宋体" w:hAnsi="宋体" w:eastAsia="宋体" w:cs="宋体"/>
          <w:color w:val="auto"/>
          <w:sz w:val="30"/>
          <w:highlight w:val="none"/>
        </w:rPr>
      </w:pPr>
    </w:p>
    <w:p w14:paraId="6F3F3878">
      <w:pPr>
        <w:rPr>
          <w:rFonts w:hint="eastAsia"/>
          <w:color w:val="auto"/>
          <w:highlight w:val="none"/>
        </w:rPr>
      </w:pPr>
    </w:p>
    <w:p w14:paraId="6766488E">
      <w:pPr>
        <w:rPr>
          <w:rFonts w:hint="eastAsia"/>
          <w:color w:val="auto"/>
          <w:highlight w:val="none"/>
        </w:rPr>
      </w:pPr>
    </w:p>
    <w:p w14:paraId="59FA5E41">
      <w:pPr>
        <w:pStyle w:val="80"/>
        <w:spacing w:line="312" w:lineRule="auto"/>
        <w:jc w:val="center"/>
        <w:rPr>
          <w:rStyle w:val="96"/>
          <w:rFonts w:ascii="宋体" w:hAnsi="宋体" w:eastAsia="宋体" w:cs="宋体"/>
          <w:snapToGrid w:val="0"/>
          <w:color w:val="auto"/>
          <w:sz w:val="28"/>
          <w:highlight w:val="none"/>
        </w:rPr>
      </w:pPr>
    </w:p>
    <w:p w14:paraId="74FEC850">
      <w:pPr>
        <w:spacing w:line="480" w:lineRule="auto"/>
        <w:ind w:firstLine="1960" w:firstLineChars="700"/>
        <w:rPr>
          <w:rStyle w:val="96"/>
          <w:rFonts w:hint="eastAsia" w:ascii="宋体" w:hAnsi="宋体" w:eastAsia="宋体" w:cs="宋体"/>
          <w:color w:val="auto"/>
          <w:sz w:val="28"/>
          <w:highlight w:val="none"/>
        </w:rPr>
      </w:pPr>
      <w:r>
        <w:rPr>
          <w:rStyle w:val="96"/>
          <w:rFonts w:hint="eastAsia" w:ascii="宋体" w:hAnsi="宋体" w:eastAsia="宋体" w:cs="宋体"/>
          <w:color w:val="auto"/>
          <w:sz w:val="28"/>
          <w:highlight w:val="none"/>
        </w:rPr>
        <w:t>采购单位：</w:t>
      </w:r>
      <w:bookmarkStart w:id="1" w:name="OLE_LINK7"/>
      <w:r>
        <w:rPr>
          <w:rStyle w:val="96"/>
          <w:rFonts w:hint="eastAsia" w:ascii="宋体" w:hAnsi="宋体" w:eastAsia="宋体" w:cs="宋体"/>
          <w:color w:val="auto"/>
          <w:sz w:val="28"/>
          <w:highlight w:val="none"/>
        </w:rPr>
        <w:t>南通市机关事务管理局</w:t>
      </w:r>
      <w:bookmarkEnd w:id="1"/>
    </w:p>
    <w:p w14:paraId="6D57AA0F">
      <w:pPr>
        <w:tabs>
          <w:tab w:val="left" w:pos="1050"/>
          <w:tab w:val="right" w:leader="dot" w:pos="9402"/>
        </w:tabs>
        <w:spacing w:line="480" w:lineRule="auto"/>
        <w:ind w:firstLine="1960" w:firstLineChars="700"/>
        <w:rPr>
          <w:rStyle w:val="96"/>
          <w:rFonts w:hint="eastAsia" w:ascii="宋体" w:hAnsi="宋体" w:eastAsia="宋体" w:cs="宋体"/>
          <w:color w:val="auto"/>
          <w:sz w:val="28"/>
          <w:highlight w:val="none"/>
        </w:rPr>
      </w:pPr>
      <w:r>
        <w:rPr>
          <w:rStyle w:val="96"/>
          <w:rFonts w:hint="eastAsia" w:ascii="宋体" w:hAnsi="宋体" w:eastAsia="宋体" w:cs="宋体"/>
          <w:color w:val="auto"/>
          <w:sz w:val="28"/>
          <w:highlight w:val="none"/>
        </w:rPr>
        <w:t>代理机构：宏信天德工程顾问有限公司</w:t>
      </w:r>
    </w:p>
    <w:p w14:paraId="5723EB2C">
      <w:pPr>
        <w:tabs>
          <w:tab w:val="left" w:pos="1050"/>
          <w:tab w:val="right" w:leader="dot" w:pos="9402"/>
        </w:tabs>
        <w:spacing w:line="480" w:lineRule="auto"/>
        <w:ind w:firstLine="2240" w:firstLineChars="800"/>
        <w:rPr>
          <w:rFonts w:hint="eastAsia" w:ascii="宋体" w:hAnsi="宋体" w:eastAsia="宋体" w:cs="宋体"/>
          <w:b/>
          <w:bCs/>
          <w:color w:val="auto"/>
          <w:sz w:val="44"/>
          <w:highlight w:val="none"/>
        </w:rPr>
      </w:pPr>
      <w:r>
        <w:rPr>
          <w:rStyle w:val="96"/>
          <w:rFonts w:ascii="宋体" w:hAnsi="宋体" w:eastAsia="宋体" w:cs="宋体"/>
          <w:color w:val="auto"/>
          <w:sz w:val="28"/>
          <w:highlight w:val="none"/>
        </w:rPr>
        <w:t>日    期：二0</w:t>
      </w:r>
      <w:r>
        <w:rPr>
          <w:rStyle w:val="96"/>
          <w:rFonts w:hint="eastAsia" w:ascii="宋体" w:hAnsi="宋体" w:eastAsia="宋体" w:cs="宋体"/>
          <w:color w:val="auto"/>
          <w:sz w:val="28"/>
          <w:highlight w:val="none"/>
        </w:rPr>
        <w:t>二五年十二</w:t>
      </w:r>
      <w:r>
        <w:rPr>
          <w:rStyle w:val="96"/>
          <w:rFonts w:ascii="宋体" w:hAnsi="宋体" w:eastAsia="宋体" w:cs="宋体"/>
          <w:color w:val="auto"/>
          <w:sz w:val="28"/>
          <w:highlight w:val="none"/>
        </w:rPr>
        <w:t>月</w:t>
      </w:r>
      <w:r>
        <w:rPr>
          <w:rFonts w:hint="eastAsia" w:ascii="宋体" w:hAnsi="宋体" w:eastAsia="宋体" w:cs="宋体"/>
          <w:b/>
          <w:bCs/>
          <w:color w:val="auto"/>
          <w:sz w:val="44"/>
          <w:highlight w:val="none"/>
        </w:rPr>
        <w:br w:type="page"/>
      </w:r>
    </w:p>
    <w:p w14:paraId="1801DC3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0"/>
          <w:szCs w:val="40"/>
          <w:highlight w:val="none"/>
        </w:rPr>
        <w:t>目   录</w:t>
      </w:r>
    </w:p>
    <w:p w14:paraId="1A69ECAB">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第一部分  采购邀请</w:t>
      </w:r>
    </w:p>
    <w:p w14:paraId="6CA928EC">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 xml:space="preserve">第二部分  </w:t>
      </w:r>
      <w:r>
        <w:rPr>
          <w:rFonts w:hint="eastAsia" w:ascii="宋体" w:hAnsi="宋体" w:eastAsia="宋体" w:cs="宋体"/>
          <w:color w:val="auto"/>
          <w:kern w:val="2"/>
          <w:sz w:val="32"/>
          <w:szCs w:val="32"/>
          <w:highlight w:val="none"/>
          <w:lang w:bidi="ar"/>
        </w:rPr>
        <w:t>磋商须知</w:t>
      </w:r>
    </w:p>
    <w:p w14:paraId="3093C68B">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第三部分</w:t>
      </w:r>
      <w:r>
        <w:rPr>
          <w:rFonts w:hint="eastAsia" w:ascii="宋体" w:hAnsi="宋体" w:eastAsia="宋体" w:cs="宋体"/>
          <w:color w:val="auto"/>
          <w:kern w:val="2"/>
          <w:sz w:val="32"/>
          <w:szCs w:val="32"/>
          <w:highlight w:val="none"/>
          <w:lang w:bidi="ar"/>
        </w:rPr>
        <w:t xml:space="preserve">  项目需求</w:t>
      </w:r>
    </w:p>
    <w:p w14:paraId="3034900C">
      <w:pPr>
        <w:spacing w:line="1000" w:lineRule="exact"/>
        <w:rPr>
          <w:rFonts w:hint="eastAsia" w:ascii="宋体" w:hAnsi="宋体" w:eastAsia="宋体" w:cs="宋体"/>
          <w:color w:val="auto"/>
          <w:sz w:val="32"/>
          <w:szCs w:val="32"/>
          <w:highlight w:val="none"/>
        </w:rPr>
      </w:pPr>
      <w:r>
        <w:rPr>
          <w:rFonts w:hint="eastAsia" w:ascii="宋体" w:hAnsi="宋体" w:eastAsia="宋体" w:cs="宋体"/>
          <w:bCs/>
          <w:color w:val="auto"/>
          <w:kern w:val="2"/>
          <w:sz w:val="32"/>
          <w:szCs w:val="32"/>
          <w:highlight w:val="none"/>
          <w:lang w:bidi="ar"/>
        </w:rPr>
        <w:t>第四部分</w:t>
      </w:r>
      <w:r>
        <w:rPr>
          <w:rFonts w:hint="eastAsia" w:ascii="宋体" w:hAnsi="宋体" w:eastAsia="宋体" w:cs="宋体"/>
          <w:color w:val="auto"/>
          <w:kern w:val="2"/>
          <w:sz w:val="32"/>
          <w:szCs w:val="32"/>
          <w:highlight w:val="none"/>
          <w:lang w:bidi="ar"/>
        </w:rPr>
        <w:t xml:space="preserve">  评审方法和评审标准</w:t>
      </w:r>
    </w:p>
    <w:p w14:paraId="6B86F61F">
      <w:pPr>
        <w:spacing w:line="1000" w:lineRule="exact"/>
        <w:rPr>
          <w:rFonts w:hint="eastAsia" w:ascii="宋体" w:hAnsi="宋体" w:eastAsia="宋体" w:cs="宋体"/>
          <w:color w:val="auto"/>
          <w:kern w:val="2"/>
          <w:sz w:val="32"/>
          <w:szCs w:val="32"/>
          <w:highlight w:val="none"/>
          <w:lang w:bidi="ar"/>
        </w:rPr>
      </w:pPr>
      <w:r>
        <w:rPr>
          <w:rFonts w:hint="eastAsia" w:ascii="宋体" w:hAnsi="宋体" w:eastAsia="宋体" w:cs="宋体"/>
          <w:color w:val="auto"/>
          <w:kern w:val="2"/>
          <w:sz w:val="32"/>
          <w:szCs w:val="32"/>
          <w:highlight w:val="none"/>
          <w:lang w:bidi="ar"/>
        </w:rPr>
        <w:t>第五</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bidi="ar"/>
        </w:rPr>
        <w:t xml:space="preserve">  合同条款</w:t>
      </w:r>
    </w:p>
    <w:p w14:paraId="339CF454">
      <w:pPr>
        <w:spacing w:line="1000" w:lineRule="exact"/>
        <w:rPr>
          <w:rFonts w:hint="eastAsia" w:ascii="宋体" w:hAnsi="宋体" w:eastAsia="宋体" w:cs="宋体"/>
          <w:color w:val="auto"/>
          <w:kern w:val="2"/>
          <w:sz w:val="32"/>
          <w:szCs w:val="32"/>
          <w:highlight w:val="none"/>
          <w:lang w:val="zh-CN" w:bidi="ar"/>
        </w:rPr>
      </w:pPr>
      <w:r>
        <w:rPr>
          <w:rFonts w:hint="eastAsia" w:ascii="宋体" w:hAnsi="宋体" w:eastAsia="宋体" w:cs="宋体"/>
          <w:color w:val="auto"/>
          <w:kern w:val="2"/>
          <w:sz w:val="32"/>
          <w:szCs w:val="32"/>
          <w:highlight w:val="none"/>
          <w:lang w:bidi="ar"/>
        </w:rPr>
        <w:t>第六</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bidi="ar"/>
        </w:rPr>
        <w:t xml:space="preserve">  </w:t>
      </w:r>
      <w:r>
        <w:rPr>
          <w:rFonts w:hint="eastAsia" w:ascii="宋体" w:hAnsi="宋体" w:eastAsia="宋体" w:cs="宋体"/>
          <w:color w:val="auto"/>
          <w:kern w:val="2"/>
          <w:sz w:val="32"/>
          <w:szCs w:val="32"/>
          <w:highlight w:val="none"/>
          <w:lang w:val="zh-CN" w:bidi="ar"/>
        </w:rPr>
        <w:t>响应文件组成</w:t>
      </w:r>
    </w:p>
    <w:p w14:paraId="2756181A">
      <w:pPr>
        <w:snapToGrid w:val="0"/>
        <w:spacing w:line="1000" w:lineRule="exact"/>
        <w:rPr>
          <w:rFonts w:hint="eastAsia" w:ascii="宋体" w:hAnsi="宋体" w:eastAsia="宋体" w:cs="宋体"/>
          <w:color w:val="auto"/>
          <w:kern w:val="2"/>
          <w:sz w:val="32"/>
          <w:szCs w:val="32"/>
          <w:highlight w:val="none"/>
          <w:lang w:val="zh-CN" w:bidi="ar"/>
        </w:rPr>
      </w:pPr>
      <w:r>
        <w:rPr>
          <w:rFonts w:hint="eastAsia" w:ascii="宋体" w:hAnsi="宋体" w:eastAsia="宋体" w:cs="宋体"/>
          <w:color w:val="auto"/>
          <w:kern w:val="2"/>
          <w:sz w:val="32"/>
          <w:szCs w:val="32"/>
          <w:highlight w:val="none"/>
          <w:lang w:val="zh-CN" w:bidi="ar"/>
        </w:rPr>
        <w:t>第</w:t>
      </w:r>
      <w:r>
        <w:rPr>
          <w:rFonts w:hint="eastAsia" w:ascii="宋体" w:hAnsi="宋体" w:eastAsia="宋体" w:cs="宋体"/>
          <w:color w:val="auto"/>
          <w:kern w:val="2"/>
          <w:sz w:val="32"/>
          <w:szCs w:val="32"/>
          <w:highlight w:val="none"/>
          <w:lang w:bidi="ar"/>
        </w:rPr>
        <w:t>七</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val="zh-CN" w:bidi="ar"/>
        </w:rPr>
        <w:t xml:space="preserve">  工程量清单</w:t>
      </w:r>
    </w:p>
    <w:p w14:paraId="2CE77244">
      <w:pPr>
        <w:snapToGrid w:val="0"/>
        <w:spacing w:line="1000" w:lineRule="exact"/>
        <w:rPr>
          <w:rFonts w:hint="eastAsia" w:ascii="宋体" w:hAnsi="宋体" w:eastAsia="宋体" w:cs="宋体"/>
          <w:color w:val="auto"/>
          <w:kern w:val="2"/>
          <w:sz w:val="32"/>
          <w:szCs w:val="32"/>
          <w:highlight w:val="none"/>
          <w:lang w:val="zh-CN" w:bidi="ar"/>
        </w:rPr>
      </w:pPr>
      <w:r>
        <w:rPr>
          <w:rFonts w:hint="eastAsia" w:ascii="宋体" w:hAnsi="宋体" w:eastAsia="宋体" w:cs="宋体"/>
          <w:color w:val="auto"/>
          <w:kern w:val="2"/>
          <w:sz w:val="32"/>
          <w:szCs w:val="32"/>
          <w:highlight w:val="none"/>
          <w:lang w:val="zh-CN" w:bidi="ar"/>
        </w:rPr>
        <w:t>第</w:t>
      </w:r>
      <w:r>
        <w:rPr>
          <w:rFonts w:hint="eastAsia" w:ascii="宋体" w:hAnsi="宋体" w:eastAsia="宋体" w:cs="宋体"/>
          <w:color w:val="auto"/>
          <w:kern w:val="2"/>
          <w:sz w:val="32"/>
          <w:szCs w:val="32"/>
          <w:highlight w:val="none"/>
          <w:lang w:bidi="ar"/>
        </w:rPr>
        <w:t>八</w:t>
      </w:r>
      <w:r>
        <w:rPr>
          <w:rFonts w:hint="eastAsia" w:ascii="宋体" w:hAnsi="宋体" w:eastAsia="宋体" w:cs="宋体"/>
          <w:bCs/>
          <w:color w:val="auto"/>
          <w:kern w:val="2"/>
          <w:sz w:val="32"/>
          <w:szCs w:val="32"/>
          <w:highlight w:val="none"/>
          <w:lang w:bidi="ar"/>
        </w:rPr>
        <w:t>部分</w:t>
      </w:r>
      <w:r>
        <w:rPr>
          <w:rFonts w:hint="eastAsia" w:ascii="宋体" w:hAnsi="宋体" w:eastAsia="宋体" w:cs="宋体"/>
          <w:color w:val="auto"/>
          <w:kern w:val="2"/>
          <w:sz w:val="32"/>
          <w:szCs w:val="32"/>
          <w:highlight w:val="none"/>
          <w:lang w:val="zh-CN" w:bidi="ar"/>
        </w:rPr>
        <w:t xml:space="preserve">  图纸</w:t>
      </w:r>
    </w:p>
    <w:p w14:paraId="461765DB">
      <w:pPr>
        <w:pStyle w:val="71"/>
        <w:rPr>
          <w:color w:val="auto"/>
          <w:sz w:val="18"/>
          <w:szCs w:val="18"/>
          <w:highlight w:val="none"/>
          <w:lang w:val="zh-CN" w:bidi="ar"/>
        </w:rPr>
        <w:sectPr>
          <w:headerReference r:id="rId4" w:type="first"/>
          <w:footerReference r:id="rId6" w:type="first"/>
          <w:headerReference r:id="rId3" w:type="default"/>
          <w:footerReference r:id="rId5" w:type="default"/>
          <w:pgSz w:w="11906" w:h="16838"/>
          <w:pgMar w:top="1588" w:right="1418" w:bottom="1418" w:left="1701" w:header="851" w:footer="992" w:gutter="0"/>
          <w:pgNumType w:fmt="numberInDash"/>
          <w:cols w:space="720" w:num="1"/>
          <w:docGrid w:linePitch="312" w:charSpace="0"/>
        </w:sectPr>
      </w:pPr>
    </w:p>
    <w:p w14:paraId="0AAB6385">
      <w:pPr>
        <w:spacing w:line="360" w:lineRule="auto"/>
        <w:jc w:val="center"/>
        <w:rPr>
          <w:rFonts w:hint="eastAsia" w:ascii="宋体" w:hAnsi="宋体" w:eastAsia="宋体" w:cs="宋体"/>
          <w:b/>
          <w:bCs/>
          <w:snapToGrid/>
          <w:color w:val="auto"/>
          <w:w w:val="80"/>
          <w:kern w:val="2"/>
          <w:sz w:val="44"/>
          <w:szCs w:val="44"/>
          <w:highlight w:val="none"/>
        </w:rPr>
      </w:pPr>
      <w:bookmarkStart w:id="2" w:name="_Toc363573853"/>
      <w:r>
        <w:rPr>
          <w:rFonts w:hint="eastAsia" w:ascii="宋体" w:hAnsi="宋体" w:eastAsia="宋体" w:cs="宋体"/>
          <w:b/>
          <w:bCs/>
          <w:snapToGrid/>
          <w:color w:val="auto"/>
          <w:w w:val="80"/>
          <w:kern w:val="2"/>
          <w:sz w:val="44"/>
          <w:szCs w:val="44"/>
          <w:highlight w:val="none"/>
        </w:rPr>
        <w:t xml:space="preserve">第一部分  </w:t>
      </w:r>
      <w:bookmarkEnd w:id="2"/>
      <w:r>
        <w:rPr>
          <w:rFonts w:hint="eastAsia" w:ascii="宋体" w:hAnsi="宋体" w:eastAsia="宋体" w:cs="宋体"/>
          <w:b/>
          <w:bCs/>
          <w:snapToGrid/>
          <w:color w:val="auto"/>
          <w:w w:val="80"/>
          <w:kern w:val="2"/>
          <w:sz w:val="44"/>
          <w:szCs w:val="44"/>
          <w:highlight w:val="none"/>
        </w:rPr>
        <w:t>采购邀请</w:t>
      </w:r>
    </w:p>
    <w:p w14:paraId="6C159A70">
      <w:pPr>
        <w:pStyle w:val="87"/>
        <w:snapToGrid w:val="0"/>
        <w:spacing w:after="0" w:line="360" w:lineRule="auto"/>
        <w:ind w:left="0" w:leftChars="0" w:firstLine="480"/>
        <w:rPr>
          <w:color w:val="auto"/>
          <w:highlight w:val="none"/>
        </w:rPr>
      </w:pPr>
      <w:r>
        <w:rPr>
          <w:rFonts w:hint="eastAsia" w:ascii="宋体" w:hAnsi="宋体" w:cs="宋体"/>
          <w:color w:val="auto"/>
          <w:sz w:val="24"/>
          <w:highlight w:val="none"/>
        </w:rPr>
        <w:t>受南通市机关事务管理局的委托，宏信天德工程顾问有限公司就南通市政务中心电气火灾监控系统改造工程（项目编号：HXTD202511001）进行竞争性磋商采购，欢迎符合条件的供应商参加磋商。</w:t>
      </w:r>
    </w:p>
    <w:tbl>
      <w:tblPr>
        <w:tblStyle w:val="88"/>
        <w:tblW w:w="9114"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4"/>
      </w:tblGrid>
      <w:tr w14:paraId="0DD7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114" w:type="dxa"/>
          </w:tcPr>
          <w:p w14:paraId="13D2B293">
            <w:pPr>
              <w:snapToGrid w:val="0"/>
              <w:spacing w:line="360" w:lineRule="auto"/>
              <w:rPr>
                <w:rFonts w:hint="eastAsia" w:ascii="宋体" w:hAnsi="宋体" w:eastAsia="宋体" w:cs="宋体"/>
                <w:b/>
                <w:bCs/>
                <w:snapToGrid/>
                <w:color w:val="auto"/>
                <w:kern w:val="2"/>
                <w:sz w:val="24"/>
                <w:highlight w:val="none"/>
              </w:rPr>
            </w:pPr>
            <w:r>
              <w:rPr>
                <w:rFonts w:hint="eastAsia" w:ascii="宋体" w:hAnsi="宋体" w:eastAsia="宋体" w:cs="宋体"/>
                <w:b/>
                <w:bCs/>
                <w:snapToGrid/>
                <w:color w:val="auto"/>
                <w:kern w:val="2"/>
                <w:sz w:val="24"/>
                <w:highlight w:val="none"/>
              </w:rPr>
              <w:t>项目概况</w:t>
            </w:r>
          </w:p>
          <w:p w14:paraId="15197CDC">
            <w:pPr>
              <w:pStyle w:val="5"/>
              <w:snapToGrid w:val="0"/>
              <w:spacing w:before="0" w:after="0" w:line="360" w:lineRule="auto"/>
              <w:ind w:firstLine="480" w:firstLineChars="200"/>
              <w:rPr>
                <w:color w:val="auto"/>
                <w:highlight w:val="none"/>
              </w:rPr>
            </w:pPr>
            <w:r>
              <w:rPr>
                <w:rFonts w:hint="eastAsia" w:ascii="宋体" w:hAnsi="宋体" w:eastAsia="宋体" w:cs="宋体"/>
                <w:b w:val="0"/>
                <w:bCs w:val="0"/>
                <w:color w:val="auto"/>
                <w:sz w:val="24"/>
                <w:highlight w:val="none"/>
              </w:rPr>
              <w:t>南通市政务中心电气火灾监控系统改造工程的潜在供应商应在“南通市机关事务管理局</w:t>
            </w:r>
            <w:r>
              <w:rPr>
                <w:rFonts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rPr>
              <w:t>公告公示</w:t>
            </w:r>
            <w:r>
              <w:rPr>
                <w:rFonts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rPr>
              <w:t>栏获取采购文件，并于</w:t>
            </w:r>
            <w:bookmarkStart w:id="229" w:name="_GoBack"/>
            <w:bookmarkEnd w:id="229"/>
            <w:r>
              <w:rPr>
                <w:rFonts w:ascii="宋体" w:hAnsi="宋体" w:eastAsia="宋体" w:cs="宋体"/>
                <w:b w:val="0"/>
                <w:bCs w:val="0"/>
                <w:color w:val="auto"/>
                <w:sz w:val="24"/>
                <w:highlight w:val="none"/>
              </w:rPr>
              <w:t>202</w:t>
            </w: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01</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日14时00分00秒（北京时间）前提交响应文件。</w:t>
            </w:r>
          </w:p>
        </w:tc>
      </w:tr>
    </w:tbl>
    <w:p w14:paraId="27223B8C">
      <w:pPr>
        <w:pStyle w:val="5"/>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67533CE1">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1、项目编号：HXTD202511001 </w:t>
      </w:r>
    </w:p>
    <w:p w14:paraId="7F536777">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2、项目名称：南通市政务中心电气火灾监控系统改造工程</w:t>
      </w:r>
    </w:p>
    <w:p w14:paraId="3DB5375E">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3、项目类型：工程</w:t>
      </w:r>
    </w:p>
    <w:p w14:paraId="6C19E3CB">
      <w:pPr>
        <w:pStyle w:val="87"/>
        <w:ind w:left="0" w:leftChars="0" w:firstLine="480"/>
        <w:rPr>
          <w:color w:val="auto"/>
          <w:highlight w:val="none"/>
        </w:rPr>
      </w:pPr>
      <w:r>
        <w:rPr>
          <w:rFonts w:hint="eastAsia" w:ascii="宋体" w:hAnsi="宋体" w:cs="宋体"/>
          <w:color w:val="auto"/>
          <w:sz w:val="24"/>
          <w:highlight w:val="none"/>
        </w:rPr>
        <w:t>4、所属行业：建筑业</w:t>
      </w:r>
    </w:p>
    <w:p w14:paraId="3844CA00">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5、预算金额：人民币19.36万元。</w:t>
      </w:r>
    </w:p>
    <w:p w14:paraId="4206212A">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最高限价：本次项目总价最高限价人民币192919.57元（含暂列金额8000.00元</w:t>
      </w:r>
      <w:r>
        <w:rPr>
          <w:rFonts w:ascii="宋体" w:hAnsi="宋体" w:eastAsia="宋体" w:cs="宋体"/>
          <w:color w:val="auto"/>
          <w:sz w:val="24"/>
          <w:highlight w:val="none"/>
        </w:rPr>
        <w:t>）</w:t>
      </w:r>
      <w:r>
        <w:rPr>
          <w:rFonts w:hint="eastAsia" w:ascii="宋体" w:hAnsi="宋体" w:eastAsia="宋体" w:cs="宋体"/>
          <w:color w:val="auto"/>
          <w:sz w:val="24"/>
          <w:highlight w:val="none"/>
        </w:rPr>
        <w:t>，首次报价不得高于最高限价，否则做无效响应处理。</w:t>
      </w:r>
    </w:p>
    <w:p w14:paraId="003326D2">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7、采购需求：具体详见《第三部分 项目需求》。</w:t>
      </w:r>
    </w:p>
    <w:p w14:paraId="4565029B">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8、合同履行期限：工期为60日历天。</w:t>
      </w:r>
    </w:p>
    <w:p w14:paraId="4F21D6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9、本项目是否接受联合体投标：否。</w:t>
      </w:r>
    </w:p>
    <w:p w14:paraId="6033393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10、本项目不接受分包。</w:t>
      </w:r>
    </w:p>
    <w:p w14:paraId="28281B87">
      <w:pPr>
        <w:pStyle w:val="5"/>
        <w:keepNext w:val="0"/>
        <w:keepLines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二、供应商的资格要求：</w:t>
      </w:r>
    </w:p>
    <w:p w14:paraId="25B4C444">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bookmarkStart w:id="3" w:name="_Hlk203505298"/>
      <w:r>
        <w:rPr>
          <w:rFonts w:hint="eastAsia" w:ascii="宋体" w:hAnsi="宋体" w:eastAsia="宋体" w:cs="宋体"/>
          <w:snapToGrid/>
          <w:color w:val="auto"/>
          <w:kern w:val="2"/>
          <w:sz w:val="24"/>
          <w:highlight w:val="none"/>
        </w:rPr>
        <w:t>1、</w:t>
      </w:r>
      <w:r>
        <w:rPr>
          <w:rFonts w:ascii="宋体" w:hAnsi="宋体" w:eastAsia="宋体" w:cs="宋体"/>
          <w:snapToGrid/>
          <w:color w:val="auto"/>
          <w:kern w:val="2"/>
          <w:sz w:val="24"/>
          <w:highlight w:val="none"/>
        </w:rPr>
        <w:t>具有独立承担民事责任的能力</w:t>
      </w:r>
      <w:r>
        <w:rPr>
          <w:rFonts w:hint="eastAsia" w:ascii="宋体" w:hAnsi="宋体" w:eastAsia="宋体" w:cs="宋体"/>
          <w:snapToGrid/>
          <w:color w:val="auto"/>
          <w:kern w:val="2"/>
          <w:sz w:val="24"/>
          <w:highlight w:val="none"/>
        </w:rPr>
        <w:t>；</w:t>
      </w:r>
      <w:r>
        <w:rPr>
          <w:rFonts w:ascii="宋体" w:hAnsi="宋体" w:eastAsia="宋体" w:cs="宋体"/>
          <w:snapToGrid/>
          <w:color w:val="auto"/>
          <w:kern w:val="2"/>
          <w:sz w:val="24"/>
          <w:highlight w:val="none"/>
        </w:rPr>
        <w:t>具有良好的商业信誉和健全的财务会计制度</w:t>
      </w:r>
      <w:r>
        <w:rPr>
          <w:rFonts w:hint="eastAsia" w:ascii="宋体" w:hAnsi="宋体" w:eastAsia="宋体" w:cs="宋体"/>
          <w:snapToGrid/>
          <w:color w:val="auto"/>
          <w:kern w:val="2"/>
          <w:sz w:val="24"/>
          <w:highlight w:val="none"/>
        </w:rPr>
        <w:t>；</w:t>
      </w:r>
      <w:r>
        <w:rPr>
          <w:rFonts w:ascii="宋体" w:hAnsi="宋体" w:eastAsia="宋体" w:cs="宋体"/>
          <w:snapToGrid/>
          <w:color w:val="auto"/>
          <w:kern w:val="2"/>
          <w:sz w:val="24"/>
          <w:highlight w:val="none"/>
        </w:rPr>
        <w:t>具有履行合同所必需的设备和专业技术能力</w:t>
      </w:r>
      <w:r>
        <w:rPr>
          <w:rFonts w:hint="eastAsia" w:ascii="宋体" w:hAnsi="宋体" w:eastAsia="宋体" w:cs="宋体"/>
          <w:snapToGrid/>
          <w:color w:val="auto"/>
          <w:kern w:val="2"/>
          <w:sz w:val="24"/>
          <w:highlight w:val="none"/>
        </w:rPr>
        <w:t>；</w:t>
      </w:r>
      <w:r>
        <w:rPr>
          <w:rFonts w:ascii="宋体" w:hAnsi="宋体" w:eastAsia="宋体" w:cs="宋体"/>
          <w:snapToGrid/>
          <w:color w:val="auto"/>
          <w:kern w:val="2"/>
          <w:sz w:val="24"/>
          <w:highlight w:val="none"/>
        </w:rPr>
        <w:t>有依法缴纳税收和社会保障资金的良好记录</w:t>
      </w:r>
      <w:r>
        <w:rPr>
          <w:rFonts w:hint="eastAsia" w:ascii="宋体" w:hAnsi="宋体" w:eastAsia="宋体" w:cs="宋体"/>
          <w:snapToGrid/>
          <w:color w:val="auto"/>
          <w:kern w:val="2"/>
          <w:sz w:val="24"/>
          <w:highlight w:val="none"/>
        </w:rPr>
        <w:t>；参加采购活动前三年内，在经营活动中没有重大违法记录；法律、行政法规规定的其他条件。</w:t>
      </w:r>
    </w:p>
    <w:p w14:paraId="22DA1D5A">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2、落实政府采购政策需满足的资格要求：</w:t>
      </w:r>
      <w:r>
        <w:rPr>
          <w:rFonts w:hint="eastAsia" w:ascii="宋体" w:hAnsi="宋体" w:eastAsia="宋体" w:cs="宋体"/>
          <w:b/>
          <w:bCs/>
          <w:snapToGrid/>
          <w:color w:val="auto"/>
          <w:kern w:val="2"/>
          <w:sz w:val="24"/>
          <w:highlight w:val="none"/>
        </w:rPr>
        <w:t>本项目专门面向中小企业采购</w:t>
      </w:r>
      <w:r>
        <w:rPr>
          <w:rFonts w:hint="eastAsia" w:ascii="宋体" w:hAnsi="宋体" w:eastAsia="宋体" w:cs="宋体"/>
          <w:snapToGrid/>
          <w:color w:val="auto"/>
          <w:kern w:val="2"/>
          <w:sz w:val="24"/>
          <w:highlight w:val="none"/>
        </w:rPr>
        <w:t>，供应商应为中小微企业或监狱企业或残疾人福利性单位，并按照采购文件要求提供《中小企业声明函》或《残疾人福利性单位声明函》或监狱和戒毒企业证明材料；</w:t>
      </w:r>
    </w:p>
    <w:bookmarkEnd w:id="3"/>
    <w:p w14:paraId="24A4C576">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w:t>
      </w:r>
      <w:bookmarkStart w:id="4" w:name="_Hlk203505090"/>
      <w:r>
        <w:rPr>
          <w:rFonts w:hint="eastAsia" w:ascii="宋体" w:hAnsi="宋体" w:eastAsia="宋体" w:cs="宋体"/>
          <w:snapToGrid/>
          <w:color w:val="auto"/>
          <w:kern w:val="2"/>
          <w:sz w:val="24"/>
          <w:highlight w:val="none"/>
        </w:rPr>
        <w:t>本项目的特定资格要求：</w:t>
      </w:r>
    </w:p>
    <w:p w14:paraId="60380972">
      <w:pPr>
        <w:adjustRightInd w:val="0"/>
        <w:snapToGrid w:val="0"/>
        <w:spacing w:line="360" w:lineRule="auto"/>
        <w:ind w:firstLine="480" w:firstLineChars="200"/>
        <w:outlineLvl w:val="1"/>
        <w:rPr>
          <w:rFonts w:hint="eastAsia" w:ascii="宋体" w:hAnsi="宋体" w:eastAsia="宋体"/>
          <w:b/>
          <w:bCs/>
          <w:color w:val="auto"/>
          <w:sz w:val="24"/>
          <w:highlight w:val="none"/>
          <w:u w:val="single"/>
        </w:rPr>
      </w:pPr>
      <w:r>
        <w:rPr>
          <w:rFonts w:hint="eastAsia" w:ascii="宋体" w:hAnsi="宋体" w:eastAsia="宋体" w:cs="宋体"/>
          <w:snapToGrid/>
          <w:color w:val="auto"/>
          <w:kern w:val="2"/>
          <w:sz w:val="24"/>
          <w:highlight w:val="none"/>
        </w:rPr>
        <w:t>（1）供应商须具有</w:t>
      </w:r>
      <w:r>
        <w:rPr>
          <w:rFonts w:hint="eastAsia" w:ascii="宋体" w:hAnsi="宋体" w:eastAsia="宋体"/>
          <w:color w:val="auto"/>
          <w:sz w:val="24"/>
          <w:highlight w:val="none"/>
        </w:rPr>
        <w:t>建设行政主管部门颁发的</w:t>
      </w:r>
      <w:bookmarkStart w:id="5" w:name="_Hlk134275062"/>
      <w:bookmarkStart w:id="6" w:name="OLE_LINK26"/>
      <w:r>
        <w:rPr>
          <w:rFonts w:hint="eastAsia" w:ascii="宋体" w:hAnsi="宋体" w:eastAsia="宋体"/>
          <w:b/>
          <w:bCs/>
          <w:color w:val="auto"/>
          <w:sz w:val="24"/>
          <w:highlight w:val="none"/>
          <w:u w:val="single"/>
        </w:rPr>
        <w:t>消防设施工程专业承包二级及以上资质</w:t>
      </w:r>
      <w:bookmarkEnd w:id="5"/>
      <w:r>
        <w:rPr>
          <w:rFonts w:hint="eastAsia" w:ascii="宋体" w:hAnsi="宋体" w:eastAsia="宋体"/>
          <w:b/>
          <w:bCs/>
          <w:color w:val="auto"/>
          <w:sz w:val="24"/>
          <w:highlight w:val="none"/>
          <w:u w:val="single"/>
        </w:rPr>
        <w:t>或建筑机电安装工程专业承包三级及以上资质</w:t>
      </w:r>
      <w:bookmarkEnd w:id="6"/>
      <w:r>
        <w:rPr>
          <w:rFonts w:hint="eastAsia" w:ascii="宋体" w:hAnsi="宋体" w:eastAsia="宋体"/>
          <w:b/>
          <w:bCs/>
          <w:color w:val="auto"/>
          <w:sz w:val="24"/>
          <w:highlight w:val="none"/>
          <w:u w:val="single"/>
        </w:rPr>
        <w:t>；</w:t>
      </w:r>
    </w:p>
    <w:p w14:paraId="60CF427D">
      <w:pPr>
        <w:adjustRightInd w:val="0"/>
        <w:snapToGrid w:val="0"/>
        <w:spacing w:line="360" w:lineRule="auto"/>
        <w:ind w:firstLine="480" w:firstLineChars="200"/>
        <w:outlineLvl w:val="1"/>
        <w:rPr>
          <w:rFonts w:hint="eastAsia" w:ascii="宋体" w:hAnsi="宋体" w:eastAsia="宋体"/>
          <w:color w:val="auto"/>
          <w:sz w:val="24"/>
          <w:highlight w:val="none"/>
        </w:rPr>
      </w:pPr>
      <w:r>
        <w:rPr>
          <w:rFonts w:hint="eastAsia" w:ascii="宋体" w:hAnsi="宋体" w:eastAsia="宋体" w:cs="宋体"/>
          <w:snapToGrid/>
          <w:color w:val="auto"/>
          <w:kern w:val="2"/>
          <w:sz w:val="24"/>
          <w:highlight w:val="none"/>
        </w:rPr>
        <w:t>（2）供应商须具有</w:t>
      </w:r>
      <w:r>
        <w:rPr>
          <w:rFonts w:hint="eastAsia" w:ascii="宋体" w:hAnsi="宋体" w:eastAsia="宋体"/>
          <w:color w:val="auto"/>
          <w:sz w:val="24"/>
          <w:highlight w:val="none"/>
        </w:rPr>
        <w:t>有效的安全生产许可证；</w:t>
      </w:r>
    </w:p>
    <w:p w14:paraId="0A369AB8">
      <w:pPr>
        <w:adjustRightInd w:val="0"/>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olor w:val="auto"/>
          <w:kern w:val="2"/>
          <w:sz w:val="24"/>
          <w:highlight w:val="none"/>
        </w:rPr>
        <w:t>（3）供应商拟派项目</w:t>
      </w:r>
      <w:r>
        <w:rPr>
          <w:rFonts w:hint="eastAsia" w:ascii="宋体" w:hAnsi="宋体" w:eastAsia="宋体"/>
          <w:color w:val="auto"/>
          <w:sz w:val="24"/>
          <w:highlight w:val="none"/>
        </w:rPr>
        <w:t>负责人</w:t>
      </w:r>
      <w:r>
        <w:rPr>
          <w:rFonts w:hint="eastAsia" w:ascii="宋体" w:hAnsi="宋体" w:eastAsia="宋体"/>
          <w:color w:val="auto"/>
          <w:kern w:val="2"/>
          <w:sz w:val="24"/>
          <w:highlight w:val="none"/>
        </w:rPr>
        <w:t>须具有</w:t>
      </w:r>
      <w:r>
        <w:rPr>
          <w:rFonts w:hint="eastAsia" w:ascii="宋体" w:hAnsi="宋体" w:eastAsia="宋体"/>
          <w:color w:val="auto"/>
          <w:kern w:val="2"/>
          <w:sz w:val="24"/>
          <w:highlight w:val="none"/>
          <w:u w:val="single"/>
        </w:rPr>
        <w:t>有效的</w:t>
      </w:r>
      <w:r>
        <w:rPr>
          <w:rFonts w:hint="eastAsia" w:ascii="宋体" w:hAnsi="宋体" w:eastAsia="宋体" w:cs="宋体"/>
          <w:color w:val="auto"/>
          <w:sz w:val="24"/>
          <w:highlight w:val="none"/>
          <w:u w:val="single"/>
        </w:rPr>
        <w:t>机电工程专业贰级及以上的</w:t>
      </w:r>
      <w:r>
        <w:rPr>
          <w:rFonts w:hint="eastAsia" w:ascii="宋体" w:hAnsi="宋体" w:eastAsia="宋体"/>
          <w:color w:val="auto"/>
          <w:sz w:val="24"/>
          <w:highlight w:val="none"/>
          <w:u w:val="single"/>
        </w:rPr>
        <w:t>注册建造师资格，同时具有安全生产考核合格证（B证）</w:t>
      </w:r>
      <w:r>
        <w:rPr>
          <w:rFonts w:hint="eastAsia" w:ascii="宋体" w:hAnsi="宋体" w:eastAsia="宋体"/>
          <w:color w:val="auto"/>
          <w:sz w:val="24"/>
          <w:highlight w:val="none"/>
        </w:rPr>
        <w:t>，且不得为企业法定代表人，且</w:t>
      </w:r>
      <w:r>
        <w:rPr>
          <w:rFonts w:hint="eastAsia" w:ascii="宋体" w:hAnsi="宋体" w:eastAsia="宋体" w:cs="宋体"/>
          <w:color w:val="auto"/>
          <w:sz w:val="24"/>
          <w:highlight w:val="none"/>
        </w:rPr>
        <w:t>拟派项目负责人必须为供应商的正式员工。须同时提供：①供应商与其双方签订的有效劳动合同书复印件或扫描件；②社保机构出具并盖章的供应商为其缴纳的2025年9月-2025年11月任意一个月</w:t>
      </w:r>
      <w:r>
        <w:rPr>
          <w:rFonts w:ascii="宋体" w:hAnsi="宋体" w:eastAsia="宋体" w:cs="宋体"/>
          <w:color w:val="auto"/>
          <w:sz w:val="24"/>
          <w:highlight w:val="none"/>
        </w:rPr>
        <w:t>的社会保险缴费清单</w:t>
      </w:r>
      <w:r>
        <w:rPr>
          <w:rFonts w:hint="eastAsia" w:ascii="宋体" w:hAnsi="宋体" w:eastAsia="宋体" w:cs="宋体"/>
          <w:color w:val="auto"/>
          <w:sz w:val="24"/>
          <w:highlight w:val="none"/>
        </w:rPr>
        <w:t>（可提供官网打印的具有二维码或验证码的缴费清单）。</w:t>
      </w:r>
    </w:p>
    <w:p w14:paraId="6BDA2822">
      <w:pPr>
        <w:adjustRightInd w:val="0"/>
        <w:snapToGrid w:val="0"/>
        <w:spacing w:line="360" w:lineRule="auto"/>
        <w:ind w:firstLine="480" w:firstLineChars="200"/>
        <w:outlineLvl w:val="1"/>
        <w:rPr>
          <w:rFonts w:hint="eastAsia" w:ascii="宋体" w:hAnsi="宋体" w:eastAsia="宋体" w:cs="宋体"/>
          <w:snapToGrid/>
          <w:color w:val="auto"/>
          <w:kern w:val="2"/>
          <w:sz w:val="24"/>
          <w:highlight w:val="none"/>
        </w:rPr>
      </w:pPr>
      <w:r>
        <w:rPr>
          <w:rFonts w:hint="eastAsia" w:ascii="宋体" w:hAnsi="宋体" w:eastAsia="宋体"/>
          <w:color w:val="auto"/>
          <w:kern w:val="2"/>
          <w:sz w:val="24"/>
          <w:highlight w:val="none"/>
        </w:rPr>
        <w:t>（4）</w:t>
      </w:r>
      <w:bookmarkStart w:id="7" w:name="_Hlk203555890"/>
      <w:r>
        <w:rPr>
          <w:rFonts w:hint="eastAsia" w:ascii="宋体" w:hAnsi="宋体" w:eastAsia="宋体" w:cs="宋体"/>
          <w:snapToGrid/>
          <w:color w:val="auto"/>
          <w:kern w:val="2"/>
          <w:sz w:val="24"/>
          <w:highlight w:val="none"/>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14:paraId="2B428F66">
      <w:pPr>
        <w:adjustRightInd w:val="0"/>
        <w:snapToGrid w:val="0"/>
        <w:spacing w:line="4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4"/>
    <w:bookmarkEnd w:id="7"/>
    <w:p w14:paraId="3383F706">
      <w:pPr>
        <w:pStyle w:val="5"/>
        <w:keepNext w:val="0"/>
        <w:keepLines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14:paraId="68A87925">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r>
        <w:rPr>
          <w:rFonts w:hint="eastAsia" w:ascii="宋体" w:hAnsi="宋体" w:eastAsia="宋体" w:cs="宋体"/>
          <w:color w:val="auto"/>
          <w:sz w:val="24"/>
          <w:highlight w:val="none"/>
          <w:u w:val="single" w:color="000000"/>
        </w:rPr>
        <w:t>自本公告发布之日起</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color="000000"/>
        </w:rPr>
        <w:t>202</w:t>
      </w:r>
      <w:r>
        <w:rPr>
          <w:rFonts w:hint="eastAsia" w:ascii="宋体" w:hAnsi="宋体" w:eastAsia="宋体" w:cs="宋体"/>
          <w:color w:val="auto"/>
          <w:sz w:val="24"/>
          <w:highlight w:val="none"/>
          <w:u w:val="single" w:color="000000"/>
          <w:lang w:val="en-US" w:eastAsia="zh-CN"/>
        </w:rPr>
        <w:t>6</w:t>
      </w:r>
      <w:r>
        <w:rPr>
          <w:rFonts w:hint="eastAsia" w:ascii="宋体" w:hAnsi="宋体" w:eastAsia="宋体" w:cs="宋体"/>
          <w:color w:val="auto"/>
          <w:sz w:val="24"/>
          <w:highlight w:val="none"/>
          <w:u w:val="single" w:color="000000"/>
        </w:rPr>
        <w:t>年</w:t>
      </w:r>
      <w:r>
        <w:rPr>
          <w:rFonts w:hint="eastAsia" w:ascii="宋体" w:hAnsi="宋体" w:eastAsia="宋体" w:cs="宋体"/>
          <w:color w:val="auto"/>
          <w:sz w:val="24"/>
          <w:highlight w:val="none"/>
          <w:u w:val="single" w:color="000000"/>
          <w:lang w:val="en-US" w:eastAsia="zh-CN"/>
        </w:rPr>
        <w:t>01</w:t>
      </w:r>
      <w:r>
        <w:rPr>
          <w:rFonts w:hint="eastAsia" w:ascii="宋体" w:hAnsi="宋体" w:eastAsia="宋体" w:cs="宋体"/>
          <w:color w:val="auto"/>
          <w:sz w:val="24"/>
          <w:highlight w:val="none"/>
          <w:u w:val="single" w:color="000000"/>
        </w:rPr>
        <w:t>月</w:t>
      </w:r>
      <w:r>
        <w:rPr>
          <w:rFonts w:hint="eastAsia" w:ascii="宋体" w:hAnsi="宋体" w:eastAsia="宋体" w:cs="宋体"/>
          <w:color w:val="auto"/>
          <w:sz w:val="24"/>
          <w:highlight w:val="none"/>
          <w:u w:val="single" w:color="000000"/>
          <w:lang w:val="en-US" w:eastAsia="zh-CN"/>
        </w:rPr>
        <w:t>05</w:t>
      </w:r>
      <w:r>
        <w:rPr>
          <w:rFonts w:hint="eastAsia" w:ascii="宋体" w:hAnsi="宋体" w:eastAsia="宋体" w:cs="宋体"/>
          <w:color w:val="auto"/>
          <w:sz w:val="24"/>
          <w:highlight w:val="none"/>
          <w:u w:val="single" w:color="000000"/>
        </w:rPr>
        <w:t>日</w:t>
      </w:r>
    </w:p>
    <w:p w14:paraId="223C63B9">
      <w:pPr>
        <w:snapToGrid w:val="0"/>
        <w:spacing w:line="360" w:lineRule="auto"/>
        <w:ind w:firstLine="480" w:firstLineChars="200"/>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rPr>
        <w:t>地  点：</w:t>
      </w:r>
      <w:r>
        <w:rPr>
          <w:rFonts w:hint="eastAsia" w:ascii="宋体" w:hAnsi="宋体" w:eastAsia="宋体" w:cs="宋体"/>
          <w:snapToGrid/>
          <w:color w:val="auto"/>
          <w:kern w:val="2"/>
          <w:sz w:val="24"/>
          <w:highlight w:val="none"/>
          <w:u w:val="single"/>
        </w:rPr>
        <w:t>有意愿参与本项目竞争性磋商响应的供应商，请于本公告发布日起至磋商响应文件递交截止时间前，到“南通市机关事务管理局网（http://jgsw.nantong.gov.cn/）-公告公示”栏下载本项目的竞争性磋商文件。</w:t>
      </w:r>
    </w:p>
    <w:p w14:paraId="01CA7D8A">
      <w:pPr>
        <w:snapToGrid w:val="0"/>
        <w:spacing w:line="360" w:lineRule="auto"/>
        <w:ind w:firstLine="480" w:firstLineChars="200"/>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rPr>
        <w:t>方  式：自行下载。</w:t>
      </w:r>
    </w:p>
    <w:p w14:paraId="503EB5A1">
      <w:pPr>
        <w:pStyle w:val="5"/>
        <w:keepNext w:val="0"/>
        <w:keepLines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四、提交响应文件截止时间、磋商时间和地点</w:t>
      </w:r>
    </w:p>
    <w:p w14:paraId="10CAB88F">
      <w:pPr>
        <w:snapToGrid w:val="0"/>
        <w:spacing w:line="360" w:lineRule="auto"/>
        <w:ind w:firstLine="480" w:firstLineChars="200"/>
        <w:textAlignment w:val="baseline"/>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时间：</w:t>
      </w:r>
      <w:bookmarkStart w:id="8" w:name="OLE_LINK37"/>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color="000000"/>
        </w:rPr>
        <w:t>202</w:t>
      </w:r>
      <w:r>
        <w:rPr>
          <w:rFonts w:hint="eastAsia" w:ascii="宋体" w:hAnsi="宋体" w:eastAsia="宋体" w:cs="宋体"/>
          <w:color w:val="auto"/>
          <w:sz w:val="24"/>
          <w:highlight w:val="none"/>
          <w:u w:val="single" w:color="000000"/>
          <w:lang w:val="en-US" w:eastAsia="zh-CN"/>
        </w:rPr>
        <w:t>6</w:t>
      </w:r>
      <w:r>
        <w:rPr>
          <w:rFonts w:hint="eastAsia" w:ascii="宋体" w:hAnsi="宋体" w:eastAsia="宋体" w:cs="宋体"/>
          <w:color w:val="auto"/>
          <w:sz w:val="24"/>
          <w:highlight w:val="none"/>
          <w:u w:val="single" w:color="000000"/>
        </w:rPr>
        <w:t>年</w:t>
      </w:r>
      <w:r>
        <w:rPr>
          <w:rFonts w:hint="eastAsia" w:ascii="宋体" w:hAnsi="宋体" w:eastAsia="宋体" w:cs="宋体"/>
          <w:color w:val="auto"/>
          <w:sz w:val="24"/>
          <w:highlight w:val="none"/>
          <w:u w:val="single" w:color="000000"/>
          <w:lang w:val="en-US" w:eastAsia="zh-CN"/>
        </w:rPr>
        <w:t>01</w:t>
      </w:r>
      <w:r>
        <w:rPr>
          <w:rFonts w:hint="eastAsia" w:ascii="宋体" w:hAnsi="宋体" w:eastAsia="宋体" w:cs="宋体"/>
          <w:color w:val="auto"/>
          <w:sz w:val="24"/>
          <w:highlight w:val="none"/>
          <w:u w:val="single" w:color="000000"/>
        </w:rPr>
        <w:t>月</w:t>
      </w:r>
      <w:r>
        <w:rPr>
          <w:rFonts w:hint="eastAsia" w:ascii="宋体" w:hAnsi="宋体" w:eastAsia="宋体" w:cs="宋体"/>
          <w:color w:val="auto"/>
          <w:sz w:val="24"/>
          <w:highlight w:val="none"/>
          <w:u w:val="single" w:color="000000"/>
          <w:lang w:val="en-US" w:eastAsia="zh-CN"/>
        </w:rPr>
        <w:t>05</w:t>
      </w:r>
      <w:r>
        <w:rPr>
          <w:rFonts w:hint="eastAsia" w:ascii="宋体" w:hAnsi="宋体" w:eastAsia="宋体" w:cs="宋体"/>
          <w:color w:val="auto"/>
          <w:sz w:val="24"/>
          <w:highlight w:val="none"/>
          <w:u w:val="single" w:color="000000"/>
        </w:rPr>
        <w:t>日14</w:t>
      </w:r>
      <w:r>
        <w:rPr>
          <w:rFonts w:hint="eastAsia" w:ascii="宋体" w:hAnsi="宋体" w:eastAsia="宋体" w:cs="宋体"/>
          <w:bCs/>
          <w:color w:val="auto"/>
          <w:sz w:val="24"/>
          <w:highlight w:val="none"/>
          <w:u w:val="single"/>
        </w:rPr>
        <w:t>时00分00秒</w:t>
      </w:r>
      <w:bookmarkEnd w:id="8"/>
      <w:r>
        <w:rPr>
          <w:rFonts w:hint="eastAsia" w:ascii="宋体" w:hAnsi="宋体" w:eastAsia="宋体" w:cs="宋体"/>
          <w:bCs/>
          <w:color w:val="auto"/>
          <w:sz w:val="24"/>
          <w:highlight w:val="none"/>
        </w:rPr>
        <w:t>（北京时间），逾时，采购单位将拒绝接受其响应文件。</w:t>
      </w:r>
    </w:p>
    <w:p w14:paraId="4C1712FA">
      <w:p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地点： </w:t>
      </w:r>
      <w:r>
        <w:rPr>
          <w:rFonts w:hint="eastAsia" w:ascii="宋体" w:hAnsi="宋体" w:eastAsia="宋体" w:cs="宋体"/>
          <w:color w:val="auto"/>
          <w:sz w:val="24"/>
          <w:highlight w:val="none"/>
          <w:u w:val="single" w:color="000000"/>
        </w:rPr>
        <w:t>南通市崇川区北大街108号金域商业中心1幢8楼北区（宏信天德工程顾问有限公司开标室），如有变动另行通知。</w:t>
      </w:r>
    </w:p>
    <w:p w14:paraId="2C3FD02C">
      <w:pPr>
        <w:pStyle w:val="5"/>
        <w:keepNext w:val="0"/>
        <w:keepLines w:val="0"/>
        <w:snapToGrid w:val="0"/>
        <w:spacing w:before="0" w:after="0" w:line="360" w:lineRule="auto"/>
        <w:ind w:firstLine="482" w:firstLineChars="200"/>
        <w:rPr>
          <w:rFonts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rPr>
        <w:t>响应文件的开启</w:t>
      </w:r>
    </w:p>
    <w:p w14:paraId="2721E92D">
      <w:pPr>
        <w:snapToGrid w:val="0"/>
        <w:spacing w:line="360" w:lineRule="auto"/>
        <w:ind w:firstLine="480" w:firstLineChars="200"/>
        <w:textAlignment w:val="baseline"/>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 xml:space="preserve">时  间： </w:t>
      </w:r>
      <w:r>
        <w:rPr>
          <w:rFonts w:hint="eastAsia" w:ascii="宋体" w:hAnsi="宋体" w:eastAsia="宋体" w:cs="宋体"/>
          <w:color w:val="auto"/>
          <w:sz w:val="24"/>
          <w:highlight w:val="none"/>
          <w:u w:val="single" w:color="000000"/>
        </w:rPr>
        <w:t>202</w:t>
      </w:r>
      <w:r>
        <w:rPr>
          <w:rFonts w:hint="eastAsia" w:ascii="宋体" w:hAnsi="宋体" w:eastAsia="宋体" w:cs="宋体"/>
          <w:color w:val="auto"/>
          <w:sz w:val="24"/>
          <w:highlight w:val="none"/>
          <w:u w:val="single" w:color="000000"/>
          <w:lang w:val="en-US" w:eastAsia="zh-CN"/>
        </w:rPr>
        <w:t>6</w:t>
      </w:r>
      <w:r>
        <w:rPr>
          <w:rFonts w:hint="eastAsia" w:ascii="宋体" w:hAnsi="宋体" w:eastAsia="宋体" w:cs="宋体"/>
          <w:color w:val="auto"/>
          <w:sz w:val="24"/>
          <w:highlight w:val="none"/>
          <w:u w:val="single" w:color="000000"/>
        </w:rPr>
        <w:t>年</w:t>
      </w:r>
      <w:r>
        <w:rPr>
          <w:rFonts w:hint="eastAsia" w:ascii="宋体" w:hAnsi="宋体" w:eastAsia="宋体" w:cs="宋体"/>
          <w:color w:val="auto"/>
          <w:sz w:val="24"/>
          <w:highlight w:val="none"/>
          <w:u w:val="single" w:color="000000"/>
          <w:lang w:val="en-US" w:eastAsia="zh-CN"/>
        </w:rPr>
        <w:t>01</w:t>
      </w:r>
      <w:r>
        <w:rPr>
          <w:rFonts w:hint="eastAsia" w:ascii="宋体" w:hAnsi="宋体" w:eastAsia="宋体" w:cs="宋体"/>
          <w:color w:val="auto"/>
          <w:sz w:val="24"/>
          <w:highlight w:val="none"/>
          <w:u w:val="single" w:color="000000"/>
        </w:rPr>
        <w:t>月</w:t>
      </w:r>
      <w:r>
        <w:rPr>
          <w:rFonts w:hint="eastAsia" w:ascii="宋体" w:hAnsi="宋体" w:eastAsia="宋体" w:cs="宋体"/>
          <w:color w:val="auto"/>
          <w:sz w:val="24"/>
          <w:highlight w:val="none"/>
          <w:u w:val="single" w:color="000000"/>
          <w:lang w:val="en-US" w:eastAsia="zh-CN"/>
        </w:rPr>
        <w:t>05</w:t>
      </w:r>
      <w:r>
        <w:rPr>
          <w:rFonts w:hint="eastAsia" w:ascii="宋体" w:hAnsi="宋体" w:eastAsia="宋体" w:cs="宋体"/>
          <w:color w:val="auto"/>
          <w:sz w:val="24"/>
          <w:highlight w:val="none"/>
          <w:u w:val="single" w:color="000000"/>
        </w:rPr>
        <w:t>日14</w:t>
      </w:r>
      <w:r>
        <w:rPr>
          <w:rFonts w:hint="eastAsia" w:ascii="宋体" w:hAnsi="宋体" w:eastAsia="宋体" w:cs="宋体"/>
          <w:bCs/>
          <w:color w:val="auto"/>
          <w:sz w:val="24"/>
          <w:highlight w:val="none"/>
          <w:u w:val="single"/>
        </w:rPr>
        <w:t>时00分00秒</w:t>
      </w:r>
      <w:r>
        <w:rPr>
          <w:rFonts w:hint="eastAsia" w:ascii="宋体" w:hAnsi="宋体" w:eastAsia="宋体" w:cs="宋体"/>
          <w:bCs/>
          <w:color w:val="auto"/>
          <w:sz w:val="24"/>
          <w:highlight w:val="none"/>
        </w:rPr>
        <w:t>（北京时间）</w:t>
      </w:r>
    </w:p>
    <w:p w14:paraId="5AFB17DF">
      <w:pPr>
        <w:pStyle w:val="5"/>
        <w:keepNext w:val="0"/>
        <w:keepLines w:val="0"/>
        <w:adjustRightInd w:val="0"/>
        <w:snapToGrid w:val="0"/>
        <w:spacing w:before="0" w:after="0" w:line="360" w:lineRule="auto"/>
        <w:ind w:left="482"/>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地  点： </w:t>
      </w:r>
      <w:r>
        <w:rPr>
          <w:rFonts w:hint="eastAsia" w:ascii="宋体" w:hAnsi="宋体" w:eastAsia="宋体" w:cs="宋体"/>
          <w:b w:val="0"/>
          <w:bCs w:val="0"/>
          <w:color w:val="auto"/>
          <w:sz w:val="24"/>
          <w:szCs w:val="24"/>
          <w:highlight w:val="none"/>
          <w:u w:val="single" w:color="000000"/>
        </w:rPr>
        <w:t>南通市崇川区北大街108号金域商业中心1幢8楼北区（宏信天德工程顾问有限公司开标室），如有变动另行通知。</w:t>
      </w:r>
    </w:p>
    <w:p w14:paraId="6DCFAC83">
      <w:pPr>
        <w:pStyle w:val="5"/>
        <w:keepNext w:val="0"/>
        <w:keepLines w:val="0"/>
        <w:adjustRightInd w:val="0"/>
        <w:snapToGrid w:val="0"/>
        <w:spacing w:before="0" w:after="0" w:line="360" w:lineRule="auto"/>
        <w:ind w:left="482"/>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sz w:val="24"/>
          <w:szCs w:val="24"/>
          <w:highlight w:val="none"/>
        </w:rPr>
        <w:t>公告期限</w:t>
      </w:r>
    </w:p>
    <w:p w14:paraId="531A0A03">
      <w:p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自本公告发布之日起3个工作日。</w:t>
      </w:r>
    </w:p>
    <w:p w14:paraId="28FEE8A3">
      <w:pPr>
        <w:adjustRightInd w:val="0"/>
        <w:snapToGrid w:val="0"/>
        <w:spacing w:line="360" w:lineRule="auto"/>
        <w:ind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color w:val="auto"/>
          <w:sz w:val="24"/>
          <w:highlight w:val="none"/>
        </w:rPr>
        <w:t>其他补充事宜：</w:t>
      </w:r>
    </w:p>
    <w:p w14:paraId="562F7CFF">
      <w:pPr>
        <w:numPr>
          <w:ilvl w:val="0"/>
          <w:numId w:val="3"/>
        </w:numPr>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磋商保证金：免收。</w:t>
      </w:r>
    </w:p>
    <w:p w14:paraId="76DB1CEC">
      <w:pPr>
        <w:numPr>
          <w:ilvl w:val="0"/>
          <w:numId w:val="3"/>
        </w:numPr>
        <w:adjustRightInd w:val="0"/>
        <w:snapToGrid w:val="0"/>
        <w:spacing w:line="360" w:lineRule="auto"/>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项目磋商活动模式：现场磋商模式，供应商须参加现场磋商活动。</w:t>
      </w:r>
    </w:p>
    <w:p w14:paraId="4EF18537">
      <w:pPr>
        <w:numPr>
          <w:ilvl w:val="0"/>
          <w:numId w:val="3"/>
        </w:numPr>
        <w:adjustRightInd w:val="0"/>
        <w:snapToGrid w:val="0"/>
        <w:spacing w:line="360" w:lineRule="auto"/>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项目演示、样品、答辩等：无。</w:t>
      </w:r>
    </w:p>
    <w:p w14:paraId="22907602">
      <w:pPr>
        <w:numPr>
          <w:ilvl w:val="0"/>
          <w:numId w:val="3"/>
        </w:numP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对项目需求部分（供应商资格要求、项目需求、商务技术评分标准）的询问、质疑请向采购单位提出，由采购单位负责答复；对项目磋商文件其它部分的询问请向磋商代理机构提出。</w:t>
      </w:r>
    </w:p>
    <w:p w14:paraId="1B0BFB34">
      <w:pPr>
        <w:numPr>
          <w:ilvl w:val="0"/>
          <w:numId w:val="3"/>
        </w:numP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5B0B084">
      <w:pPr>
        <w:adjustRightInd w:val="0"/>
        <w:snapToGrid w:val="0"/>
        <w:spacing w:line="360" w:lineRule="auto"/>
        <w:ind w:left="482"/>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八、凡对本次采购提出询问，请按以下方式联系。</w:t>
      </w:r>
    </w:p>
    <w:p w14:paraId="56707B63">
      <w:pPr>
        <w:numPr>
          <w:ilvl w:val="0"/>
          <w:numId w:val="4"/>
        </w:num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采购单位信息</w:t>
      </w:r>
    </w:p>
    <w:p w14:paraId="343A7116">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名    称：南通市机关事务管理局</w:t>
      </w:r>
    </w:p>
    <w:p w14:paraId="411136F4">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地    址：南通市世纪大道6号</w:t>
      </w:r>
    </w:p>
    <w:p w14:paraId="4C75FFF0">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 系 人：张先生</w:t>
      </w:r>
      <w:r>
        <w:rPr>
          <w:rFonts w:ascii="宋体" w:hAnsi="宋体" w:eastAsia="宋体" w:cs="宋体"/>
          <w:snapToGrid/>
          <w:color w:val="auto"/>
          <w:kern w:val="2"/>
          <w:sz w:val="24"/>
          <w:highlight w:val="none"/>
        </w:rPr>
        <w:t xml:space="preserve"> </w:t>
      </w:r>
    </w:p>
    <w:p w14:paraId="65E87719">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联系电话：</w:t>
      </w:r>
      <w:r>
        <w:rPr>
          <w:rFonts w:hint="eastAsia" w:ascii="宋体" w:hAnsi="宋体" w:eastAsia="宋体" w:cs="宋体"/>
          <w:snapToGrid/>
          <w:color w:val="auto"/>
          <w:kern w:val="2"/>
          <w:sz w:val="24"/>
          <w:szCs w:val="21"/>
          <w:highlight w:val="none"/>
        </w:rPr>
        <w:t>0513-85216696</w:t>
      </w:r>
    </w:p>
    <w:p w14:paraId="222DDCEA">
      <w:pPr>
        <w:numPr>
          <w:ilvl w:val="0"/>
          <w:numId w:val="5"/>
        </w:num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采购代理机构信息</w:t>
      </w:r>
    </w:p>
    <w:p w14:paraId="5480C6E3">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名    称：宏信天德工程顾问有限公司</w:t>
      </w:r>
    </w:p>
    <w:p w14:paraId="6B5AD00C">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地    址：南通市崇川区北大街108号金域商业中心1幢8楼北区</w:t>
      </w:r>
    </w:p>
    <w:p w14:paraId="15EC578B">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 系 人：</w:t>
      </w:r>
      <w:r>
        <w:rPr>
          <w:rFonts w:hint="eastAsia" w:ascii="宋体" w:hAnsi="宋体" w:eastAsia="宋体" w:cs="宋体"/>
          <w:snapToGrid/>
          <w:color w:val="auto"/>
          <w:kern w:val="2"/>
          <w:sz w:val="24"/>
          <w:szCs w:val="21"/>
          <w:highlight w:val="none"/>
        </w:rPr>
        <w:t>董安国</w:t>
      </w:r>
    </w:p>
    <w:p w14:paraId="26E73AA7">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联系电话：</w:t>
      </w:r>
      <w:r>
        <w:rPr>
          <w:rFonts w:hint="eastAsia" w:ascii="宋体" w:hAnsi="宋体" w:eastAsia="宋体" w:cs="宋体"/>
          <w:snapToGrid/>
          <w:color w:val="auto"/>
          <w:kern w:val="2"/>
          <w:sz w:val="24"/>
          <w:szCs w:val="21"/>
          <w:highlight w:val="none"/>
        </w:rPr>
        <w:t>18912299056</w:t>
      </w:r>
    </w:p>
    <w:p w14:paraId="0FC1D344">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3.项目联系方式</w:t>
      </w:r>
    </w:p>
    <w:p w14:paraId="19D28CD4">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联 系 人：张先生</w:t>
      </w:r>
    </w:p>
    <w:p w14:paraId="3D71728A">
      <w:pPr>
        <w:adjustRightInd w:val="0"/>
        <w:snapToGrid w:val="0"/>
        <w:spacing w:line="360" w:lineRule="auto"/>
        <w:ind w:firstLine="480" w:firstLineChars="200"/>
        <w:textAlignment w:val="baseline"/>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highlight w:val="none"/>
        </w:rPr>
        <w:t>联系电话：</w:t>
      </w:r>
      <w:bookmarkStart w:id="9" w:name="OLE_LINK3"/>
      <w:r>
        <w:rPr>
          <w:rFonts w:hint="eastAsia" w:ascii="宋体" w:hAnsi="宋体" w:eastAsia="宋体" w:cs="宋体"/>
          <w:snapToGrid/>
          <w:color w:val="auto"/>
          <w:kern w:val="2"/>
          <w:sz w:val="24"/>
          <w:highlight w:val="none"/>
        </w:rPr>
        <w:t>0513-85216696</w:t>
      </w:r>
      <w:bookmarkEnd w:id="9"/>
    </w:p>
    <w:p w14:paraId="4443E396">
      <w:pPr>
        <w:adjustRightInd w:val="0"/>
        <w:snapToGrid w:val="0"/>
        <w:spacing w:line="360" w:lineRule="auto"/>
        <w:ind w:firstLine="480" w:firstLineChars="200"/>
        <w:jc w:val="center"/>
        <w:textAlignment w:val="baseline"/>
        <w:rPr>
          <w:rFonts w:hint="eastAsia" w:ascii="宋体" w:hAnsi="宋体" w:eastAsia="宋体" w:cs="宋体"/>
          <w:b/>
          <w:bCs/>
          <w:snapToGrid/>
          <w:color w:val="auto"/>
          <w:w w:val="80"/>
          <w:kern w:val="2"/>
          <w:sz w:val="44"/>
          <w:szCs w:val="44"/>
          <w:highlight w:val="none"/>
        </w:rPr>
      </w:pPr>
      <w:r>
        <w:rPr>
          <w:rFonts w:hint="eastAsia" w:ascii="宋体" w:hAnsi="宋体" w:eastAsia="宋体" w:cs="宋体"/>
          <w:color w:val="auto"/>
          <w:sz w:val="24"/>
          <w:highlight w:val="none"/>
        </w:rPr>
        <w:br w:type="page"/>
      </w:r>
      <w:r>
        <w:rPr>
          <w:rFonts w:hint="eastAsia" w:ascii="宋体" w:hAnsi="宋体" w:eastAsia="宋体" w:cs="宋体"/>
          <w:b/>
          <w:bCs/>
          <w:snapToGrid/>
          <w:color w:val="auto"/>
          <w:w w:val="80"/>
          <w:kern w:val="2"/>
          <w:sz w:val="44"/>
          <w:szCs w:val="44"/>
          <w:highlight w:val="none"/>
        </w:rPr>
        <w:t>第二部分 磋商须知</w:t>
      </w:r>
    </w:p>
    <w:p w14:paraId="7B7EC7F5">
      <w:pPr>
        <w:adjustRightInd w:val="0"/>
        <w:snapToGrid w:val="0"/>
        <w:spacing w:line="360" w:lineRule="auto"/>
        <w:ind w:firstLine="482" w:firstLineChars="200"/>
        <w:outlineLvl w:val="2"/>
        <w:rPr>
          <w:rFonts w:hint="eastAsia" w:ascii="宋体" w:hAnsi="宋体" w:eastAsia="宋体" w:cs="宋体"/>
          <w:b/>
          <w:bCs/>
          <w:color w:val="auto"/>
          <w:sz w:val="24"/>
          <w:highlight w:val="none"/>
        </w:rPr>
      </w:pPr>
      <w:bookmarkStart w:id="10" w:name="_Toc363573855"/>
      <w:bookmarkStart w:id="11" w:name="_Toc11554640"/>
      <w:bookmarkStart w:id="12" w:name="_Toc521203419"/>
      <w:bookmarkStart w:id="13" w:name="_Toc94585341"/>
      <w:bookmarkStart w:id="14" w:name="_Toc12670504"/>
      <w:bookmarkStart w:id="15" w:name="_Toc94544745"/>
      <w:bookmarkStart w:id="16" w:name="_Toc11500281"/>
      <w:bookmarkStart w:id="17" w:name="_Toc94544871"/>
      <w:bookmarkStart w:id="18" w:name="_Toc521201598"/>
      <w:bookmarkStart w:id="19" w:name="_Toc8895740"/>
      <w:bookmarkStart w:id="20" w:name="_Toc11499585"/>
      <w:r>
        <w:rPr>
          <w:rFonts w:hint="eastAsia" w:ascii="宋体" w:hAnsi="宋体" w:eastAsia="宋体" w:cs="宋体"/>
          <w:b/>
          <w:bCs/>
          <w:color w:val="auto"/>
          <w:sz w:val="24"/>
          <w:highlight w:val="none"/>
        </w:rPr>
        <w:t>一、总则</w:t>
      </w:r>
    </w:p>
    <w:p w14:paraId="49C9F35F">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21" w:name="_Hlt16619475"/>
      <w:bookmarkEnd w:id="21"/>
      <w:bookmarkStart w:id="22" w:name="_Toc458694821"/>
      <w:bookmarkStart w:id="23" w:name="_Toc20823276"/>
      <w:bookmarkStart w:id="24" w:name="_Toc16938520"/>
      <w:bookmarkStart w:id="25" w:name="_Toc513029204"/>
      <w:r>
        <w:rPr>
          <w:rFonts w:hint="eastAsia" w:ascii="宋体" w:hAnsi="宋体" w:eastAsia="宋体" w:cs="宋体"/>
          <w:color w:val="auto"/>
          <w:sz w:val="24"/>
          <w:highlight w:val="none"/>
        </w:rPr>
        <w:t>1</w:t>
      </w:r>
      <w:bookmarkEnd w:id="22"/>
      <w:r>
        <w:rPr>
          <w:rFonts w:hint="eastAsia" w:ascii="宋体" w:hAnsi="宋体" w:eastAsia="宋体" w:cs="宋体"/>
          <w:color w:val="auto"/>
          <w:sz w:val="24"/>
          <w:highlight w:val="none"/>
        </w:rPr>
        <w:t>、采购方式</w:t>
      </w:r>
      <w:bookmarkEnd w:id="23"/>
      <w:bookmarkEnd w:id="24"/>
      <w:bookmarkEnd w:id="25"/>
    </w:p>
    <w:p w14:paraId="638A569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本次采取竞争性磋商方式，本磋商文件仅适用于采购邀请中所述项目。</w:t>
      </w:r>
    </w:p>
    <w:p w14:paraId="4D296302">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26" w:name="_Toc20823277"/>
      <w:bookmarkStart w:id="27" w:name="_Toc513029205"/>
      <w:bookmarkStart w:id="28" w:name="_Toc16938521"/>
      <w:r>
        <w:rPr>
          <w:rFonts w:hint="eastAsia" w:ascii="宋体" w:hAnsi="宋体" w:eastAsia="宋体" w:cs="宋体"/>
          <w:color w:val="auto"/>
          <w:sz w:val="24"/>
          <w:highlight w:val="none"/>
        </w:rPr>
        <w:t>2、合格的</w:t>
      </w:r>
      <w:bookmarkEnd w:id="26"/>
      <w:bookmarkEnd w:id="27"/>
      <w:bookmarkEnd w:id="28"/>
      <w:r>
        <w:rPr>
          <w:rFonts w:hint="eastAsia" w:ascii="宋体" w:hAnsi="宋体" w:eastAsia="宋体" w:cs="宋体"/>
          <w:color w:val="auto"/>
          <w:sz w:val="24"/>
          <w:highlight w:val="none"/>
        </w:rPr>
        <w:t>供应商</w:t>
      </w:r>
    </w:p>
    <w:p w14:paraId="47C810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2.1满足采购邀请中供应商的资格要求的规定。</w:t>
      </w:r>
    </w:p>
    <w:p w14:paraId="61292C1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满足本文件实质性条款的规定。</w:t>
      </w:r>
    </w:p>
    <w:p w14:paraId="038E03F8">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29" w:name="_Toc16938522"/>
      <w:bookmarkStart w:id="30" w:name="_Toc20823278"/>
      <w:bookmarkStart w:id="31" w:name="_Toc513029206"/>
      <w:r>
        <w:rPr>
          <w:rFonts w:hint="eastAsia" w:ascii="宋体" w:hAnsi="宋体" w:eastAsia="宋体" w:cs="宋体"/>
          <w:color w:val="auto"/>
          <w:sz w:val="24"/>
          <w:highlight w:val="none"/>
        </w:rPr>
        <w:t>3、适用法律</w:t>
      </w:r>
      <w:bookmarkEnd w:id="29"/>
      <w:bookmarkEnd w:id="30"/>
      <w:bookmarkEnd w:id="31"/>
    </w:p>
    <w:p w14:paraId="7A3AF3B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本次采购及由此产生的合同受中华人民共和国有关的法律法规制约和保护。</w:t>
      </w:r>
    </w:p>
    <w:p w14:paraId="42A5B822">
      <w:pPr>
        <w:adjustRightInd w:val="0"/>
        <w:snapToGrid w:val="0"/>
        <w:spacing w:line="360" w:lineRule="auto"/>
        <w:ind w:firstLine="480" w:firstLineChars="200"/>
        <w:outlineLvl w:val="3"/>
        <w:rPr>
          <w:rFonts w:hint="eastAsia" w:ascii="宋体" w:hAnsi="宋体" w:eastAsia="宋体" w:cs="宋体"/>
          <w:color w:val="auto"/>
          <w:sz w:val="24"/>
          <w:highlight w:val="none"/>
        </w:rPr>
      </w:pPr>
      <w:bookmarkStart w:id="32" w:name="_Toc20823279"/>
      <w:bookmarkStart w:id="33" w:name="_Toc16938523"/>
      <w:bookmarkStart w:id="34" w:name="_Toc462564067"/>
      <w:bookmarkStart w:id="35" w:name="_Toc513029207"/>
      <w:r>
        <w:rPr>
          <w:rFonts w:hint="eastAsia" w:ascii="宋体" w:hAnsi="宋体" w:eastAsia="宋体" w:cs="宋体"/>
          <w:color w:val="auto"/>
          <w:sz w:val="24"/>
          <w:highlight w:val="none"/>
        </w:rPr>
        <w:t>4、磋商费用</w:t>
      </w:r>
      <w:bookmarkEnd w:id="32"/>
      <w:bookmarkEnd w:id="33"/>
      <w:bookmarkEnd w:id="34"/>
      <w:bookmarkEnd w:id="35"/>
    </w:p>
    <w:p w14:paraId="6A95D0C8">
      <w:pPr>
        <w:adjustRightInd w:val="0"/>
        <w:snapToGrid w:val="0"/>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bCs/>
          <w:color w:val="auto"/>
          <w:sz w:val="24"/>
          <w:highlight w:val="none"/>
        </w:rPr>
        <w:t>4.1</w:t>
      </w:r>
      <w:r>
        <w:rPr>
          <w:rFonts w:hint="eastAsia" w:ascii="宋体" w:hAnsi="宋体" w:eastAsia="宋体" w:cs="宋体"/>
          <w:color w:val="auto"/>
          <w:sz w:val="24"/>
          <w:highlight w:val="none"/>
        </w:rPr>
        <w:t xml:space="preserve"> 供应商应自行承担所有与参加磋商有关的费用，无论磋商过程中的做法和结果如何，采购单位和采购代理机构在任何情况下均无义务和责任承担这些费用。</w:t>
      </w:r>
    </w:p>
    <w:p w14:paraId="10778018">
      <w:pPr>
        <w:adjustRightInd w:val="0"/>
        <w:snapToGrid w:val="0"/>
        <w:spacing w:line="360" w:lineRule="auto"/>
        <w:ind w:firstLine="480" w:firstLineChars="200"/>
        <w:outlineLvl w:val="3"/>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5、磋商文件的约束力</w:t>
      </w:r>
    </w:p>
    <w:p w14:paraId="5379E0B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w:t>
      </w:r>
      <w:r>
        <w:rPr>
          <w:rFonts w:hint="eastAsia" w:ascii="宋体" w:hAnsi="宋体" w:eastAsia="宋体" w:cs="宋体"/>
          <w:color w:val="auto"/>
          <w:sz w:val="24"/>
          <w:highlight w:val="none"/>
        </w:rPr>
        <w:t xml:space="preserve"> 供应商一旦参加本项目采购活动，即被认为接受了本磋商文件的规定和约束。</w:t>
      </w:r>
    </w:p>
    <w:p w14:paraId="05AF0868">
      <w:pPr>
        <w:adjustRightInd w:val="0"/>
        <w:snapToGrid w:val="0"/>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6、磋商文件的解释</w:t>
      </w:r>
    </w:p>
    <w:p w14:paraId="26E220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color w:val="auto"/>
          <w:sz w:val="24"/>
          <w:highlight w:val="none"/>
        </w:rPr>
        <w:t>磋商文件需求部分（供应商资格要求、项目需求、商务技术评分标准）由采购单位解释，其它部分由采购代理机构解释。</w:t>
      </w:r>
    </w:p>
    <w:p w14:paraId="4BF92022">
      <w:pPr>
        <w:adjustRightInd w:val="0"/>
        <w:snapToGrid w:val="0"/>
        <w:spacing w:line="360" w:lineRule="auto"/>
        <w:ind w:firstLine="482" w:firstLineChars="200"/>
        <w:outlineLvl w:val="2"/>
        <w:rPr>
          <w:rFonts w:hint="eastAsia" w:ascii="宋体" w:hAnsi="宋体" w:eastAsia="宋体" w:cs="宋体"/>
          <w:b/>
          <w:bCs/>
          <w:color w:val="auto"/>
          <w:sz w:val="24"/>
          <w:highlight w:val="none"/>
        </w:rPr>
      </w:pPr>
      <w:bookmarkStart w:id="36" w:name="_Toc120614215"/>
      <w:bookmarkStart w:id="37" w:name="_Toc20823281"/>
      <w:bookmarkStart w:id="38" w:name="_Toc16938525"/>
      <w:bookmarkStart w:id="39" w:name="_Toc513029209"/>
      <w:r>
        <w:rPr>
          <w:rFonts w:hint="eastAsia" w:ascii="宋体" w:hAnsi="宋体" w:eastAsia="宋体" w:cs="宋体"/>
          <w:b/>
          <w:bCs/>
          <w:color w:val="auto"/>
          <w:sz w:val="24"/>
          <w:highlight w:val="none"/>
        </w:rPr>
        <w:t>二、磋商文件</w:t>
      </w:r>
      <w:bookmarkEnd w:id="36"/>
      <w:bookmarkEnd w:id="37"/>
      <w:bookmarkEnd w:id="38"/>
      <w:bookmarkEnd w:id="39"/>
    </w:p>
    <w:p w14:paraId="2F52A4A0">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40" w:name="_Toc513029210"/>
      <w:bookmarkStart w:id="41" w:name="_Toc16938526"/>
      <w:bookmarkStart w:id="42" w:name="_Toc20823282"/>
      <w:r>
        <w:rPr>
          <w:rFonts w:hint="eastAsia" w:ascii="宋体" w:hAnsi="宋体" w:eastAsia="宋体" w:cs="宋体"/>
          <w:color w:val="auto"/>
          <w:sz w:val="24"/>
          <w:highlight w:val="none"/>
        </w:rPr>
        <w:t>1、磋商文件构成</w:t>
      </w:r>
      <w:bookmarkEnd w:id="40"/>
      <w:bookmarkEnd w:id="41"/>
      <w:bookmarkEnd w:id="42"/>
    </w:p>
    <w:p w14:paraId="108253A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 xml:space="preserve"> 磋商文件由以下部分组成：</w:t>
      </w:r>
    </w:p>
    <w:p w14:paraId="72D0437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（1）采购邀请</w:t>
      </w:r>
    </w:p>
    <w:p w14:paraId="3AB8707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（2）磋商须知</w:t>
      </w:r>
    </w:p>
    <w:p w14:paraId="50BE54A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（3）项目需求</w:t>
      </w:r>
    </w:p>
    <w:p w14:paraId="30C1531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（4）评审方法和评审标准</w:t>
      </w:r>
    </w:p>
    <w:p w14:paraId="039D98D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（5）合同条款</w:t>
      </w:r>
    </w:p>
    <w:p w14:paraId="4FFC15E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（6）响应文件组成</w:t>
      </w:r>
    </w:p>
    <w:p w14:paraId="14E18E3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（7）附件</w:t>
      </w:r>
    </w:p>
    <w:p w14:paraId="2C1AD15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（8）工程量清单</w:t>
      </w:r>
    </w:p>
    <w:p w14:paraId="1BDECBC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（9）图纸</w:t>
      </w:r>
    </w:p>
    <w:p w14:paraId="4D3B855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请仔细检查磋商文件是否齐全，如有缺漏请立即与采购单位或采购代理机构联系解决。</w:t>
      </w:r>
    </w:p>
    <w:p w14:paraId="7F76B5A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82425E9">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43" w:name="_Toc20823283"/>
      <w:bookmarkStart w:id="44" w:name="_Toc513029211"/>
      <w:bookmarkStart w:id="45" w:name="_Toc16938527"/>
      <w:bookmarkStart w:id="46" w:name="_Toc462564070"/>
      <w:r>
        <w:rPr>
          <w:rFonts w:hint="eastAsia" w:ascii="宋体" w:hAnsi="宋体" w:eastAsia="宋体" w:cs="宋体"/>
          <w:color w:val="auto"/>
          <w:sz w:val="24"/>
          <w:highlight w:val="none"/>
        </w:rPr>
        <w:t>2、磋商文件的澄清</w:t>
      </w:r>
      <w:bookmarkEnd w:id="43"/>
      <w:bookmarkEnd w:id="44"/>
      <w:bookmarkEnd w:id="45"/>
      <w:bookmarkEnd w:id="46"/>
    </w:p>
    <w:p w14:paraId="6DCF058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w:t>
      </w:r>
      <w:r>
        <w:rPr>
          <w:rFonts w:hint="eastAsia" w:ascii="宋体" w:hAnsi="宋体" w:eastAsia="宋体" w:cs="宋体"/>
          <w:color w:val="auto"/>
          <w:sz w:val="24"/>
          <w:highlight w:val="none"/>
        </w:rPr>
        <w:t xml:space="preserve"> 任何要求对磋商文件进行澄清的供应商，应在提交首次响应文件截止时间五日前发代理单位指定邮箱（812298892@qq.com）。采购单位有权对发出的磋商文件进行必要的澄清或修改。</w:t>
      </w:r>
    </w:p>
    <w:p w14:paraId="3A13FA7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2.2采购单位视情组织答疑会</w:t>
      </w:r>
    </w:p>
    <w:p w14:paraId="2B7D5D5C">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47" w:name="_Toc20823284"/>
      <w:bookmarkStart w:id="48" w:name="_Toc462564071"/>
      <w:bookmarkStart w:id="49" w:name="_Toc16938528"/>
      <w:bookmarkStart w:id="50" w:name="_Toc513029212"/>
      <w:r>
        <w:rPr>
          <w:rFonts w:hint="eastAsia" w:ascii="宋体" w:hAnsi="宋体" w:eastAsia="宋体" w:cs="宋体"/>
          <w:color w:val="auto"/>
          <w:sz w:val="24"/>
          <w:highlight w:val="none"/>
        </w:rPr>
        <w:t>3、磋商文件的修改</w:t>
      </w:r>
      <w:bookmarkEnd w:id="47"/>
      <w:bookmarkEnd w:id="48"/>
      <w:bookmarkEnd w:id="49"/>
      <w:bookmarkEnd w:id="50"/>
    </w:p>
    <w:p w14:paraId="037364F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3.1</w:t>
      </w:r>
      <w:r>
        <w:rPr>
          <w:rFonts w:hint="eastAsia" w:ascii="宋体" w:hAnsi="宋体" w:eastAsia="宋体" w:cs="宋体"/>
          <w:color w:val="auto"/>
          <w:sz w:val="24"/>
          <w:highlight w:val="none"/>
        </w:rPr>
        <w:t xml:space="preserve"> 在响应文件提交截止时间前，采购单位可以对磋商文件进行修改。</w:t>
      </w:r>
    </w:p>
    <w:p w14:paraId="7CF6448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3.2 </w:t>
      </w:r>
      <w:r>
        <w:rPr>
          <w:rFonts w:hint="eastAsia" w:ascii="宋体" w:hAnsi="宋体" w:eastAsia="宋体" w:cs="宋体"/>
          <w:color w:val="auto"/>
          <w:sz w:val="24"/>
          <w:highlight w:val="none"/>
        </w:rPr>
        <w:t>采购单位有权按照法定的要求推迟响应文件提交截止日期和磋商日期。</w:t>
      </w:r>
    </w:p>
    <w:p w14:paraId="0EB0E51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3.3 </w:t>
      </w:r>
      <w:r>
        <w:rPr>
          <w:rFonts w:hint="eastAsia" w:ascii="宋体" w:hAnsi="宋体" w:eastAsia="宋体" w:cs="宋体"/>
          <w:color w:val="auto"/>
          <w:sz w:val="24"/>
          <w:highlight w:val="none"/>
        </w:rPr>
        <w:t>磋商文件的修改将在“南通市机关事务管理局→公告公示”栏公布，补充文件将作为磋商文件的组成部分，并对供应商具有约束力。</w:t>
      </w:r>
    </w:p>
    <w:p w14:paraId="33514D3E">
      <w:pPr>
        <w:adjustRightInd w:val="0"/>
        <w:snapToGrid w:val="0"/>
        <w:spacing w:line="360" w:lineRule="auto"/>
        <w:ind w:firstLine="482" w:firstLineChars="200"/>
        <w:contextualSpacing/>
        <w:rPr>
          <w:rFonts w:hint="eastAsia" w:ascii="宋体" w:hAnsi="宋体" w:eastAsia="宋体" w:cs="宋体"/>
          <w:b/>
          <w:bCs/>
          <w:snapToGrid/>
          <w:color w:val="auto"/>
          <w:kern w:val="2"/>
          <w:sz w:val="24"/>
          <w:highlight w:val="none"/>
        </w:rPr>
      </w:pPr>
      <w:bookmarkStart w:id="51" w:name="_Toc20823285"/>
      <w:bookmarkStart w:id="52" w:name="_Toc513029213"/>
      <w:bookmarkStart w:id="53" w:name="_Toc462564072"/>
      <w:bookmarkStart w:id="54" w:name="_Toc16938529"/>
      <w:bookmarkStart w:id="55" w:name="_Toc120614216"/>
      <w:r>
        <w:rPr>
          <w:rFonts w:hint="eastAsia" w:ascii="宋体" w:hAnsi="宋体" w:eastAsia="宋体" w:cs="宋体"/>
          <w:b/>
          <w:bCs/>
          <w:color w:val="auto"/>
          <w:sz w:val="24"/>
          <w:highlight w:val="none"/>
        </w:rPr>
        <w:t>三、</w:t>
      </w:r>
      <w:r>
        <w:rPr>
          <w:rFonts w:hint="eastAsia" w:ascii="宋体" w:hAnsi="宋体" w:eastAsia="宋体" w:cs="宋体"/>
          <w:b/>
          <w:bCs/>
          <w:snapToGrid/>
          <w:color w:val="auto"/>
          <w:kern w:val="2"/>
          <w:sz w:val="24"/>
          <w:highlight w:val="none"/>
        </w:rPr>
        <w:t>磋商项目涉及到的现场勘察</w:t>
      </w:r>
    </w:p>
    <w:p w14:paraId="510D0B9B">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7C83091B">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2、采购单位向供应商提供的有关现场的资料和数据，是采购单位现有的并认为能使供应商可利用的资料。采购单位对供应商由此而做出的推论、理解和结论概不负责。</w:t>
      </w:r>
    </w:p>
    <w:p w14:paraId="4A013BCE">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3、经采购单位允许，供应商可为勘察目的进入采购单位的项目现场，但供应商不得因此使采购单位承担有关的责任和蒙受损失。供应商应承担勘察现场的责任和风险。</w:t>
      </w:r>
    </w:p>
    <w:p w14:paraId="2C60365D">
      <w:pPr>
        <w:adjustRightInd w:val="0"/>
        <w:snapToGrid w:val="0"/>
        <w:spacing w:line="360" w:lineRule="auto"/>
        <w:ind w:firstLine="480" w:firstLineChars="200"/>
        <w:contextualSpacing/>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0212502D">
      <w:pPr>
        <w:adjustRightInd w:val="0"/>
        <w:snapToGrid w:val="0"/>
        <w:spacing w:line="360" w:lineRule="auto"/>
        <w:ind w:firstLine="482" w:firstLineChars="200"/>
        <w:contextualSpacing/>
        <w:rPr>
          <w:rFonts w:hint="eastAsia" w:ascii="宋体" w:hAnsi="宋体" w:eastAsia="宋体" w:cs="宋体"/>
          <w:b/>
          <w:bCs/>
          <w:snapToGrid/>
          <w:color w:val="auto"/>
          <w:kern w:val="2"/>
          <w:sz w:val="24"/>
          <w:highlight w:val="none"/>
        </w:rPr>
      </w:pPr>
      <w:r>
        <w:rPr>
          <w:rFonts w:hint="eastAsia" w:ascii="宋体" w:hAnsi="宋体" w:eastAsia="宋体" w:cs="宋体"/>
          <w:b/>
          <w:bCs/>
          <w:snapToGrid/>
          <w:color w:val="auto"/>
          <w:kern w:val="2"/>
          <w:sz w:val="24"/>
          <w:highlight w:val="none"/>
        </w:rPr>
        <w:t>注：供应商务必自行认真踏勘现场条件。踏勘现场联系人：张先生，联系方式：0513-85216696。</w:t>
      </w:r>
    </w:p>
    <w:bookmarkEnd w:id="51"/>
    <w:bookmarkEnd w:id="52"/>
    <w:bookmarkEnd w:id="53"/>
    <w:bookmarkEnd w:id="54"/>
    <w:bookmarkEnd w:id="55"/>
    <w:p w14:paraId="139A7F47">
      <w:pPr>
        <w:numPr>
          <w:ilvl w:val="0"/>
          <w:numId w:val="6"/>
        </w:numPr>
        <w:snapToGrid w:val="0"/>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响应文件的编制</w:t>
      </w:r>
    </w:p>
    <w:p w14:paraId="291191BA">
      <w:pPr>
        <w:adjustRightInd w:val="0"/>
        <w:snapToGrid w:val="0"/>
        <w:spacing w:line="360" w:lineRule="auto"/>
        <w:ind w:firstLine="480" w:firstLineChars="200"/>
        <w:outlineLvl w:val="3"/>
        <w:rPr>
          <w:rFonts w:hint="eastAsia" w:ascii="宋体" w:hAnsi="宋体" w:eastAsia="宋体" w:cs="宋体"/>
          <w:bCs/>
          <w:color w:val="auto"/>
          <w:sz w:val="24"/>
          <w:highlight w:val="none"/>
        </w:rPr>
      </w:pPr>
      <w:bookmarkStart w:id="56" w:name="_Toc20823286"/>
      <w:bookmarkStart w:id="57" w:name="_Toc462564073"/>
      <w:bookmarkStart w:id="58" w:name="_Toc16938530"/>
      <w:bookmarkStart w:id="59" w:name="_Toc513029214"/>
      <w:r>
        <w:rPr>
          <w:rFonts w:hint="eastAsia" w:ascii="宋体" w:hAnsi="宋体" w:eastAsia="宋体" w:cs="宋体"/>
          <w:color w:val="auto"/>
          <w:sz w:val="24"/>
          <w:highlight w:val="none"/>
        </w:rPr>
        <w:t>1、响应文件的语言及度量衡单位</w:t>
      </w:r>
      <w:bookmarkEnd w:id="56"/>
      <w:bookmarkEnd w:id="57"/>
      <w:bookmarkEnd w:id="58"/>
      <w:bookmarkEnd w:id="59"/>
    </w:p>
    <w:p w14:paraId="2210494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供应商提交的响应文件以及供应商与采购代理机构及采购单位就有关磋商的所有来往通知、函件和文件均应使用</w:t>
      </w:r>
      <w:r>
        <w:rPr>
          <w:rFonts w:hint="eastAsia" w:ascii="宋体" w:hAnsi="宋体" w:eastAsia="宋体" w:cs="宋体"/>
          <w:bCs/>
          <w:color w:val="auto"/>
          <w:sz w:val="24"/>
          <w:highlight w:val="none"/>
        </w:rPr>
        <w:t>简体中文</w:t>
      </w:r>
      <w:r>
        <w:rPr>
          <w:rFonts w:hint="eastAsia" w:ascii="宋体" w:hAnsi="宋体" w:eastAsia="宋体" w:cs="宋体"/>
          <w:color w:val="auto"/>
          <w:sz w:val="24"/>
          <w:highlight w:val="none"/>
        </w:rPr>
        <w:t>。</w:t>
      </w:r>
    </w:p>
    <w:p w14:paraId="65D76E1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 xml:space="preserve"> 除技术性能另有规定外，响应文件所使用的度量衡单位，均须采用国家法定计量单位。</w:t>
      </w:r>
      <w:bookmarkStart w:id="60" w:name="_Toc20823287"/>
      <w:bookmarkStart w:id="61" w:name="_Toc462564074"/>
      <w:bookmarkStart w:id="62" w:name="_Toc513029215"/>
      <w:bookmarkStart w:id="63" w:name="_Toc16938531"/>
    </w:p>
    <w:p w14:paraId="14A892DA">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2、响应文件构成</w:t>
      </w:r>
      <w:bookmarkEnd w:id="60"/>
      <w:bookmarkEnd w:id="61"/>
      <w:bookmarkEnd w:id="62"/>
      <w:bookmarkEnd w:id="63"/>
    </w:p>
    <w:p w14:paraId="221664C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w:t>
      </w:r>
      <w:r>
        <w:rPr>
          <w:rFonts w:hint="eastAsia" w:ascii="宋体" w:hAnsi="宋体" w:eastAsia="宋体" w:cs="宋体"/>
          <w:color w:val="auto"/>
          <w:sz w:val="24"/>
          <w:highlight w:val="none"/>
        </w:rPr>
        <w:t xml:space="preserve"> 供应商编写的响应文件应包括资格审查文件、商务技术响应文件、报价响应文件。供应商按“第六部分 响应文件组成”要求编写响应文件。</w:t>
      </w:r>
    </w:p>
    <w:p w14:paraId="5024E6E1">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64" w:name="_Hlt26954838"/>
      <w:bookmarkEnd w:id="64"/>
      <w:bookmarkStart w:id="65" w:name="_Hlt26670360"/>
      <w:bookmarkEnd w:id="65"/>
      <w:bookmarkStart w:id="66" w:name="_Hlt26668975"/>
      <w:bookmarkEnd w:id="66"/>
      <w:bookmarkStart w:id="67" w:name="_Toc49090511"/>
      <w:bookmarkStart w:id="68" w:name="_Toc14577360"/>
      <w:r>
        <w:rPr>
          <w:rFonts w:hint="eastAsia" w:ascii="宋体" w:hAnsi="宋体" w:eastAsia="宋体" w:cs="宋体"/>
          <w:color w:val="auto"/>
          <w:sz w:val="24"/>
          <w:highlight w:val="none"/>
        </w:rPr>
        <w:t>3</w:t>
      </w:r>
      <w:bookmarkEnd w:id="67"/>
      <w:bookmarkEnd w:id="68"/>
      <w:r>
        <w:rPr>
          <w:rFonts w:hint="eastAsia" w:ascii="宋体" w:hAnsi="宋体" w:eastAsia="宋体" w:cs="宋体"/>
          <w:color w:val="auto"/>
          <w:sz w:val="24"/>
          <w:highlight w:val="none"/>
        </w:rPr>
        <w:t>、磋商响应有效期</w:t>
      </w:r>
    </w:p>
    <w:p w14:paraId="32BA359B">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3.1磋商响应有效期为</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规定的响应文件</w:t>
      </w:r>
      <w:r>
        <w:rPr>
          <w:rFonts w:hint="eastAsia" w:ascii="宋体" w:hAnsi="宋体" w:eastAsia="宋体" w:cs="宋体"/>
          <w:color w:val="auto"/>
          <w:sz w:val="24"/>
          <w:highlight w:val="none"/>
        </w:rPr>
        <w:t>提交</w:t>
      </w:r>
      <w:r>
        <w:rPr>
          <w:rFonts w:hint="eastAsia" w:ascii="宋体" w:hAnsi="宋体" w:eastAsia="宋体" w:cs="宋体"/>
          <w:bCs/>
          <w:color w:val="auto"/>
          <w:sz w:val="24"/>
          <w:highlight w:val="none"/>
        </w:rPr>
        <w:t>截止时间后</w:t>
      </w:r>
      <w:r>
        <w:rPr>
          <w:rFonts w:hint="eastAsia" w:ascii="宋体" w:hAnsi="宋体" w:eastAsia="宋体" w:cs="宋体"/>
          <w:b/>
          <w:color w:val="auto"/>
          <w:sz w:val="24"/>
          <w:highlight w:val="none"/>
          <w:u w:val="single"/>
        </w:rPr>
        <w:t>六十（60）天</w:t>
      </w:r>
      <w:r>
        <w:rPr>
          <w:rFonts w:hint="eastAsia" w:ascii="宋体" w:hAnsi="宋体" w:eastAsia="宋体" w:cs="宋体"/>
          <w:bCs/>
          <w:color w:val="auto"/>
          <w:sz w:val="24"/>
          <w:highlight w:val="none"/>
        </w:rPr>
        <w:t>。磋商响应有效期比规定短的将被视为非实质性响应而予以拒绝。</w:t>
      </w:r>
    </w:p>
    <w:p w14:paraId="2CA75C6B">
      <w:pPr>
        <w:adjustRightInd w:val="0"/>
        <w:snapToGrid w:val="0"/>
        <w:spacing w:line="360" w:lineRule="auto"/>
        <w:ind w:firstLine="480" w:firstLineChars="200"/>
        <w:outlineLvl w:val="3"/>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4、磋商响应有效期的延长</w:t>
      </w:r>
    </w:p>
    <w:p w14:paraId="2B9137EF">
      <w:pPr>
        <w:snapToGrid w:val="0"/>
        <w:spacing w:line="360" w:lineRule="auto"/>
        <w:ind w:firstLine="484" w:firstLineChars="202"/>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4.1在特殊情况下，</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于原磋商响应有效期满之前，可向磋商供应商提出延长磋商响应有效期的要求。这种要求与答复均应采用书面形式。供应商可以拒绝</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的这一要求而放弃磋商响应，同意延长磋商响应有效期的供应商既不能要求也不允许修改其响应文件。</w:t>
      </w:r>
      <w:r>
        <w:rPr>
          <w:rFonts w:hint="eastAsia" w:ascii="宋体" w:hAnsi="宋体" w:eastAsia="宋体" w:cs="宋体"/>
          <w:color w:val="auto"/>
          <w:sz w:val="24"/>
          <w:highlight w:val="none"/>
        </w:rPr>
        <w:t>受磋商响应有效期约束的所有权利与义务均延长至新的有效期。</w:t>
      </w:r>
    </w:p>
    <w:p w14:paraId="7D1B951A">
      <w:pPr>
        <w:snapToGrid w:val="0"/>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五、响应文件的提交</w:t>
      </w:r>
    </w:p>
    <w:p w14:paraId="2633F903">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69" w:name="_Toc16938541"/>
      <w:bookmarkStart w:id="70" w:name="_Toc513029225"/>
      <w:bookmarkStart w:id="71" w:name="_Toc20823297"/>
      <w:bookmarkStart w:id="72" w:name="_Toc462564084"/>
      <w:bookmarkStart w:id="73" w:name="_Toc513029230"/>
      <w:bookmarkStart w:id="74" w:name="_Toc20823302"/>
      <w:bookmarkStart w:id="75" w:name="_Toc16938546"/>
      <w:r>
        <w:rPr>
          <w:rFonts w:hint="eastAsia" w:ascii="宋体" w:hAnsi="宋体" w:eastAsia="宋体" w:cs="宋体"/>
          <w:color w:val="auto"/>
          <w:sz w:val="24"/>
          <w:highlight w:val="none"/>
        </w:rPr>
        <w:t>1、响应文件</w:t>
      </w:r>
      <w:bookmarkEnd w:id="69"/>
      <w:bookmarkEnd w:id="70"/>
      <w:bookmarkEnd w:id="71"/>
      <w:bookmarkEnd w:id="72"/>
      <w:r>
        <w:rPr>
          <w:rFonts w:hint="eastAsia" w:ascii="宋体" w:hAnsi="宋体" w:eastAsia="宋体" w:cs="宋体"/>
          <w:color w:val="auto"/>
          <w:sz w:val="24"/>
          <w:highlight w:val="none"/>
        </w:rPr>
        <w:t>的提交</w:t>
      </w:r>
    </w:p>
    <w:p w14:paraId="32E4B797">
      <w:pPr>
        <w:adjustRightInd w:val="0"/>
        <w:snapToGrid w:val="0"/>
        <w:spacing w:line="360" w:lineRule="auto"/>
        <w:ind w:firstLine="480" w:firstLineChars="200"/>
        <w:rPr>
          <w:rFonts w:hint="eastAsia" w:ascii="宋体" w:hAnsi="宋体" w:eastAsia="宋体" w:cs="宋体"/>
          <w:bCs/>
          <w:color w:val="auto"/>
          <w:sz w:val="24"/>
          <w:highlight w:val="none"/>
        </w:rPr>
      </w:pPr>
      <w:bookmarkStart w:id="76" w:name="_Toc20823298"/>
      <w:bookmarkStart w:id="77" w:name="_Toc513029226"/>
      <w:bookmarkStart w:id="78" w:name="_Toc16938542"/>
      <w:r>
        <w:rPr>
          <w:rFonts w:hint="eastAsia" w:ascii="宋体" w:hAnsi="宋体" w:eastAsia="宋体" w:cs="宋体"/>
          <w:bCs/>
          <w:color w:val="auto"/>
          <w:sz w:val="24"/>
          <w:highlight w:val="none"/>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0B63EAF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1.2响应文件均为壹式叁份，其中“正本”壹份和“副本”贰份。</w:t>
      </w:r>
    </w:p>
    <w:p w14:paraId="133A71D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442DB944">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29294B1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 供应商可将每一部分响应文件正、副本统一密封或分别密封，如正本和副本分别密封的，应在封袋上标明正、副本字样。</w:t>
      </w:r>
    </w:p>
    <w:p w14:paraId="30323541">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1131C32D">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【特别提醒】响应文件中的资格审查文件、商务技术响应文件的“正本”或“副本”中，均不得含有报价响应文件中报价表（报价单）内的任何项目价格，否则作无效响应处理。</w:t>
      </w:r>
    </w:p>
    <w:p w14:paraId="3D19508B">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1.7电子响应文件（一份，单独密封提交）</w:t>
      </w:r>
    </w:p>
    <w:p w14:paraId="0F33AB0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本项目要求提供电子响应文件一份，电子响应文件的内容为“资格审查文件”、“</w:t>
      </w:r>
      <w:r>
        <w:rPr>
          <w:rFonts w:hint="eastAsia" w:ascii="宋体" w:hAnsi="宋体" w:eastAsia="宋体" w:cs="宋体"/>
          <w:bCs/>
          <w:color w:val="auto"/>
          <w:sz w:val="24"/>
          <w:highlight w:val="none"/>
        </w:rPr>
        <w:t>商务技术响应文件</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报价响应文件</w:t>
      </w:r>
      <w:r>
        <w:rPr>
          <w:rFonts w:hint="eastAsia" w:ascii="宋体" w:hAnsi="宋体" w:eastAsia="宋体" w:cs="宋体"/>
          <w:color w:val="auto"/>
          <w:sz w:val="24"/>
          <w:highlight w:val="none"/>
        </w:rPr>
        <w:t>”打印盖章（或电子签章）后的响应文件的扫描件（“资格审查文件”、“</w:t>
      </w:r>
      <w:r>
        <w:rPr>
          <w:rFonts w:hint="eastAsia" w:ascii="宋体" w:hAnsi="宋体" w:eastAsia="宋体" w:cs="宋体"/>
          <w:bCs/>
          <w:color w:val="auto"/>
          <w:sz w:val="24"/>
          <w:highlight w:val="none"/>
        </w:rPr>
        <w:t>商务技术响应文件</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报价响应文件</w:t>
      </w:r>
      <w:r>
        <w:rPr>
          <w:rFonts w:hint="eastAsia" w:ascii="宋体" w:hAnsi="宋体" w:eastAsia="宋体" w:cs="宋体"/>
          <w:color w:val="auto"/>
          <w:sz w:val="24"/>
          <w:highlight w:val="none"/>
        </w:rPr>
        <w:t>”需分别逐页连续扫描为三个独立的PDF文件），可以采取U盘方式提交，需单独密封提交。</w:t>
      </w:r>
    </w:p>
    <w:p w14:paraId="4C341C48">
      <w:pPr>
        <w:adjustRightInd w:val="0"/>
        <w:snapToGrid w:val="0"/>
        <w:spacing w:line="360" w:lineRule="auto"/>
        <w:ind w:firstLine="480" w:firstLineChars="200"/>
        <w:rPr>
          <w:rFonts w:hint="eastAsia"/>
          <w:color w:val="auto"/>
          <w:highlight w:val="none"/>
        </w:rPr>
      </w:pPr>
      <w:r>
        <w:rPr>
          <w:rFonts w:hint="eastAsia" w:ascii="宋体" w:hAnsi="宋体" w:eastAsia="宋体" w:cs="宋体"/>
          <w:color w:val="auto"/>
          <w:sz w:val="24"/>
          <w:highlight w:val="none"/>
        </w:rPr>
        <w:t>电子响应文件内容应与提交的纸质响应文件内容一致。否则，由此产生的后果投标人自负。</w:t>
      </w:r>
    </w:p>
    <w:p w14:paraId="062DC49C">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2、响应文件截止日期</w:t>
      </w:r>
      <w:bookmarkEnd w:id="76"/>
      <w:bookmarkEnd w:id="77"/>
      <w:bookmarkEnd w:id="78"/>
    </w:p>
    <w:p w14:paraId="24DC4EF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 供应商递交响应文件的时间不得迟于采购邀请中规定的响应文件提交截止时间。</w:t>
      </w:r>
    </w:p>
    <w:p w14:paraId="32CE3FB6">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供应商应充分考虑到交通、停车等风险因素，如因供应商自身原因造成的响应文件逾时递交由供应商自行承担全部责任。</w:t>
      </w:r>
    </w:p>
    <w:p w14:paraId="2D6EE4C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可以按照规定，通过修改响应文件酌情延长响应文件提交截止日期，在此情况下，供应商的所有权利和义务以及供应商受制的截止日期均应以延长后新的截止日期为准。</w:t>
      </w:r>
    </w:p>
    <w:p w14:paraId="124AD6CC">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79" w:name="_Toc513029227"/>
      <w:bookmarkStart w:id="80" w:name="_Toc20823299"/>
      <w:bookmarkStart w:id="81" w:name="_Toc16938543"/>
      <w:r>
        <w:rPr>
          <w:rFonts w:hint="eastAsia" w:ascii="宋体" w:hAnsi="宋体" w:eastAsia="宋体" w:cs="宋体"/>
          <w:color w:val="auto"/>
          <w:sz w:val="24"/>
          <w:highlight w:val="none"/>
        </w:rPr>
        <w:t>3、响应文件</w:t>
      </w:r>
      <w:bookmarkEnd w:id="79"/>
      <w:bookmarkEnd w:id="80"/>
      <w:bookmarkEnd w:id="81"/>
      <w:r>
        <w:rPr>
          <w:rFonts w:hint="eastAsia" w:ascii="宋体" w:hAnsi="宋体" w:eastAsia="宋体" w:cs="宋体"/>
          <w:color w:val="auto"/>
          <w:sz w:val="24"/>
          <w:highlight w:val="none"/>
        </w:rPr>
        <w:t>的拒收</w:t>
      </w:r>
    </w:p>
    <w:p w14:paraId="5C1F0E4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3.1 </w:t>
      </w:r>
      <w:r>
        <w:rPr>
          <w:rFonts w:hint="eastAsia" w:ascii="宋体" w:hAnsi="宋体" w:eastAsia="宋体" w:cs="宋体"/>
          <w:color w:val="auto"/>
          <w:sz w:val="24"/>
          <w:highlight w:val="none"/>
        </w:rPr>
        <w:t>采购代理机构</w:t>
      </w:r>
      <w:r>
        <w:rPr>
          <w:rFonts w:hint="eastAsia" w:ascii="宋体" w:hAnsi="宋体" w:eastAsia="宋体" w:cs="宋体"/>
          <w:bCs/>
          <w:color w:val="auto"/>
          <w:sz w:val="24"/>
          <w:highlight w:val="none"/>
        </w:rPr>
        <w:t>拒绝接收在其规定的响应文件提交截止时间后递交的任何响应文件。</w:t>
      </w:r>
    </w:p>
    <w:p w14:paraId="2E7470AC">
      <w:pPr>
        <w:adjustRightInd w:val="0"/>
        <w:snapToGrid w:val="0"/>
        <w:spacing w:line="360" w:lineRule="auto"/>
        <w:ind w:firstLine="480" w:firstLineChars="200"/>
        <w:outlineLvl w:val="3"/>
        <w:rPr>
          <w:rFonts w:hint="eastAsia" w:ascii="宋体" w:hAnsi="宋体" w:eastAsia="宋体" w:cs="宋体"/>
          <w:b/>
          <w:bCs/>
          <w:color w:val="auto"/>
          <w:sz w:val="24"/>
          <w:highlight w:val="none"/>
        </w:rPr>
      </w:pPr>
      <w:bookmarkStart w:id="82" w:name="_Toc20823300"/>
      <w:bookmarkStart w:id="83" w:name="_Toc16938544"/>
      <w:bookmarkStart w:id="84" w:name="_Toc513029228"/>
      <w:r>
        <w:rPr>
          <w:rFonts w:hint="eastAsia" w:ascii="宋体" w:hAnsi="宋体" w:eastAsia="宋体" w:cs="宋体"/>
          <w:color w:val="auto"/>
          <w:sz w:val="24"/>
          <w:highlight w:val="none"/>
        </w:rPr>
        <w:t>4、响应文件的撤回和修改</w:t>
      </w:r>
      <w:bookmarkEnd w:id="82"/>
      <w:bookmarkEnd w:id="83"/>
      <w:bookmarkEnd w:id="84"/>
    </w:p>
    <w:p w14:paraId="4413420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响应文件的撤回</w:t>
      </w:r>
    </w:p>
    <w:p w14:paraId="31D84A8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供应商可在响应文件提交截止时间前，撤回其响应文件。供应商撤回响应文件，则认为其不再参与本项目磋商活动。</w:t>
      </w:r>
    </w:p>
    <w:p w14:paraId="51AFE3E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响应文件的修改</w:t>
      </w:r>
    </w:p>
    <w:p w14:paraId="63C7CE7E">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供应商可在响应文件提交截止时间前，对其响应文件进行修改。</w:t>
      </w:r>
    </w:p>
    <w:p w14:paraId="034997F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4.3</w:t>
      </w:r>
      <w:r>
        <w:rPr>
          <w:rFonts w:hint="eastAsia" w:ascii="宋体" w:hAnsi="宋体" w:eastAsia="宋体" w:cs="宋体"/>
          <w:bCs/>
          <w:color w:val="auto"/>
          <w:sz w:val="24"/>
          <w:highlight w:val="none"/>
        </w:rPr>
        <w:t xml:space="preserve"> 在响应文件提交截止时间之后，供应商不得对其响应文件作任何修改。</w:t>
      </w:r>
    </w:p>
    <w:p w14:paraId="39585AB7">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4.4</w:t>
      </w:r>
      <w:r>
        <w:rPr>
          <w:rFonts w:hint="eastAsia" w:ascii="宋体" w:hAnsi="宋体" w:eastAsia="宋体" w:cs="宋体"/>
          <w:bCs/>
          <w:color w:val="auto"/>
          <w:sz w:val="24"/>
          <w:highlight w:val="none"/>
        </w:rPr>
        <w:t xml:space="preserve"> 在响应文件截止时间至响应文件中规定的磋商响应有效期满之间的这段时间内，供应商不得撤回其响应文件。</w:t>
      </w:r>
    </w:p>
    <w:p w14:paraId="0D9CF2DB">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六、磋商与评审</w:t>
      </w:r>
    </w:p>
    <w:p w14:paraId="591D73E7">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1、磋商仪式</w:t>
      </w:r>
    </w:p>
    <w:p w14:paraId="59F4558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1.1采购代理机构将在采购邀请中规定的时间和地点组织磋商开始仪式。</w:t>
      </w:r>
    </w:p>
    <w:p w14:paraId="0D8242D6">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 磋商活动由采购代理机构组织，现场进行磋商，并公布各供应商的最后报价。</w:t>
      </w:r>
    </w:p>
    <w:p w14:paraId="594ACBF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w:t>
      </w:r>
    </w:p>
    <w:p w14:paraId="257F430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2.1磋商开始仪式结束后，采购单位将立即组织磋商小组进行评审。</w:t>
      </w:r>
    </w:p>
    <w:p w14:paraId="1E3B594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2.2磋商小组由采购单位代表和评审专家共3人或3人以上单数组成，其中评审专家人数不得少于磋商小组成员总数的2/3。采购单位不得以评审专家身份参加本部门或本单位采购项目的评审。</w:t>
      </w:r>
    </w:p>
    <w:p w14:paraId="65DBFA2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4318F82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2.4磋商小组独立工作，负责评审所有响应文件并确定成交候选人。</w:t>
      </w:r>
    </w:p>
    <w:p w14:paraId="2FF489F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3、磋商评审过程的保密与公正</w:t>
      </w:r>
    </w:p>
    <w:p w14:paraId="535CCEF9">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3.1磋商小组、采购单位和采购代理机构工作人员、相关监督人员等与评审工作有关的人员，对评审情况以及在评审过程中获悉的国家秘密、商业秘密负有保密责任。</w:t>
      </w:r>
    </w:p>
    <w:p w14:paraId="2A7CF9EE">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3.2在磋商评审过程中，磋商供应商不得以任何行为影响磋商评审过程，否则其响应文件将被作为无效响应文件。</w:t>
      </w:r>
    </w:p>
    <w:p w14:paraId="178CE047">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284BBD8">
      <w:pPr>
        <w:tabs>
          <w:tab w:val="left" w:pos="90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评审开始后，直至向成交供应商授予合同时止，凡是与审查、澄清、评价和比较响应的有关资料以及授标建议等，采购单位、磋商小组、采购代理机构均不得向供应商或与评标无关的其他人员透露。</w:t>
      </w:r>
    </w:p>
    <w:p w14:paraId="0926FBD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3.5在评审期间，采购代理机构将设专门人员与供应商联系。</w:t>
      </w:r>
    </w:p>
    <w:p w14:paraId="37989E6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3.6采购代理机构和评审小组不向未成交的供应商解释未成交原因，也不公布评审过程中的相关细节。</w:t>
      </w:r>
    </w:p>
    <w:p w14:paraId="7500D450">
      <w:pPr>
        <w:tabs>
          <w:tab w:val="left" w:pos="900"/>
        </w:tabs>
        <w:adjustRightInd w:val="0"/>
        <w:snapToGrid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4、评审过程的澄清</w:t>
      </w:r>
    </w:p>
    <w:p w14:paraId="3BDE028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4.1评审期间，为有助于对响应文件的审查、评价和比较，磋商小组有权要求响应供应商对其响应文件进行书面澄清，但并非对每个供应商都作澄清要求。</w:t>
      </w:r>
    </w:p>
    <w:p w14:paraId="4F143D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4.2接到磋商小组澄清要求的供应商应按磋商小组规定的时间做出书面澄清，澄清的内容作为响应文件的补充部分，但实质性的内容不得做任何更改。</w:t>
      </w:r>
    </w:p>
    <w:p w14:paraId="567BC76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4.3 接到磋商小组澄清要求的供应商如未按规定做出澄清，其风</w:t>
      </w:r>
      <w:r>
        <w:rPr>
          <w:rFonts w:hint="eastAsia" w:ascii="宋体" w:hAnsi="宋体" w:eastAsia="宋体" w:cs="宋体"/>
          <w:bCs/>
          <w:color w:val="auto"/>
          <w:sz w:val="24"/>
          <w:highlight w:val="none"/>
        </w:rPr>
        <w:t>险由供应商自行承担。</w:t>
      </w:r>
    </w:p>
    <w:p w14:paraId="659DB560">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5、对响应文件的初审</w:t>
      </w:r>
    </w:p>
    <w:p w14:paraId="6E44007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5.1响应文件初审分为资格性审查和符合性审查。</w:t>
      </w:r>
    </w:p>
    <w:p w14:paraId="41D3825E">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5.1.1资格性检查：依据法律法规和磋商文件的规定，由磋商小组对响应文件中的资格审查证明材料进行审查。</w:t>
      </w:r>
    </w:p>
    <w:p w14:paraId="6A3D2A96">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在进行资格性审查的同时，采购代理机构将从“信用中国”网站（www.creditchina.gov.cn）查询供应商的信用记录，以确定供应商是否具备参加磋商的资格。查询结果将留存并归档。</w:t>
      </w:r>
    </w:p>
    <w:p w14:paraId="47979F8C">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1ED09CA5">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5.1.2符合性审查：依据磋商文件的规定，由磋商小组从响应文件的有效性、完整性和对磋商文件的响应程度进行审查，以确定是否对磋商文件的实质性要求作出响应。</w:t>
      </w:r>
    </w:p>
    <w:p w14:paraId="4416372A">
      <w:pPr>
        <w:pStyle w:val="6"/>
        <w:keepNext w:val="0"/>
        <w:keepLines w:val="0"/>
        <w:snapToGrid w:val="0"/>
        <w:spacing w:before="0"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5.1.3未通过资格审查或符合性审查的供应商人，采购代理机构将告知未通过资格审查或符合性审查的原因，评审结束后，采购代理机构将不再告知未通过资格审查或符合性审查的原因</w:t>
      </w:r>
    </w:p>
    <w:p w14:paraId="234F1C34">
      <w:pPr>
        <w:tabs>
          <w:tab w:val="left" w:pos="900"/>
        </w:tabs>
        <w:adjustRightInd w:val="0"/>
        <w:snapToGrid w:val="0"/>
        <w:spacing w:line="360" w:lineRule="auto"/>
        <w:ind w:firstLine="477" w:firstLineChars="19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2CF9B77B">
      <w:pPr>
        <w:tabs>
          <w:tab w:val="left" w:pos="900"/>
        </w:tabs>
        <w:adjustRightInd w:val="0"/>
        <w:snapToGrid w:val="0"/>
        <w:spacing w:line="360" w:lineRule="auto"/>
        <w:ind w:firstLine="477" w:firstLineChars="19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300B331">
      <w:pPr>
        <w:tabs>
          <w:tab w:val="left" w:pos="900"/>
        </w:tabs>
        <w:adjustRightInd w:val="0"/>
        <w:snapToGrid w:val="0"/>
        <w:spacing w:line="360" w:lineRule="auto"/>
        <w:ind w:firstLine="477" w:firstLineChars="19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5.3如果响应文件实质上没有响应磋商文件的要求，磋商小组将予以拒绝，供应商不得通过修改或撤销不合要求的偏离或保留而使其响应文件成为实质性响应的文件。</w:t>
      </w:r>
    </w:p>
    <w:p w14:paraId="4CE7198B">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5.4</w:t>
      </w:r>
      <w:r>
        <w:rPr>
          <w:rFonts w:hint="eastAsia" w:ascii="宋体" w:hAnsi="宋体" w:eastAsia="宋体" w:cs="宋体"/>
          <w:bCs/>
          <w:color w:val="auto"/>
          <w:sz w:val="24"/>
          <w:highlight w:val="none"/>
        </w:rPr>
        <w:t>磋商小组将对确定为实质性响应的文件进行进一步审核，看其是否有计算上或累加上的算术错误，修正错误的原则如下：</w:t>
      </w:r>
    </w:p>
    <w:p w14:paraId="58CBD2E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（1）响应文件中</w:t>
      </w:r>
      <w:r>
        <w:rPr>
          <w:rFonts w:hint="eastAsia" w:ascii="宋体" w:hAnsi="宋体" w:eastAsia="宋体" w:cs="宋体"/>
          <w:color w:val="auto"/>
          <w:sz w:val="24"/>
          <w:highlight w:val="none"/>
        </w:rPr>
        <w:t>报价总表</w:t>
      </w:r>
      <w:r>
        <w:rPr>
          <w:rFonts w:hint="eastAsia" w:ascii="宋体" w:hAnsi="宋体" w:eastAsia="宋体" w:cs="宋体"/>
          <w:bCs/>
          <w:color w:val="auto"/>
          <w:sz w:val="24"/>
          <w:highlight w:val="none"/>
        </w:rPr>
        <w:t>内容与响应文件中相应内容不一致的，以</w:t>
      </w:r>
      <w:r>
        <w:rPr>
          <w:rFonts w:hint="eastAsia" w:ascii="宋体" w:hAnsi="宋体" w:eastAsia="宋体" w:cs="宋体"/>
          <w:color w:val="auto"/>
          <w:sz w:val="24"/>
          <w:highlight w:val="none"/>
        </w:rPr>
        <w:t>报价总表</w:t>
      </w:r>
      <w:r>
        <w:rPr>
          <w:rFonts w:hint="eastAsia" w:ascii="宋体" w:hAnsi="宋体" w:eastAsia="宋体" w:cs="宋体"/>
          <w:bCs/>
          <w:color w:val="auto"/>
          <w:sz w:val="24"/>
          <w:highlight w:val="none"/>
        </w:rPr>
        <w:t>为准。</w:t>
      </w:r>
    </w:p>
    <w:p w14:paraId="1E67880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（2）大写金额和小写金额不一致的，以大写金额为准。</w:t>
      </w:r>
    </w:p>
    <w:p w14:paraId="04D9EAF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（3）单价金额小数点或者百分比有明显错位的，以</w:t>
      </w:r>
      <w:r>
        <w:rPr>
          <w:rFonts w:hint="eastAsia" w:ascii="宋体" w:hAnsi="宋体" w:eastAsia="宋体" w:cs="宋体"/>
          <w:color w:val="auto"/>
          <w:sz w:val="24"/>
          <w:highlight w:val="none"/>
        </w:rPr>
        <w:t>报价总表</w:t>
      </w:r>
      <w:r>
        <w:rPr>
          <w:rFonts w:hint="eastAsia" w:ascii="宋体" w:hAnsi="宋体" w:eastAsia="宋体" w:cs="宋体"/>
          <w:bCs/>
          <w:color w:val="auto"/>
          <w:sz w:val="24"/>
          <w:highlight w:val="none"/>
        </w:rPr>
        <w:t>的总价为准，并修改单价。</w:t>
      </w:r>
    </w:p>
    <w:p w14:paraId="371762E4">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（4）总价金额与按单价汇总金额不一致的，以单价金额计算结果为准。</w:t>
      </w:r>
    </w:p>
    <w:p w14:paraId="17398CE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同时出现两种以上错误的，按照前款规定的顺序修正。</w:t>
      </w:r>
    </w:p>
    <w:p w14:paraId="15DF9672">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w:t>
      </w:r>
      <w:r>
        <w:rPr>
          <w:rFonts w:hint="eastAsia" w:ascii="宋体" w:hAnsi="宋体" w:eastAsia="宋体" w:cs="宋体"/>
          <w:bCs/>
          <w:color w:val="auto"/>
          <w:sz w:val="24"/>
          <w:highlight w:val="none"/>
        </w:rPr>
        <w:t>磋商小组将按上述修正错误的方法调整响应文件中的报价，调整后的价格应对供应商具有约束力。如果供应商不接受修正后的价格，则其磋商活动将被拒绝。</w:t>
      </w:r>
    </w:p>
    <w:p w14:paraId="3D9B580D">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5.6磋商小组将允许修正响应文件中不构成重大偏离的、微小的、非正规的、不一致的或不规则的地方，但这些修改不能影响任何供应商相应的名次排列。</w:t>
      </w:r>
    </w:p>
    <w:p w14:paraId="0B8DACE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5.7供应商在评审全过程中应保证不离开现场，并随时能与采购代理机构及磋商小组联系。</w:t>
      </w:r>
    </w:p>
    <w:p w14:paraId="552E42DA">
      <w:pPr>
        <w:adjustRightInd w:val="0"/>
        <w:snapToGrid w:val="0"/>
        <w:spacing w:line="360" w:lineRule="auto"/>
        <w:ind w:firstLine="480" w:firstLineChars="200"/>
        <w:rPr>
          <w:rFonts w:hint="eastAsia" w:ascii="宋体" w:hAnsi="宋体" w:eastAsia="宋体" w:cs="宋体"/>
          <w:bCs/>
          <w:color w:val="auto"/>
          <w:sz w:val="24"/>
          <w:highlight w:val="none"/>
        </w:rPr>
      </w:pPr>
      <w:bookmarkStart w:id="85" w:name="_Hlk203558849"/>
      <w:r>
        <w:rPr>
          <w:rFonts w:hint="eastAsia" w:ascii="宋体" w:hAnsi="宋体" w:eastAsia="宋体" w:cs="宋体"/>
          <w:bCs/>
          <w:color w:val="auto"/>
          <w:sz w:val="24"/>
          <w:highlight w:val="none"/>
        </w:rPr>
        <w:t>6.异常低价审查</w:t>
      </w:r>
    </w:p>
    <w:p w14:paraId="6AC77C7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6.1根据省财政厅《关于推动解决政府采购异常低价问题相关工作的通知》（苏财购〔2025〕62号）要求，评审过程中出现下列情形之一的，评审委员会应当启动异常低价投标（响应）审查程序：</w:t>
      </w:r>
    </w:p>
    <w:p w14:paraId="01FF925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（1）投标(响应)报价低于采购项目预算50%的，即投标(响应)报价&lt;采购项目预算×50%;</w:t>
      </w:r>
    </w:p>
    <w:p w14:paraId="449DDFA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（2）投标(响应)报价低于采购项目最高限价45%的，即投标(响应)报价&lt;采购项目最高限价×45%;</w:t>
      </w:r>
    </w:p>
    <w:p w14:paraId="779A17E2">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（3）评审委员会认定的供应商报价过低、有可能影响产品质量或者不能诚信履约的其他情形。</w:t>
      </w:r>
    </w:p>
    <w:p w14:paraId="6D932080">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85"/>
    <w:p w14:paraId="4052C1D1">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7、被认定为未实质性响应磋商文件的响应文件的情形。</w:t>
      </w:r>
    </w:p>
    <w:p w14:paraId="41E23762">
      <w:pPr>
        <w:tabs>
          <w:tab w:val="left" w:pos="6555"/>
          <w:tab w:val="right" w:pos="8306"/>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7.1出现下列情形之一的，作无效响应处理。</w:t>
      </w:r>
    </w:p>
    <w:p w14:paraId="1E7376E2">
      <w:pPr>
        <w:tabs>
          <w:tab w:val="left" w:pos="6555"/>
          <w:tab w:val="right" w:pos="8306"/>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7.1.1磋商响应文件未按磋商文件要求装订、密封、签署、盖章及主要资料不齐全的。</w:t>
      </w:r>
    </w:p>
    <w:p w14:paraId="4EA46C21">
      <w:pPr>
        <w:adjustRightInd w:val="0"/>
        <w:snapToGrid w:val="0"/>
        <w:spacing w:line="360" w:lineRule="auto"/>
        <w:ind w:firstLine="484" w:firstLineChars="202"/>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7.1.2</w:t>
      </w:r>
      <w:r>
        <w:rPr>
          <w:rFonts w:hint="eastAsia" w:ascii="宋体" w:hAnsi="宋体" w:eastAsia="宋体" w:cs="宋体"/>
          <w:color w:val="auto"/>
          <w:kern w:val="2"/>
          <w:sz w:val="24"/>
          <w:highlight w:val="none"/>
        </w:rPr>
        <w:t>磋商响应文件</w:t>
      </w:r>
      <w:r>
        <w:rPr>
          <w:rFonts w:hint="eastAsia" w:ascii="宋体" w:hAnsi="宋体" w:eastAsia="宋体" w:cs="宋体"/>
          <w:snapToGrid/>
          <w:color w:val="auto"/>
          <w:kern w:val="2"/>
          <w:sz w:val="24"/>
          <w:highlight w:val="none"/>
        </w:rPr>
        <w:t>的资料有虚报或者谎报的。</w:t>
      </w:r>
    </w:p>
    <w:p w14:paraId="14D51864">
      <w:pPr>
        <w:pStyle w:val="34"/>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7.1.3磋商响应文件中资格审查文件及商务技术响应文件出现磋商报价的内容。</w:t>
      </w:r>
    </w:p>
    <w:p w14:paraId="4E15651B">
      <w:pPr>
        <w:adjustRightInd w:val="0"/>
        <w:snapToGrid w:val="0"/>
        <w:spacing w:line="360" w:lineRule="auto"/>
        <w:ind w:firstLine="484" w:firstLineChars="2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7.1.4未通过符合性检查或不具备磋商文件中规定的资格要求的。</w:t>
      </w:r>
    </w:p>
    <w:p w14:paraId="25D4A02A">
      <w:pPr>
        <w:adjustRightInd w:val="0"/>
        <w:snapToGrid w:val="0"/>
        <w:spacing w:line="360" w:lineRule="auto"/>
        <w:ind w:firstLine="484" w:firstLineChars="2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7.1.5 </w:t>
      </w:r>
      <w:r>
        <w:rPr>
          <w:rFonts w:hint="eastAsia" w:ascii="宋体" w:hAnsi="宋体" w:eastAsia="宋体" w:cs="宋体"/>
          <w:color w:val="auto"/>
          <w:kern w:val="2"/>
          <w:sz w:val="24"/>
          <w:highlight w:val="none"/>
        </w:rPr>
        <w:t>磋商响应文件</w:t>
      </w:r>
      <w:r>
        <w:rPr>
          <w:rFonts w:hint="eastAsia" w:ascii="宋体" w:hAnsi="宋体" w:eastAsia="宋体" w:cs="宋体"/>
          <w:snapToGrid/>
          <w:color w:val="auto"/>
          <w:kern w:val="2"/>
          <w:sz w:val="24"/>
          <w:highlight w:val="none"/>
        </w:rPr>
        <w:t>有重大漏项或重大不合理的</w:t>
      </w:r>
      <w:r>
        <w:rPr>
          <w:rFonts w:hint="eastAsia" w:ascii="宋体" w:hAnsi="宋体" w:eastAsia="宋体" w:cs="宋体"/>
          <w:bCs/>
          <w:color w:val="auto"/>
          <w:sz w:val="24"/>
          <w:highlight w:val="none"/>
        </w:rPr>
        <w:t>。</w:t>
      </w:r>
    </w:p>
    <w:p w14:paraId="69113F8D">
      <w:pPr>
        <w:adjustRightInd w:val="0"/>
        <w:snapToGrid w:val="0"/>
        <w:spacing w:line="360" w:lineRule="auto"/>
        <w:ind w:firstLine="484" w:firstLineChars="2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7.1.6</w:t>
      </w:r>
      <w:r>
        <w:rPr>
          <w:rFonts w:hint="eastAsia" w:ascii="宋体" w:hAnsi="宋体" w:eastAsia="宋体" w:cs="宋体"/>
          <w:snapToGrid/>
          <w:color w:val="auto"/>
          <w:kern w:val="2"/>
          <w:sz w:val="24"/>
          <w:highlight w:val="none"/>
        </w:rPr>
        <w:t>项目技术、方案不满足项目需求中的要求，有重大偏离或保留的</w:t>
      </w:r>
      <w:r>
        <w:rPr>
          <w:rFonts w:hint="eastAsia" w:ascii="宋体" w:hAnsi="宋体" w:eastAsia="宋体" w:cs="宋体"/>
          <w:bCs/>
          <w:color w:val="auto"/>
          <w:sz w:val="24"/>
          <w:highlight w:val="none"/>
        </w:rPr>
        <w:t>。</w:t>
      </w:r>
    </w:p>
    <w:p w14:paraId="55BFEB53">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7.1.7同一供应商提交两个（含两个）以上不同的响应报价的。</w:t>
      </w:r>
    </w:p>
    <w:p w14:paraId="3EB3A698">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7.1.8</w:t>
      </w:r>
      <w:r>
        <w:rPr>
          <w:rFonts w:hint="eastAsia" w:ascii="宋体" w:hAnsi="宋体" w:eastAsia="宋体" w:cs="宋体"/>
          <w:snapToGrid/>
          <w:color w:val="auto"/>
          <w:kern w:val="2"/>
          <w:sz w:val="24"/>
          <w:highlight w:val="none"/>
        </w:rPr>
        <w:t>磋商响应报价超出项目预算或最高限价的</w:t>
      </w:r>
      <w:r>
        <w:rPr>
          <w:rFonts w:hint="eastAsia" w:ascii="宋体" w:hAnsi="宋体" w:eastAsia="宋体" w:cs="宋体"/>
          <w:bCs/>
          <w:color w:val="auto"/>
          <w:sz w:val="24"/>
          <w:highlight w:val="none"/>
        </w:rPr>
        <w:t>。</w:t>
      </w:r>
    </w:p>
    <w:p w14:paraId="0D0AEE16">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775C85CD">
      <w:pPr>
        <w:snapToGrid w:val="0"/>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bCs/>
          <w:color w:val="auto"/>
          <w:sz w:val="24"/>
          <w:highlight w:val="none"/>
        </w:rPr>
        <w:t>7.1.10除非在磋商中磋商小组对采购单位需求内容作了调整，或对采购内容作了实质性变更，供应商的磋商报价高于自己前一轮的。</w:t>
      </w:r>
    </w:p>
    <w:p w14:paraId="3385F213">
      <w:pPr>
        <w:snapToGrid w:val="0"/>
        <w:spacing w:line="360" w:lineRule="auto"/>
        <w:ind w:firstLine="482" w:firstLineChars="20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7.1.11</w:t>
      </w:r>
      <w:r>
        <w:rPr>
          <w:rFonts w:hint="eastAsia" w:ascii="宋体" w:hAnsi="宋体" w:eastAsia="宋体" w:cs="宋体"/>
          <w:color w:val="auto"/>
          <w:kern w:val="2"/>
          <w:sz w:val="24"/>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color w:val="auto"/>
          <w:sz w:val="24"/>
          <w:highlight w:val="none"/>
        </w:rPr>
        <w:t>。</w:t>
      </w:r>
    </w:p>
    <w:p w14:paraId="34A48C42">
      <w:pPr>
        <w:snapToGrid w:val="0"/>
        <w:spacing w:line="360" w:lineRule="auto"/>
        <w:ind w:firstLine="482" w:firstLineChars="20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7.1.12响应文件含有采购单位不能接受的附加条件的。</w:t>
      </w:r>
    </w:p>
    <w:p w14:paraId="27A59326">
      <w:pPr>
        <w:snapToGrid w:val="0"/>
        <w:spacing w:line="360" w:lineRule="auto"/>
        <w:ind w:firstLine="482" w:firstLineChars="201"/>
        <w:rPr>
          <w:rFonts w:hint="eastAsia"/>
          <w:color w:val="auto"/>
          <w:highlight w:val="none"/>
        </w:rPr>
      </w:pPr>
      <w:r>
        <w:rPr>
          <w:rFonts w:hint="eastAsia" w:ascii="宋体" w:hAnsi="宋体" w:eastAsia="宋体" w:cs="宋体"/>
          <w:bCs/>
          <w:color w:val="auto"/>
          <w:sz w:val="24"/>
          <w:highlight w:val="none"/>
        </w:rPr>
        <w:t>7.1.13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160AE41C">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7.1.14</w:t>
      </w:r>
      <w:r>
        <w:rPr>
          <w:rFonts w:hint="eastAsia" w:ascii="宋体" w:hAnsi="宋体" w:eastAsia="宋体" w:cs="宋体"/>
          <w:color w:val="auto"/>
          <w:kern w:val="2"/>
          <w:sz w:val="24"/>
          <w:highlight w:val="none"/>
        </w:rPr>
        <w:t>磋商响应文件中已标价工程量清单与磋商文件规定的暂估价、暂列金额及甲供材料价格不一致的</w:t>
      </w:r>
      <w:r>
        <w:rPr>
          <w:rFonts w:hint="eastAsia" w:ascii="宋体" w:hAnsi="宋体" w:eastAsia="宋体" w:cs="宋体"/>
          <w:bCs/>
          <w:color w:val="auto"/>
          <w:sz w:val="24"/>
          <w:highlight w:val="none"/>
        </w:rPr>
        <w:t>。</w:t>
      </w:r>
    </w:p>
    <w:p w14:paraId="3ADDCEB4">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7.1.15</w:t>
      </w:r>
      <w:r>
        <w:rPr>
          <w:rFonts w:hint="eastAsia" w:ascii="宋体" w:hAnsi="宋体" w:eastAsia="宋体" w:cs="宋体"/>
          <w:color w:val="auto"/>
          <w:kern w:val="2"/>
          <w:sz w:val="24"/>
          <w:highlight w:val="none"/>
        </w:rPr>
        <w:t>磋商响应文件中已标价工程量清单与磋商文件明确列出的不可竞争费用项目或费率或计算基础不一致的</w:t>
      </w:r>
      <w:r>
        <w:rPr>
          <w:rFonts w:hint="eastAsia" w:ascii="宋体" w:hAnsi="宋体" w:eastAsia="宋体" w:cs="宋体"/>
          <w:bCs/>
          <w:color w:val="auto"/>
          <w:sz w:val="24"/>
          <w:highlight w:val="none"/>
        </w:rPr>
        <w:t>。</w:t>
      </w:r>
    </w:p>
    <w:p w14:paraId="6A4FA2A2">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7.1.16</w:t>
      </w:r>
      <w:r>
        <w:rPr>
          <w:rFonts w:hint="eastAsia" w:ascii="宋体" w:hAnsi="宋体" w:eastAsia="宋体" w:cs="宋体"/>
          <w:color w:val="auto"/>
          <w:kern w:val="2"/>
          <w:sz w:val="24"/>
          <w:highlight w:val="none"/>
        </w:rPr>
        <w:t>磋商响应文件中已标价工程量清单与磋商文件提供的工程量清单中的项目编码、项目名称、项目特征、计量单位、工程量不一致的</w:t>
      </w:r>
      <w:r>
        <w:rPr>
          <w:rFonts w:hint="eastAsia" w:ascii="宋体" w:hAnsi="宋体" w:eastAsia="宋体" w:cs="宋体"/>
          <w:bCs/>
          <w:color w:val="auto"/>
          <w:sz w:val="24"/>
          <w:highlight w:val="none"/>
        </w:rPr>
        <w:t>。</w:t>
      </w:r>
    </w:p>
    <w:p w14:paraId="0C1F197D">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7.1.17</w:t>
      </w:r>
      <w:r>
        <w:rPr>
          <w:rFonts w:hint="eastAsia" w:ascii="宋体" w:hAnsi="宋体" w:eastAsia="宋体" w:cs="宋体"/>
          <w:color w:val="auto"/>
          <w:kern w:val="2"/>
          <w:sz w:val="24"/>
          <w:highlight w:val="none"/>
        </w:rPr>
        <w:t>磋商响应文件载明的招标项目完成期限超过磋商文件规定的期限的；</w:t>
      </w:r>
    </w:p>
    <w:p w14:paraId="202194D2">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7.1.18</w:t>
      </w:r>
      <w:r>
        <w:rPr>
          <w:rFonts w:hint="eastAsia" w:ascii="宋体" w:hAnsi="宋体" w:eastAsia="宋体" w:cs="宋体"/>
          <w:color w:val="auto"/>
          <w:kern w:val="2"/>
          <w:sz w:val="24"/>
          <w:highlight w:val="none"/>
        </w:rPr>
        <w:t>明显不符合技术规范、技术标准的要求的</w:t>
      </w:r>
      <w:r>
        <w:rPr>
          <w:rFonts w:hint="eastAsia" w:ascii="宋体" w:hAnsi="宋体" w:eastAsia="宋体" w:cs="宋体"/>
          <w:bCs/>
          <w:color w:val="auto"/>
          <w:sz w:val="24"/>
          <w:highlight w:val="none"/>
        </w:rPr>
        <w:t>。</w:t>
      </w:r>
    </w:p>
    <w:p w14:paraId="43570FE9">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7.1.19</w:t>
      </w:r>
      <w:r>
        <w:rPr>
          <w:rFonts w:hint="eastAsia" w:ascii="宋体" w:hAnsi="宋体" w:eastAsia="宋体" w:cs="宋体"/>
          <w:color w:val="auto"/>
          <w:kern w:val="2"/>
          <w:sz w:val="24"/>
          <w:highlight w:val="none"/>
        </w:rPr>
        <w:t>磋商响应文件载明的货物包装方式、检验标准和方法等不符合磋商文件的要求的</w:t>
      </w:r>
      <w:r>
        <w:rPr>
          <w:rFonts w:hint="eastAsia" w:ascii="宋体" w:hAnsi="宋体" w:eastAsia="宋体" w:cs="宋体"/>
          <w:bCs/>
          <w:color w:val="auto"/>
          <w:sz w:val="24"/>
          <w:highlight w:val="none"/>
        </w:rPr>
        <w:t>。</w:t>
      </w:r>
    </w:p>
    <w:p w14:paraId="7E0A2C64">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7.1.20</w:t>
      </w:r>
      <w:r>
        <w:rPr>
          <w:rFonts w:hint="eastAsia" w:ascii="宋体" w:hAnsi="宋体" w:eastAsia="宋体" w:cs="宋体"/>
          <w:color w:val="auto"/>
          <w:kern w:val="2"/>
          <w:sz w:val="24"/>
          <w:highlight w:val="none"/>
        </w:rPr>
        <w:t>磋商响应文件提出了不能满足磋商文件要求或采购单位不能接受的工程验收、计量、价款结算和支付办法的</w:t>
      </w:r>
      <w:r>
        <w:rPr>
          <w:rFonts w:hint="eastAsia" w:ascii="宋体" w:hAnsi="宋体" w:eastAsia="宋体" w:cs="宋体"/>
          <w:bCs/>
          <w:color w:val="auto"/>
          <w:sz w:val="24"/>
          <w:highlight w:val="none"/>
        </w:rPr>
        <w:t>。</w:t>
      </w:r>
    </w:p>
    <w:p w14:paraId="6755F4DB">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7.1.21</w:t>
      </w:r>
      <w:r>
        <w:rPr>
          <w:rFonts w:hint="eastAsia" w:ascii="宋体" w:hAnsi="宋体" w:eastAsia="宋体" w:cs="宋体"/>
          <w:color w:val="auto"/>
          <w:kern w:val="2"/>
          <w:sz w:val="24"/>
          <w:highlight w:val="none"/>
        </w:rPr>
        <w:t>不同供应商的磋商响应文件以及磋商响应文件制作过程出现了磋商小组认为不应当雷同的情况的</w:t>
      </w:r>
      <w:r>
        <w:rPr>
          <w:rFonts w:hint="eastAsia" w:ascii="宋体" w:hAnsi="宋体" w:eastAsia="宋体" w:cs="宋体"/>
          <w:bCs/>
          <w:color w:val="auto"/>
          <w:sz w:val="24"/>
          <w:highlight w:val="none"/>
        </w:rPr>
        <w:t>。</w:t>
      </w:r>
    </w:p>
    <w:p w14:paraId="679F7190">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7.1.22</w:t>
      </w:r>
      <w:r>
        <w:rPr>
          <w:rFonts w:hint="eastAsia" w:ascii="宋体" w:hAnsi="宋体" w:eastAsia="宋体" w:cs="宋体"/>
          <w:color w:val="auto"/>
          <w:kern w:val="2"/>
          <w:sz w:val="24"/>
          <w:highlight w:val="none"/>
        </w:rPr>
        <w:t>以他人的名义投标、串通投标、以行贿手段谋取成交或者以其他弄虚作假方式磋商响应的</w:t>
      </w:r>
      <w:r>
        <w:rPr>
          <w:rFonts w:hint="eastAsia" w:ascii="宋体" w:hAnsi="宋体" w:eastAsia="宋体" w:cs="宋体"/>
          <w:bCs/>
          <w:color w:val="auto"/>
          <w:sz w:val="24"/>
          <w:highlight w:val="none"/>
        </w:rPr>
        <w:t>。</w:t>
      </w:r>
    </w:p>
    <w:p w14:paraId="6AD492C0">
      <w:pPr>
        <w:snapToGrid w:val="0"/>
        <w:spacing w:line="360" w:lineRule="auto"/>
        <w:ind w:firstLine="482" w:firstLineChars="201"/>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7.1.23</w:t>
      </w:r>
      <w:r>
        <w:rPr>
          <w:rFonts w:hint="eastAsia" w:ascii="宋体" w:hAnsi="宋体" w:eastAsia="宋体" w:cs="宋体"/>
          <w:color w:val="auto"/>
          <w:kern w:val="2"/>
          <w:sz w:val="24"/>
          <w:highlight w:val="none"/>
        </w:rPr>
        <w:t>施工组织设计（施工方案）存在明显技术方案错误、或者不符合磋商文件有关暗标（如有）的要求</w:t>
      </w:r>
      <w:r>
        <w:rPr>
          <w:rFonts w:hint="eastAsia" w:ascii="宋体" w:hAnsi="宋体" w:eastAsia="宋体" w:cs="宋体"/>
          <w:bCs/>
          <w:color w:val="auto"/>
          <w:sz w:val="24"/>
          <w:highlight w:val="none"/>
        </w:rPr>
        <w:t>。</w:t>
      </w:r>
      <w:r>
        <w:rPr>
          <w:rFonts w:hint="eastAsia" w:ascii="宋体" w:hAnsi="宋体" w:eastAsia="宋体" w:cs="宋体"/>
          <w:color w:val="auto"/>
          <w:kern w:val="2"/>
          <w:sz w:val="24"/>
          <w:highlight w:val="none"/>
        </w:rPr>
        <w:t xml:space="preserve"> </w:t>
      </w:r>
    </w:p>
    <w:p w14:paraId="780ED019">
      <w:pPr>
        <w:snapToGrid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bCs/>
          <w:color w:val="auto"/>
          <w:sz w:val="24"/>
          <w:highlight w:val="none"/>
        </w:rPr>
        <w:t>7.1.24</w:t>
      </w:r>
      <w:r>
        <w:rPr>
          <w:rFonts w:hint="eastAsia" w:ascii="宋体" w:hAnsi="宋体" w:eastAsia="宋体" w:cs="宋体"/>
          <w:color w:val="auto"/>
          <w:kern w:val="2"/>
          <w:sz w:val="24"/>
          <w:highlight w:val="none"/>
        </w:rPr>
        <w:t>供应商在响应文件递交截止时间当日，建筑业企业资质（本项目要求的资质）动态监管结果处于不合格状态的。</w:t>
      </w:r>
    </w:p>
    <w:p w14:paraId="6B52552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7.1.25</w:t>
      </w:r>
      <w:r>
        <w:rPr>
          <w:rFonts w:hint="eastAsia" w:ascii="宋体" w:hAnsi="宋体" w:eastAsia="宋体" w:cs="宋体"/>
          <w:color w:val="auto"/>
          <w:kern w:val="2"/>
          <w:sz w:val="24"/>
          <w:highlight w:val="none"/>
        </w:rPr>
        <w:t>磋商响应文件关键内容模糊、无法辨认</w:t>
      </w:r>
      <w:r>
        <w:rPr>
          <w:rFonts w:hint="eastAsia" w:ascii="宋体" w:hAnsi="宋体" w:eastAsia="宋体" w:cs="宋体"/>
          <w:bCs/>
          <w:color w:val="auto"/>
          <w:sz w:val="24"/>
          <w:highlight w:val="none"/>
        </w:rPr>
        <w:t>。</w:t>
      </w:r>
    </w:p>
    <w:p w14:paraId="5098AB2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7.1.26</w:t>
      </w:r>
      <w:r>
        <w:rPr>
          <w:rFonts w:hint="eastAsia" w:ascii="宋体" w:hAnsi="宋体" w:eastAsia="宋体" w:cs="宋体"/>
          <w:color w:val="auto"/>
          <w:kern w:val="2"/>
          <w:sz w:val="24"/>
          <w:highlight w:val="none"/>
        </w:rPr>
        <w:t>不符合法律、法规和磋商文件中规定的其他实质性响应要求的</w:t>
      </w:r>
      <w:r>
        <w:rPr>
          <w:rFonts w:hint="eastAsia" w:ascii="宋体" w:hAnsi="宋体" w:eastAsia="宋体" w:cs="宋体"/>
          <w:bCs/>
          <w:color w:val="auto"/>
          <w:sz w:val="24"/>
          <w:highlight w:val="none"/>
        </w:rPr>
        <w:t>。</w:t>
      </w:r>
    </w:p>
    <w:p w14:paraId="0BEBD59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7.2出现下列情形之一的，磋商失败。</w:t>
      </w:r>
    </w:p>
    <w:p w14:paraId="716E899A">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7.2.1符合条件的供应商或者对磋商文件作实质响应的供应商不足3家的（市场竞争不充分的科研项目，以及需要扶持的科技成果转化项目可以是2家）；</w:t>
      </w:r>
    </w:p>
    <w:p w14:paraId="38A1C12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7.2.2出现影响采购公正的违法违规行为的；</w:t>
      </w:r>
    </w:p>
    <w:p w14:paraId="307C81F0">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7.2.3因重大变故，采购任务取消的。</w:t>
      </w:r>
    </w:p>
    <w:p w14:paraId="33919C92">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7.2.4磋商小组认定磋商文件存在歧义、重大缺陷导致评审工作无法进行。</w:t>
      </w:r>
    </w:p>
    <w:p w14:paraId="7430525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7.2.5供应商的报价均超出了采购预算或最高限价，采购单位不能支付的；</w:t>
      </w:r>
    </w:p>
    <w:p w14:paraId="7CD3FAD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7.2.6因情况变化，不再符合规定的竞争性磋商采购方式所适用情形的；</w:t>
      </w:r>
    </w:p>
    <w:p w14:paraId="6B4B1A7D">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7.2.7磋商小组依据法律法规可以认定为废标的其他情况。</w:t>
      </w:r>
    </w:p>
    <w:p w14:paraId="3B442E8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7.3 响应</w:t>
      </w:r>
      <w:r>
        <w:rPr>
          <w:rFonts w:hint="eastAsia" w:ascii="宋体" w:hAnsi="宋体" w:eastAsia="宋体" w:cs="宋体"/>
          <w:color w:val="auto"/>
          <w:sz w:val="24"/>
          <w:highlight w:val="none"/>
        </w:rPr>
        <w:t>文件提交</w:t>
      </w:r>
      <w:r>
        <w:rPr>
          <w:rFonts w:hint="eastAsia" w:ascii="宋体" w:hAnsi="宋体" w:eastAsia="宋体" w:cs="宋体"/>
          <w:bCs/>
          <w:color w:val="auto"/>
          <w:sz w:val="24"/>
          <w:highlight w:val="none"/>
        </w:rPr>
        <w:t>截止时间结束后参加磋商的供应商不足三家的处理：</w:t>
      </w:r>
    </w:p>
    <w:p w14:paraId="41B9303B">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7.3.1如出现响应</w:t>
      </w:r>
      <w:r>
        <w:rPr>
          <w:rFonts w:hint="eastAsia" w:ascii="宋体" w:hAnsi="宋体" w:eastAsia="宋体" w:cs="宋体"/>
          <w:color w:val="auto"/>
          <w:sz w:val="24"/>
          <w:highlight w:val="none"/>
        </w:rPr>
        <w:t>文件提交</w:t>
      </w:r>
      <w:r>
        <w:rPr>
          <w:rFonts w:hint="eastAsia" w:ascii="宋体" w:hAnsi="宋体" w:eastAsia="宋体" w:cs="宋体"/>
          <w:bCs/>
          <w:color w:val="auto"/>
          <w:sz w:val="24"/>
          <w:highlight w:val="none"/>
        </w:rPr>
        <w:t>截止时间结束后参加磋商的供应商或者在评审期间对磋商文件做出实质响应的供应商不足三家情况，按政府采购相关规定执行。</w:t>
      </w:r>
    </w:p>
    <w:bookmarkEnd w:id="73"/>
    <w:bookmarkEnd w:id="74"/>
    <w:bookmarkEnd w:id="75"/>
    <w:p w14:paraId="787C1CB3">
      <w:pPr>
        <w:adjustRightInd w:val="0"/>
        <w:snapToGrid w:val="0"/>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七、成交</w:t>
      </w:r>
    </w:p>
    <w:p w14:paraId="4C65F3FD">
      <w:pPr>
        <w:adjustRightInd w:val="0"/>
        <w:snapToGrid w:val="0"/>
        <w:spacing w:line="360" w:lineRule="auto"/>
        <w:ind w:firstLine="480" w:firstLineChars="200"/>
        <w:outlineLvl w:val="3"/>
        <w:rPr>
          <w:rFonts w:hint="eastAsia" w:ascii="宋体" w:hAnsi="宋体" w:eastAsia="宋体" w:cs="宋体"/>
          <w:b/>
          <w:color w:val="auto"/>
          <w:sz w:val="24"/>
          <w:highlight w:val="none"/>
        </w:rPr>
      </w:pPr>
      <w:bookmarkStart w:id="86" w:name="_Toc20823310"/>
      <w:bookmarkStart w:id="87" w:name="_Toc16938554"/>
      <w:r>
        <w:rPr>
          <w:rFonts w:hint="eastAsia" w:ascii="宋体" w:hAnsi="宋体" w:eastAsia="宋体" w:cs="宋体"/>
          <w:color w:val="auto"/>
          <w:sz w:val="24"/>
          <w:highlight w:val="none"/>
        </w:rPr>
        <w:t>1、确定</w:t>
      </w:r>
      <w:bookmarkEnd w:id="86"/>
      <w:bookmarkEnd w:id="87"/>
      <w:r>
        <w:rPr>
          <w:rFonts w:hint="eastAsia" w:ascii="宋体" w:hAnsi="宋体" w:eastAsia="宋体" w:cs="宋体"/>
          <w:color w:val="auto"/>
          <w:sz w:val="24"/>
          <w:highlight w:val="none"/>
        </w:rPr>
        <w:t>成交单位</w:t>
      </w:r>
    </w:p>
    <w:p w14:paraId="7E4E1F93">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1.1成交候选供应商的选取原则和数量见磋商文件第四部分规定。 </w:t>
      </w:r>
    </w:p>
    <w:p w14:paraId="161E557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 采购单位授权磋商小组在成交候选供应商中直接确定成交供应商。</w:t>
      </w:r>
    </w:p>
    <w:p w14:paraId="24C1BB3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1.3 </w:t>
      </w:r>
      <w:r>
        <w:rPr>
          <w:rFonts w:hint="eastAsia" w:ascii="宋体" w:hAnsi="宋体" w:eastAsia="宋体" w:cs="宋体"/>
          <w:color w:val="auto"/>
          <w:sz w:val="24"/>
          <w:highlight w:val="none"/>
        </w:rPr>
        <w:t>采购单位将在“南通市机关事务管理局→公告公示”栏发布成交结果公告，公告期限为1个工作日。</w:t>
      </w:r>
    </w:p>
    <w:p w14:paraId="373889B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1.4若有充分证据证明，成交供应商出现下列情况之一的，一经查实，将被取消成交资格：</w:t>
      </w:r>
    </w:p>
    <w:p w14:paraId="0F08360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1.4.1提供虚假材料谋取成交的。</w:t>
      </w:r>
    </w:p>
    <w:p w14:paraId="490D90B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1.4.2向采购单位、采购代理机构行贿或者评审专家提供其他不正当利益的。</w:t>
      </w:r>
    </w:p>
    <w:p w14:paraId="2876BFF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1.4.3恶意竞争，最终总报价明显低于其自身合理成本且又无法提供证明的。</w:t>
      </w:r>
    </w:p>
    <w:p w14:paraId="6EAE17C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1.4.4属于本文件规定的无效条件，但在评审过程中又未被磋商小组发现的。</w:t>
      </w:r>
    </w:p>
    <w:p w14:paraId="27D312F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1.4.5与采购单位或者其他供应商恶意串通的。</w:t>
      </w:r>
    </w:p>
    <w:p w14:paraId="678BA0A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1.4.6采取不正当手段诋毁、排挤其他供应商的。</w:t>
      </w:r>
    </w:p>
    <w:p w14:paraId="729F7B29">
      <w:pPr>
        <w:adjustRightInd w:val="0"/>
        <w:snapToGrid w:val="0"/>
        <w:spacing w:line="360" w:lineRule="auto"/>
        <w:ind w:firstLine="480" w:firstLineChars="200"/>
        <w:rPr>
          <w:rFonts w:hint="eastAsia" w:ascii="宋体" w:hAnsi="宋体" w:eastAsia="宋体" w:cs="宋体"/>
          <w:color w:val="auto"/>
          <w:sz w:val="24"/>
          <w:highlight w:val="none"/>
        </w:rPr>
      </w:pPr>
      <w:bookmarkStart w:id="88" w:name="_Toc200451960"/>
      <w:r>
        <w:rPr>
          <w:rFonts w:hint="eastAsia" w:ascii="宋体" w:hAnsi="宋体" w:eastAsia="宋体" w:cs="宋体"/>
          <w:color w:val="auto"/>
          <w:sz w:val="24"/>
          <w:highlight w:val="none"/>
        </w:rPr>
        <w:t>1.5.有下列情形之一的，视为供应商串通参与磋商，响应无效：</w:t>
      </w:r>
    </w:p>
    <w:p w14:paraId="6B44D93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1.5.1不同供应商的响应文件由同一单位或者个人编制；</w:t>
      </w:r>
    </w:p>
    <w:p w14:paraId="4B4D0C0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1.5.2不同供应商委托同一单位或者个人办理磋商事宜；</w:t>
      </w:r>
    </w:p>
    <w:p w14:paraId="65D38A0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1.5.3不同供应商的响应文件载明的项目管理成员或者联系人员为同一人；</w:t>
      </w:r>
    </w:p>
    <w:p w14:paraId="7F627FA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1.5.4不同供应商的响应文件异常一致或者响应报价呈规律性差异。</w:t>
      </w:r>
    </w:p>
    <w:p w14:paraId="00C7754C">
      <w:pPr>
        <w:adjustRightInd w:val="0"/>
        <w:snapToGrid w:val="0"/>
        <w:spacing w:line="360" w:lineRule="auto"/>
        <w:ind w:firstLine="480" w:firstLineChars="2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2、质疑处理</w:t>
      </w:r>
      <w:bookmarkEnd w:id="88"/>
    </w:p>
    <w:p w14:paraId="7EEB996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提出质疑的供应商应当是参与所质疑项目采购活动的供应商。潜在供应商依法获取其可质疑的磋商文件的，可以对磋商文件提出质疑。</w:t>
      </w:r>
    </w:p>
    <w:p w14:paraId="2F6A135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1374B1B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2.2.1对可以质疑的磋商文件提出质疑的，为收到磋商文件之日或者采购邀请期限届满之日；</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2.2.2对采购过程提出质疑的，为各采购程序环节结束之日；</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2.2.3对成交结果提出质疑的，为成交结果公告期限届满之日。</w:t>
      </w:r>
    </w:p>
    <w:p w14:paraId="7ED2B3C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供应商应当在法定质疑期内一次性提出针对同一采购程序环节的质疑。</w:t>
      </w:r>
    </w:p>
    <w:p w14:paraId="74472A7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6934DCFD">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2C0EB3F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采购单位质疑接收人及联系方式，见磋商文件第一部分。</w:t>
      </w:r>
    </w:p>
    <w:p w14:paraId="4B1A232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以下情形的质疑不予受理</w:t>
      </w:r>
    </w:p>
    <w:p w14:paraId="44C4748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 内容不符合《政府采购质疑和投诉办法》第十二条规定的质疑。</w:t>
      </w:r>
    </w:p>
    <w:p w14:paraId="3FB635B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超出政府采购法定期限的质疑。</w:t>
      </w:r>
    </w:p>
    <w:p w14:paraId="4C37271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 未参加磋商活动的供应商或在磋商活动中自身权益未受到损害的供应商所提出的质疑。</w:t>
      </w:r>
    </w:p>
    <w:p w14:paraId="7AE44C8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2.5.4供应商组成联合体参加磋商，联合体中任何一方或多方未按要求签字、盖章、加盖公章的质疑。</w:t>
      </w:r>
    </w:p>
    <w:p w14:paraId="23583AA6">
      <w:pPr>
        <w:adjustRightInd w:val="0"/>
        <w:snapToGrid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0ACEABEE">
      <w:pPr>
        <w:adjustRightInd w:val="0"/>
        <w:snapToGrid w:val="0"/>
        <w:spacing w:line="360" w:lineRule="auto"/>
        <w:ind w:firstLine="360" w:firstLineChars="15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3、成交通知书</w:t>
      </w:r>
    </w:p>
    <w:p w14:paraId="35A670B9">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3.l</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成交结果确定后，采购单位将向成交供应商发出成交通知书。</w:t>
      </w:r>
    </w:p>
    <w:p w14:paraId="4D3F49F0">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3.2成交通知书将是合同的一个组成部分。对采购单位和成交供应商均具有法律效力。成交通知书发出后，采购单位改变成交结果的，或者成交供应商放弃磋商项目的，应当依法承担法律责任。</w:t>
      </w:r>
    </w:p>
    <w:p w14:paraId="10046923">
      <w:pPr>
        <w:adjustRightInd w:val="0"/>
        <w:snapToGrid w:val="0"/>
        <w:spacing w:line="360" w:lineRule="auto"/>
        <w:ind w:firstLine="482" w:firstLineChars="200"/>
        <w:outlineLvl w:val="2"/>
        <w:rPr>
          <w:rFonts w:hint="eastAsia" w:ascii="宋体" w:hAnsi="宋体" w:eastAsia="宋体" w:cs="宋体"/>
          <w:b/>
          <w:bCs/>
          <w:color w:val="auto"/>
          <w:sz w:val="24"/>
          <w:highlight w:val="none"/>
        </w:rPr>
      </w:pPr>
      <w:bookmarkStart w:id="89" w:name="_Toc120614220"/>
      <w:bookmarkStart w:id="90" w:name="_Toc20823308"/>
      <w:bookmarkStart w:id="91" w:name="_Toc513029236"/>
      <w:bookmarkStart w:id="92" w:name="_Toc16938552"/>
      <w:r>
        <w:rPr>
          <w:rFonts w:hint="eastAsia" w:ascii="宋体" w:hAnsi="宋体" w:eastAsia="宋体" w:cs="宋体"/>
          <w:b/>
          <w:bCs/>
          <w:color w:val="auto"/>
          <w:sz w:val="24"/>
          <w:highlight w:val="none"/>
        </w:rPr>
        <w:t>八、授予合同</w:t>
      </w:r>
      <w:bookmarkEnd w:id="89"/>
    </w:p>
    <w:bookmarkEnd w:id="90"/>
    <w:bookmarkEnd w:id="91"/>
    <w:bookmarkEnd w:id="92"/>
    <w:p w14:paraId="14421B3D">
      <w:pPr>
        <w:adjustRightInd w:val="0"/>
        <w:snapToGrid w:val="0"/>
        <w:spacing w:line="360" w:lineRule="auto"/>
        <w:ind w:firstLine="480" w:firstLineChars="2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1、签订合同</w:t>
      </w:r>
    </w:p>
    <w:p w14:paraId="471BBD7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.l成交供应商应当在成交通知书发出之日起三十日内，按照磋商文件确定的事项与采购单位签订采购合同。</w:t>
      </w:r>
    </w:p>
    <w:p w14:paraId="0E41457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1.2磋商文件、成交供应商的响应文件及磋商过程中有关澄清、承诺文件均应作为合同附件。</w:t>
      </w:r>
    </w:p>
    <w:p w14:paraId="7911E28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3E2B62A1">
      <w:pPr>
        <w:adjustRightInd w:val="0"/>
        <w:snapToGrid w:val="0"/>
        <w:spacing w:line="360" w:lineRule="auto"/>
        <w:ind w:firstLine="480" w:firstLineChars="2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2、货物和服务的追加、减少和添购。</w:t>
      </w:r>
    </w:p>
    <w:p w14:paraId="2173866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2.1政府采购合同履行中，采购单位需追加与合同标的相同的货物和服务的，在不改变合同其他条款的前提下，可以与成交供应商协商签订补充合同，但所有补充合同的采购金额不超过原合同金额10%。</w:t>
      </w:r>
    </w:p>
    <w:p w14:paraId="67F7843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2.2采购结束后，采购单位若由于各种客观原因，必须对采购项目所牵涉的货物和服务进行适当的减少时，在双方协商一致的前提下，可以按照采购时的价格水平做相应的调减，并据此签订补充合同。</w:t>
      </w:r>
    </w:p>
    <w:p w14:paraId="1D99172B">
      <w:pPr>
        <w:pStyle w:val="6"/>
        <w:snapToGrid w:val="0"/>
        <w:spacing w:before="0" w:after="0" w:line="360" w:lineRule="auto"/>
        <w:ind w:firstLine="480" w:firstLineChars="200"/>
        <w:rPr>
          <w:rFonts w:hint="eastAsia" w:ascii="宋体" w:hAnsi="宋体" w:eastAsia="宋体" w:cs="宋体"/>
          <w:b w:val="0"/>
          <w:bCs w:val="0"/>
          <w:color w:val="auto"/>
          <w:sz w:val="24"/>
          <w:szCs w:val="24"/>
          <w:highlight w:val="none"/>
        </w:rPr>
        <w:sectPr>
          <w:headerReference r:id="rId7" w:type="default"/>
          <w:footerReference r:id="rId8" w:type="default"/>
          <w:pgSz w:w="11906" w:h="16838"/>
          <w:pgMar w:top="1588" w:right="1418" w:bottom="1418" w:left="1701" w:header="907" w:footer="737" w:gutter="0"/>
          <w:pgNumType w:fmt="numberInDash" w:start="1"/>
          <w:cols w:space="720" w:num="1"/>
          <w:docGrid w:linePitch="312" w:charSpace="0"/>
        </w:sectPr>
      </w:pPr>
    </w:p>
    <w:bookmarkEnd w:id="10"/>
    <w:bookmarkEnd w:id="11"/>
    <w:bookmarkEnd w:id="12"/>
    <w:bookmarkEnd w:id="13"/>
    <w:bookmarkEnd w:id="14"/>
    <w:bookmarkEnd w:id="15"/>
    <w:bookmarkEnd w:id="16"/>
    <w:bookmarkEnd w:id="17"/>
    <w:bookmarkEnd w:id="18"/>
    <w:bookmarkEnd w:id="19"/>
    <w:bookmarkEnd w:id="20"/>
    <w:p w14:paraId="151A7B87">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第三部分 项目需求</w:t>
      </w:r>
    </w:p>
    <w:p w14:paraId="3401B8A5">
      <w:pPr>
        <w:spacing w:line="460" w:lineRule="exact"/>
        <w:ind w:firstLine="560"/>
        <w:rPr>
          <w:rFonts w:hint="eastAsia" w:ascii="宋体" w:hAnsi="宋体" w:eastAsia="宋体" w:cs="宋体"/>
          <w:snapToGrid/>
          <w:color w:val="auto"/>
          <w:sz w:val="24"/>
          <w:highlight w:val="none"/>
        </w:rPr>
      </w:pPr>
      <w:r>
        <w:rPr>
          <w:rFonts w:hint="eastAsia" w:ascii="宋体" w:hAnsi="宋体" w:eastAsia="宋体"/>
          <w:b/>
          <w:bCs/>
          <w:snapToGrid/>
          <w:color w:val="auto"/>
          <w:spacing w:val="-8"/>
          <w:sz w:val="24"/>
          <w:highlight w:val="none"/>
        </w:rPr>
        <w:t xml:space="preserve">（一）采购标的需实现的功能或者目标 </w:t>
      </w:r>
    </w:p>
    <w:p w14:paraId="41155A2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本项目主要施工内容包括政务中心主楼及裙楼的电气火灾监控探测器、电气火灾监控主机、自动报警系统调试等，具体详见施工图纸及工程量清单所示所有内容。</w:t>
      </w:r>
    </w:p>
    <w:p w14:paraId="6B3127B8">
      <w:pPr>
        <w:spacing w:line="460" w:lineRule="exact"/>
        <w:ind w:firstLine="48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（二）采购标的需执行的国家相关标准、行业标准、地方标准或者其他标准、规范</w:t>
      </w:r>
    </w:p>
    <w:p w14:paraId="57CDA099">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按国家现行相关法律法规和行业标准执行。</w:t>
      </w:r>
    </w:p>
    <w:p w14:paraId="0696F703">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1、工程采用的计价规范</w:t>
      </w:r>
    </w:p>
    <w:p w14:paraId="688ED101">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1.1 《建筑工程工程量清单计价规范》（GB50500-2013）、《通用安装工程工程量计算规范》（GB50856-2013）、《市政工程工程量计算规范》（GB50857-2013）；</w:t>
      </w:r>
    </w:p>
    <w:p w14:paraId="49F505EE">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1.2 《江苏省建设工程工程量清单计价项目指引》（2014年）；</w:t>
      </w:r>
    </w:p>
    <w:p w14:paraId="57F14AE2">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1.3《江苏省建筑与装饰工程计价定额》（2014年）、《江苏省安装工程计价定额》（2014年）、《江苏省市政工程计价定额》（2014年）、《江苏省仿古建筑与园林工程计价表》（2007版）；</w:t>
      </w:r>
    </w:p>
    <w:p w14:paraId="5ED2AE9F">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1.4《江苏省建设工程费用定额》（2014年）、《省住房和城乡建设厅关于建筑业实施营改增后江苏省建设工程计价依据调整的通知》（苏建价[2016]154号文）、《省住房城乡建设厅关于调整建设工程按质论价等费用计取方法的公告》（[2018]第24号）、《省住房城乡建设厅关于调整建设工程计价增值税税率的通知》 （苏建函价〔2019〕178号）；</w:t>
      </w:r>
    </w:p>
    <w:p w14:paraId="5381E087">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1.5 相应的补充规定和南通市现行的有关文件。</w:t>
      </w:r>
    </w:p>
    <w:p w14:paraId="388F81E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2、本工程采用的技术规范</w:t>
      </w:r>
    </w:p>
    <w:p w14:paraId="7477FD45">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2.1《火灾自动报警系统组件兼容性要求》</w:t>
      </w:r>
    </w:p>
    <w:p w14:paraId="3A3C254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2.2《建设工程文件归档整理规范》GB50328-2019</w:t>
      </w:r>
    </w:p>
    <w:p w14:paraId="306F975F">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2.3 国家、地方、行业现行的建设工程强制性条文、其他规范和标准</w:t>
      </w:r>
    </w:p>
    <w:p w14:paraId="440EEB48">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2.4 国家、地方、行业现行的有关材料、设备的规范和标准</w:t>
      </w:r>
    </w:p>
    <w:p w14:paraId="0B6505D9">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3D9DFD65">
      <w:pPr>
        <w:tabs>
          <w:tab w:val="left" w:pos="0"/>
          <w:tab w:val="left" w:pos="683"/>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3、本工程对施工工艺的特殊要求</w:t>
      </w:r>
    </w:p>
    <w:p w14:paraId="710EE1EE">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3.1 施工期间要注意周边环境，尽量避免或减少对周围居民生活的影响。</w:t>
      </w:r>
    </w:p>
    <w:p w14:paraId="62FE6A49">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3.2 冬、雨季施工要采取相应的保证措施。</w:t>
      </w:r>
    </w:p>
    <w:p w14:paraId="5540520D">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3.3 工程的主要部位和特殊要求由建设、设计、监理三方讨论后以书面形式通知施工单位实施。</w:t>
      </w:r>
    </w:p>
    <w:p w14:paraId="1F98AD44">
      <w:pPr>
        <w:tabs>
          <w:tab w:val="left" w:pos="0"/>
        </w:tabs>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（三）采购标的需满足的质量、安全、技术规格、物理特性等要求</w:t>
      </w:r>
    </w:p>
    <w:p w14:paraId="3F3BDCCD">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1、响应报价的范围</w:t>
      </w:r>
    </w:p>
    <w:p w14:paraId="769268CE">
      <w:pPr>
        <w:widowControl/>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snapToGrid/>
          <w:color w:val="auto"/>
          <w:sz w:val="24"/>
          <w:highlight w:val="none"/>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69CB99D9">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2、本项目为</w:t>
      </w:r>
      <w:r>
        <w:rPr>
          <w:rFonts w:hint="eastAsia" w:ascii="宋体" w:hAnsi="宋体" w:eastAsia="宋体" w:cs="宋体"/>
          <w:b/>
          <w:bCs/>
          <w:snapToGrid/>
          <w:color w:val="auto"/>
          <w:sz w:val="24"/>
          <w:highlight w:val="none"/>
        </w:rPr>
        <w:t>固定单价</w:t>
      </w:r>
      <w:r>
        <w:rPr>
          <w:rFonts w:hint="eastAsia" w:ascii="宋体" w:hAnsi="宋体" w:eastAsia="宋体" w:cs="宋体"/>
          <w:snapToGrid/>
          <w:color w:val="auto"/>
          <w:sz w:val="24"/>
          <w:highlight w:val="none"/>
        </w:rPr>
        <w:t>合同。供应商应充分考虑本项目合同实施期间可能发生的费用，并承担由此而带来的风险（包含材料价格涨跌和人工工资调整）。</w:t>
      </w:r>
    </w:p>
    <w:p w14:paraId="42DA1324">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431D28D7">
      <w:pPr>
        <w:spacing w:line="460" w:lineRule="exact"/>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4、控制价编制依据 </w:t>
      </w:r>
    </w:p>
    <w:p w14:paraId="50B49500">
      <w:pPr>
        <w:spacing w:line="460" w:lineRule="exact"/>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（1）本工程采购文件、施工图纸及现有的设计变更、图纸审查意见及回复、招标答疑（如有）等有关技术资料。 </w:t>
      </w:r>
    </w:p>
    <w:p w14:paraId="3AC4F31F">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30AFC919">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bookmarkStart w:id="93" w:name="OLE_LINK11"/>
      <w:r>
        <w:rPr>
          <w:rFonts w:hint="eastAsia" w:ascii="宋体" w:hAnsi="宋体" w:eastAsia="宋体" w:cs="宋体"/>
          <w:snapToGrid/>
          <w:color w:val="auto"/>
          <w:sz w:val="24"/>
          <w:highlight w:val="none"/>
        </w:rPr>
        <w:t>人工工资按《省住房和城乡建设厅关于发布2025年上半年建设工程人工工资指导价的通知》（苏建函价〔2025〕66号）执行</w:t>
      </w:r>
      <w:bookmarkEnd w:id="93"/>
      <w:r>
        <w:rPr>
          <w:rFonts w:hint="eastAsia" w:ascii="宋体" w:hAnsi="宋体" w:eastAsia="宋体" w:cs="宋体"/>
          <w:snapToGrid/>
          <w:color w:val="auto"/>
          <w:sz w:val="24"/>
          <w:highlight w:val="none"/>
        </w:rPr>
        <w:t>。材料价格参考《南通建设工程造价信息》2025年第11期，缺项材料市场询价。上述价格已考虑营改增的调整内容，材料按信息价中含税价格除税，征税方法采用一般计税法；</w:t>
      </w:r>
    </w:p>
    <w:p w14:paraId="62C29FF1">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（4）本工程不可竞争费用项目及其费率见下表：</w:t>
      </w:r>
    </w:p>
    <w:tbl>
      <w:tblPr>
        <w:tblStyle w:val="88"/>
        <w:tblW w:w="47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8"/>
        <w:gridCol w:w="2766"/>
        <w:gridCol w:w="2272"/>
        <w:gridCol w:w="1981"/>
      </w:tblGrid>
      <w:tr w14:paraId="07F0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noWrap/>
            <w:vAlign w:val="center"/>
          </w:tcPr>
          <w:p w14:paraId="5F7ED4EA">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费用类别</w:t>
            </w:r>
          </w:p>
        </w:tc>
        <w:tc>
          <w:tcPr>
            <w:tcW w:w="2767" w:type="dxa"/>
            <w:noWrap/>
            <w:vAlign w:val="center"/>
          </w:tcPr>
          <w:p w14:paraId="1FBAF239">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费 用 名 称</w:t>
            </w:r>
          </w:p>
        </w:tc>
        <w:tc>
          <w:tcPr>
            <w:tcW w:w="2272" w:type="dxa"/>
            <w:noWrap/>
            <w:vAlign w:val="center"/>
          </w:tcPr>
          <w:p w14:paraId="61EB26AF">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计费</w:t>
            </w:r>
          </w:p>
          <w:p w14:paraId="1537E756">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基数</w:t>
            </w:r>
          </w:p>
        </w:tc>
        <w:tc>
          <w:tcPr>
            <w:tcW w:w="1980" w:type="dxa"/>
            <w:noWrap/>
            <w:vAlign w:val="center"/>
          </w:tcPr>
          <w:p w14:paraId="1CB286F7">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安装(%)</w:t>
            </w:r>
          </w:p>
        </w:tc>
      </w:tr>
      <w:tr w14:paraId="2EEB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restart"/>
            <w:noWrap/>
            <w:vAlign w:val="center"/>
          </w:tcPr>
          <w:p w14:paraId="2F4A32B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规  费</w:t>
            </w:r>
          </w:p>
        </w:tc>
        <w:tc>
          <w:tcPr>
            <w:tcW w:w="2767" w:type="dxa"/>
            <w:noWrap/>
            <w:vAlign w:val="center"/>
          </w:tcPr>
          <w:p w14:paraId="4C877263">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环境保护税</w:t>
            </w:r>
          </w:p>
        </w:tc>
        <w:tc>
          <w:tcPr>
            <w:tcW w:w="2272" w:type="dxa"/>
            <w:noWrap/>
            <w:vAlign w:val="center"/>
          </w:tcPr>
          <w:p w14:paraId="033C21C0">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A+B+C-D</w:t>
            </w:r>
          </w:p>
        </w:tc>
        <w:tc>
          <w:tcPr>
            <w:tcW w:w="1980" w:type="dxa"/>
            <w:noWrap/>
            <w:vAlign w:val="center"/>
          </w:tcPr>
          <w:p w14:paraId="34E777CD">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w:t>
            </w:r>
          </w:p>
        </w:tc>
      </w:tr>
      <w:tr w14:paraId="1634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24E5F91F">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2592E74A">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社会保险费</w:t>
            </w:r>
          </w:p>
        </w:tc>
        <w:tc>
          <w:tcPr>
            <w:tcW w:w="2272" w:type="dxa"/>
            <w:noWrap/>
            <w:vAlign w:val="center"/>
          </w:tcPr>
          <w:p w14:paraId="0FBFD13C">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A+B+C-D</w:t>
            </w:r>
          </w:p>
        </w:tc>
        <w:tc>
          <w:tcPr>
            <w:tcW w:w="1980" w:type="dxa"/>
            <w:noWrap/>
            <w:vAlign w:val="center"/>
          </w:tcPr>
          <w:p w14:paraId="4CCAABFC">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2.40</w:t>
            </w:r>
          </w:p>
        </w:tc>
      </w:tr>
      <w:tr w14:paraId="4C90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005431D5">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39085813">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住房公积金</w:t>
            </w:r>
          </w:p>
        </w:tc>
        <w:tc>
          <w:tcPr>
            <w:tcW w:w="2272" w:type="dxa"/>
            <w:noWrap/>
            <w:vAlign w:val="center"/>
          </w:tcPr>
          <w:p w14:paraId="1027A46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A+B+C-D</w:t>
            </w:r>
          </w:p>
        </w:tc>
        <w:tc>
          <w:tcPr>
            <w:tcW w:w="1980" w:type="dxa"/>
            <w:noWrap/>
            <w:vAlign w:val="center"/>
          </w:tcPr>
          <w:p w14:paraId="5BD9C613">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0.42</w:t>
            </w:r>
          </w:p>
        </w:tc>
      </w:tr>
      <w:tr w14:paraId="1B3D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restart"/>
            <w:noWrap/>
            <w:vAlign w:val="center"/>
          </w:tcPr>
          <w:p w14:paraId="636ACB15">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现场安全文明施工措施费</w:t>
            </w:r>
          </w:p>
        </w:tc>
        <w:tc>
          <w:tcPr>
            <w:tcW w:w="2767" w:type="dxa"/>
            <w:noWrap/>
            <w:vAlign w:val="center"/>
          </w:tcPr>
          <w:p w14:paraId="12FDCA62">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基本费</w:t>
            </w:r>
          </w:p>
        </w:tc>
        <w:tc>
          <w:tcPr>
            <w:tcW w:w="2272" w:type="dxa"/>
            <w:noWrap/>
            <w:vAlign w:val="center"/>
          </w:tcPr>
          <w:p w14:paraId="2D49DEB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A+B1-D</w:t>
            </w:r>
          </w:p>
        </w:tc>
        <w:tc>
          <w:tcPr>
            <w:tcW w:w="1980" w:type="dxa"/>
            <w:noWrap/>
            <w:vAlign w:val="center"/>
          </w:tcPr>
          <w:p w14:paraId="05F175B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1.50</w:t>
            </w:r>
          </w:p>
        </w:tc>
      </w:tr>
      <w:tr w14:paraId="59BF8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2204DA57">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2F38F839">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标化工地增加费</w:t>
            </w:r>
          </w:p>
        </w:tc>
        <w:tc>
          <w:tcPr>
            <w:tcW w:w="2272" w:type="dxa"/>
            <w:noWrap/>
            <w:vAlign w:val="center"/>
          </w:tcPr>
          <w:p w14:paraId="37977A8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A+B1-D</w:t>
            </w:r>
          </w:p>
        </w:tc>
        <w:tc>
          <w:tcPr>
            <w:tcW w:w="1980" w:type="dxa"/>
            <w:noWrap/>
            <w:vAlign w:val="center"/>
          </w:tcPr>
          <w:p w14:paraId="49443C0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w:t>
            </w:r>
          </w:p>
        </w:tc>
      </w:tr>
      <w:tr w14:paraId="7025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7" w:type="dxa"/>
            <w:vMerge w:val="continue"/>
            <w:noWrap/>
            <w:vAlign w:val="center"/>
          </w:tcPr>
          <w:p w14:paraId="23C794DD">
            <w:pPr>
              <w:spacing w:line="460" w:lineRule="exact"/>
              <w:ind w:firstLine="562"/>
              <w:jc w:val="center"/>
              <w:rPr>
                <w:rFonts w:hint="eastAsia" w:ascii="宋体" w:hAnsi="宋体" w:eastAsia="宋体" w:cs="宋体"/>
                <w:snapToGrid/>
                <w:color w:val="auto"/>
                <w:sz w:val="24"/>
                <w:highlight w:val="none"/>
              </w:rPr>
            </w:pPr>
          </w:p>
        </w:tc>
        <w:tc>
          <w:tcPr>
            <w:tcW w:w="2767" w:type="dxa"/>
            <w:noWrap/>
            <w:vAlign w:val="center"/>
          </w:tcPr>
          <w:p w14:paraId="3AA69A08">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扬尘污染防治增加费</w:t>
            </w:r>
          </w:p>
        </w:tc>
        <w:tc>
          <w:tcPr>
            <w:tcW w:w="2272" w:type="dxa"/>
            <w:noWrap/>
            <w:vAlign w:val="center"/>
          </w:tcPr>
          <w:p w14:paraId="2470042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A+B1-D</w:t>
            </w:r>
          </w:p>
        </w:tc>
        <w:tc>
          <w:tcPr>
            <w:tcW w:w="1980" w:type="dxa"/>
            <w:noWrap/>
            <w:vAlign w:val="center"/>
          </w:tcPr>
          <w:p w14:paraId="785BADBE">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w:t>
            </w:r>
          </w:p>
        </w:tc>
      </w:tr>
      <w:tr w14:paraId="5661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4" w:type="dxa"/>
            <w:gridSpan w:val="2"/>
            <w:noWrap/>
            <w:vAlign w:val="center"/>
          </w:tcPr>
          <w:p w14:paraId="6445FC01">
            <w:pPr>
              <w:spacing w:line="460" w:lineRule="exact"/>
              <w:ind w:firstLine="562"/>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税  金</w:t>
            </w:r>
          </w:p>
        </w:tc>
        <w:tc>
          <w:tcPr>
            <w:tcW w:w="2272" w:type="dxa"/>
            <w:noWrap/>
            <w:vAlign w:val="center"/>
          </w:tcPr>
          <w:p w14:paraId="6BE19424">
            <w:pPr>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税前造价</w:t>
            </w:r>
          </w:p>
        </w:tc>
        <w:tc>
          <w:tcPr>
            <w:tcW w:w="1980" w:type="dxa"/>
            <w:noWrap/>
            <w:vAlign w:val="center"/>
          </w:tcPr>
          <w:p w14:paraId="47FD2ADB">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9.00</w:t>
            </w:r>
          </w:p>
        </w:tc>
      </w:tr>
    </w:tbl>
    <w:p w14:paraId="0392CE1D">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注：①计算基础：A为分部分项工程费， B为措施项目清单费，C其它项目费，D为除税工程设备费，B1为单价措施项目费。  </w:t>
      </w:r>
    </w:p>
    <w:p w14:paraId="31F9DE44">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城乡建设厅关于调整建设工程按质论价等费用计取方法的公告》(江苏省住房和城乡建设厅公告〔2018〕第24号 )规定足额计取，不得更改费率； </w:t>
      </w:r>
    </w:p>
    <w:p w14:paraId="59D0A53A">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③</w:t>
      </w:r>
      <w:r>
        <w:rPr>
          <w:rFonts w:hint="eastAsia" w:ascii="宋体" w:hAnsi="宋体" w:eastAsia="宋体" w:cs="宋体"/>
          <w:color w:val="auto"/>
          <w:sz w:val="24"/>
          <w:highlight w:val="none"/>
        </w:rPr>
        <w:t>本项目暂列金额为8000.00</w:t>
      </w:r>
      <w:r>
        <w:rPr>
          <w:rFonts w:ascii="宋体" w:hAnsi="宋体" w:eastAsia="宋体" w:cs="宋体"/>
          <w:color w:val="auto"/>
          <w:sz w:val="24"/>
          <w:highlight w:val="none"/>
        </w:rPr>
        <w:t>元，各供应商在报价时不得调整上述金额，否则视为无效报价。</w:t>
      </w:r>
    </w:p>
    <w:p w14:paraId="345F89B2">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④其他有关费率：详见控制价文件。</w:t>
      </w:r>
    </w:p>
    <w:p w14:paraId="50325385">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5、投标报价的计价依据</w:t>
      </w:r>
    </w:p>
    <w:p w14:paraId="35BAF7B3">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按照国家统一的工程量清单计价规范，配套使用江苏省建筑与装饰、市政、安装工程定额、费用计算规则和项目指引，由采购单位提供工程量，各供应商自主报价确定工程造价的计价方式。</w:t>
      </w:r>
    </w:p>
    <w:p w14:paraId="60BD5475">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6、投标报价方式：</w:t>
      </w:r>
    </w:p>
    <w:p w14:paraId="5A5E02D0">
      <w:pPr>
        <w:widowControl/>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本工程项目采用</w:t>
      </w:r>
      <w:r>
        <w:rPr>
          <w:rFonts w:hint="eastAsia" w:ascii="宋体" w:hAnsi="宋体" w:eastAsia="宋体" w:cs="宋体"/>
          <w:b/>
          <w:bCs/>
          <w:snapToGrid/>
          <w:color w:val="auto"/>
          <w:sz w:val="24"/>
          <w:highlight w:val="none"/>
          <w:u w:val="single"/>
        </w:rPr>
        <w:t>固定单价</w:t>
      </w:r>
      <w:r>
        <w:rPr>
          <w:rFonts w:hint="eastAsia" w:ascii="宋体" w:hAnsi="宋体" w:eastAsia="宋体" w:cs="宋体"/>
          <w:snapToGrid/>
          <w:color w:val="auto"/>
          <w:sz w:val="24"/>
          <w:highlight w:val="none"/>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639EDE7F">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7、投标报价的编制要求</w:t>
      </w:r>
    </w:p>
    <w:p w14:paraId="60CA8E6B">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（1）采用工程量清单计价方式，供应商不得采用总价让利或以总价百分比让利等办法进行报价。</w:t>
      </w:r>
    </w:p>
    <w:p w14:paraId="55C6885E">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（2）除供应商自行补充的措施项目外，响应报价的项目编码、项目名称、项目特征、计量单位、工程量必须与采购单位提供的一致。</w:t>
      </w:r>
    </w:p>
    <w:p w14:paraId="3C6A74C3">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（3）工程量清单中供应商没有填入单价或价格的子目，其费用视为已分摊在工程量清单中其他子目的单价或价格之中。</w:t>
      </w:r>
    </w:p>
    <w:p w14:paraId="5B0E24EB">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（4）报价书中的工程数量乘以综合单价必须等于合价，如有误差结算时以综合单价金额小的为计算依据。</w:t>
      </w:r>
    </w:p>
    <w:p w14:paraId="48AB4188">
      <w:pPr>
        <w:widowControl/>
        <w:spacing w:line="360" w:lineRule="auto"/>
        <w:ind w:firstLine="562"/>
        <w:rPr>
          <w:rFonts w:hint="eastAsia" w:ascii="宋体" w:hAnsi="宋体" w:eastAsia="宋体" w:cs="宋体"/>
          <w:snapToGrid/>
          <w:color w:val="auto"/>
          <w:sz w:val="24"/>
          <w:highlight w:val="none"/>
        </w:rPr>
      </w:pPr>
      <w:bookmarkStart w:id="94" w:name="_Hlk203502430"/>
      <w:r>
        <w:rPr>
          <w:rFonts w:hint="eastAsia" w:ascii="宋体" w:hAnsi="宋体" w:eastAsia="宋体" w:cs="宋体"/>
          <w:snapToGrid/>
          <w:color w:val="auto"/>
          <w:sz w:val="24"/>
          <w:highlight w:val="none"/>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6CFDE96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63EFFCF1">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08C79261">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（8）供应商在响应报价时，不可竞争费用（率）不得调整，否则按无效响应文件处理。</w:t>
      </w:r>
    </w:p>
    <w:p w14:paraId="6B474B22">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（9）因施工场地狭小而发生的一切费用由各供应商自行考虑，所有费用包含在响应报价中，竣工结算时一律不作调整。</w:t>
      </w:r>
    </w:p>
    <w:p w14:paraId="291A4486">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（10）</w:t>
      </w:r>
      <w:bookmarkStart w:id="95" w:name="OLE_LINK22"/>
      <w:r>
        <w:rPr>
          <w:rFonts w:hint="eastAsia" w:ascii="宋体" w:hAnsi="宋体" w:eastAsia="宋体" w:cs="宋体"/>
          <w:snapToGrid/>
          <w:color w:val="auto"/>
          <w:sz w:val="24"/>
          <w:highlight w:val="none"/>
        </w:rPr>
        <w:t>供应商应认真踏勘施工现场，考虑因各种困难因素所发生的一切费用由供应商自行考虑，并在磋商响应报价中予以体现，以后不得以此为由提出额外增加费用的要求。水、电接驳，按发包人指定地点，定量表记、接至施工现场管线由供应商自行考虑，费用包含在磋商响应报价中。现场自来水及电源接入点现场具体位置由供应商现场踏勘。</w:t>
      </w:r>
      <w:bookmarkEnd w:id="95"/>
    </w:p>
    <w:p w14:paraId="6FC3952E">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（11）施工场地周围地下管线和临近建筑物及构筑物的保护，由成交供应商采取保护措施，协调处理，费用包含在磋商响应报价中，竣工结算时一律不作调整。</w:t>
      </w:r>
    </w:p>
    <w:p w14:paraId="3D3EF102">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32B0B7C3">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13）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40868C1B">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04B9C09A">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651E90C9">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60A55BBD">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（17）供应商工地踏勘应充分了解工地位置情况，道路、储存空间、装卸限制及任何其它足以影响报价的情况，任何忽视或误解工地情况而导致的索赔及工期延长申请将不被批准。</w:t>
      </w:r>
    </w:p>
    <w:p w14:paraId="42BD5101">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73D96A0D">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（19）</w:t>
      </w:r>
      <w:r>
        <w:rPr>
          <w:rFonts w:hint="eastAsia" w:ascii="方正仿宋_GB2312" w:hAnsi="Arial" w:eastAsia="宋体"/>
          <w:snapToGrid/>
          <w:color w:val="auto"/>
          <w:sz w:val="24"/>
          <w:highlight w:val="none"/>
        </w:rPr>
        <w:t>供应商应认真踏勘施工现场，并在报价中充分考虑施工现场情况、</w:t>
      </w:r>
      <w:r>
        <w:rPr>
          <w:rFonts w:hint="eastAsia" w:ascii="宋体" w:hAnsi="宋体" w:eastAsia="宋体" w:cs="宋体"/>
          <w:snapToGrid/>
          <w:color w:val="auto"/>
          <w:sz w:val="24"/>
          <w:highlight w:val="none"/>
        </w:rPr>
        <w:t>施工期的各种风险及施工期间或以后有可能发生的费用，并计入工程报价，一旦成交，不得提出额外增加费用要求。</w:t>
      </w:r>
    </w:p>
    <w:p w14:paraId="76C67AFE">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20）工程量清单应与施工图、竞争性招标文件、技术要求、技术规范等文件结合起来阅读，除设计变更外，采购单位在工程量清单项目特征中未列明或项目特征描述不全，但供应商人为满足采购单位和设计图纸的要求而必须完成的工作，供应商应计入工程量清单相应子目中，工程结算时采购单位不为此类项目另外支付费用。</w:t>
      </w:r>
    </w:p>
    <w:p w14:paraId="37694F4C">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5E13D52C">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39E5EC86">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44AFADF7">
      <w:pPr>
        <w:widowControl/>
        <w:spacing w:line="360" w:lineRule="auto"/>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22B1BC0B">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1787A746">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4A28E186">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1D60BB42">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22FC83D5">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（29）供应商施工期间应遵守南通市政务中心的有关施工管理和物业管理规定，做好每日施工场地清理、垃圾清运和保洁工作，上述费用包含在报价中，结算不作调整。</w:t>
      </w:r>
      <w:r>
        <w:rPr>
          <w:rFonts w:hint="eastAsia" w:ascii="宋体" w:hAnsi="宋体" w:eastAsia="宋体" w:cs="宋体"/>
          <w:color w:val="auto"/>
          <w:sz w:val="24"/>
          <w:highlight w:val="none"/>
        </w:rPr>
        <w:t>本项目物业配合费（200元）须由承包人支付给政务中心物业。</w:t>
      </w:r>
    </w:p>
    <w:p w14:paraId="4C5A465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（30）</w:t>
      </w:r>
      <w:r>
        <w:rPr>
          <w:rFonts w:ascii="宋体" w:hAnsi="宋体" w:eastAsia="宋体" w:cs="宋体"/>
          <w:snapToGrid/>
          <w:color w:val="auto"/>
          <w:sz w:val="24"/>
          <w:highlight w:val="none"/>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3E4947C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（31）</w:t>
      </w:r>
      <w:r>
        <w:rPr>
          <w:rFonts w:ascii="宋体" w:hAnsi="宋体" w:eastAsia="宋体" w:cs="宋体"/>
          <w:snapToGrid/>
          <w:color w:val="auto"/>
          <w:sz w:val="24"/>
          <w:highlight w:val="none"/>
        </w:rPr>
        <w:t>采购单位</w:t>
      </w:r>
      <w:r>
        <w:rPr>
          <w:rFonts w:hint="eastAsia" w:ascii="宋体" w:hAnsi="宋体" w:eastAsia="宋体" w:cs="宋体"/>
          <w:snapToGrid/>
          <w:color w:val="auto"/>
          <w:sz w:val="24"/>
          <w:highlight w:val="none"/>
        </w:rPr>
        <w:t>推荐品牌和厂家的材料，</w:t>
      </w:r>
      <w:r>
        <w:rPr>
          <w:rFonts w:ascii="宋体" w:hAnsi="宋体" w:eastAsia="宋体" w:cs="宋体"/>
          <w:snapToGrid/>
          <w:color w:val="auto"/>
          <w:sz w:val="24"/>
          <w:highlight w:val="none"/>
        </w:rPr>
        <w:t>成交供应商</w:t>
      </w:r>
      <w:r>
        <w:rPr>
          <w:rFonts w:hint="eastAsia" w:ascii="宋体" w:hAnsi="宋体" w:eastAsia="宋体" w:cs="宋体"/>
          <w:snapToGrid/>
          <w:color w:val="auto"/>
          <w:sz w:val="24"/>
          <w:highlight w:val="none"/>
        </w:rPr>
        <w:t>在实际采购前，必须由</w:t>
      </w:r>
      <w:r>
        <w:rPr>
          <w:rFonts w:ascii="宋体" w:hAnsi="宋体" w:eastAsia="宋体" w:cs="宋体"/>
          <w:snapToGrid/>
          <w:color w:val="auto"/>
          <w:sz w:val="24"/>
          <w:highlight w:val="none"/>
        </w:rPr>
        <w:t>采购单位</w:t>
      </w:r>
      <w:r>
        <w:rPr>
          <w:rFonts w:hint="eastAsia" w:ascii="宋体" w:hAnsi="宋体" w:eastAsia="宋体" w:cs="宋体"/>
          <w:snapToGrid/>
          <w:color w:val="auto"/>
          <w:sz w:val="24"/>
          <w:highlight w:val="none"/>
        </w:rPr>
        <w:t>和监理认质认生产厂家后方可采购。如</w:t>
      </w:r>
      <w:r>
        <w:rPr>
          <w:rFonts w:ascii="宋体" w:hAnsi="宋体" w:eastAsia="宋体" w:cs="宋体"/>
          <w:snapToGrid/>
          <w:color w:val="auto"/>
          <w:sz w:val="24"/>
          <w:highlight w:val="none"/>
        </w:rPr>
        <w:t>成交供应商</w:t>
      </w:r>
      <w:r>
        <w:rPr>
          <w:rFonts w:hint="eastAsia" w:ascii="宋体" w:hAnsi="宋体" w:eastAsia="宋体" w:cs="宋体"/>
          <w:snapToGrid/>
          <w:color w:val="auto"/>
          <w:sz w:val="24"/>
          <w:highlight w:val="none"/>
        </w:rPr>
        <w:t>使用不低于推荐品牌等级及标准的其他品牌且须征得</w:t>
      </w:r>
      <w:r>
        <w:rPr>
          <w:rFonts w:ascii="宋体" w:hAnsi="宋体" w:eastAsia="宋体" w:cs="宋体"/>
          <w:snapToGrid/>
          <w:color w:val="auto"/>
          <w:sz w:val="24"/>
          <w:highlight w:val="none"/>
        </w:rPr>
        <w:t>采购单位</w:t>
      </w:r>
      <w:r>
        <w:rPr>
          <w:rFonts w:hint="eastAsia" w:ascii="宋体" w:hAnsi="宋体" w:eastAsia="宋体" w:cs="宋体"/>
          <w:snapToGrid/>
          <w:color w:val="auto"/>
          <w:sz w:val="24"/>
          <w:highlight w:val="none"/>
        </w:rPr>
        <w:t>书面同意。</w:t>
      </w:r>
    </w:p>
    <w:p w14:paraId="1C5384C5">
      <w:pPr>
        <w:spacing w:line="360"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推荐品牌表</w:t>
      </w:r>
    </w:p>
    <w:tbl>
      <w:tblPr>
        <w:tblStyle w:val="6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4"/>
        <w:gridCol w:w="5679"/>
      </w:tblGrid>
      <w:tr w14:paraId="3100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194D7C">
            <w:pPr>
              <w:spacing w:line="360"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序号</w:t>
            </w:r>
          </w:p>
        </w:tc>
        <w:tc>
          <w:tcPr>
            <w:tcW w:w="2524" w:type="dxa"/>
            <w:vAlign w:val="center"/>
          </w:tcPr>
          <w:p w14:paraId="24BE78AC">
            <w:pPr>
              <w:spacing w:line="360" w:lineRule="auto"/>
              <w:ind w:firstLine="561"/>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材料名称</w:t>
            </w:r>
          </w:p>
        </w:tc>
        <w:tc>
          <w:tcPr>
            <w:tcW w:w="5679" w:type="dxa"/>
            <w:vAlign w:val="center"/>
          </w:tcPr>
          <w:p w14:paraId="3A28242B">
            <w:pPr>
              <w:spacing w:line="360" w:lineRule="auto"/>
              <w:ind w:firstLine="561"/>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品牌</w:t>
            </w:r>
          </w:p>
        </w:tc>
      </w:tr>
      <w:tr w14:paraId="05ED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5EDC873">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1</w:t>
            </w:r>
          </w:p>
        </w:tc>
        <w:tc>
          <w:tcPr>
            <w:tcW w:w="2524" w:type="dxa"/>
            <w:vAlign w:val="center"/>
          </w:tcPr>
          <w:p w14:paraId="3E2FE6AD">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开关断路器</w:t>
            </w:r>
          </w:p>
        </w:tc>
        <w:tc>
          <w:tcPr>
            <w:tcW w:w="5679" w:type="dxa"/>
            <w:vAlign w:val="center"/>
          </w:tcPr>
          <w:p w14:paraId="4EB16146">
            <w:pPr>
              <w:spacing w:line="360" w:lineRule="auto"/>
              <w:rPr>
                <w:rFonts w:hint="eastAsia" w:ascii="宋体" w:hAnsi="宋体" w:eastAsia="宋体"/>
                <w:snapToGrid/>
                <w:color w:val="auto"/>
                <w:sz w:val="24"/>
                <w:highlight w:val="none"/>
              </w:rPr>
            </w:pPr>
            <w:r>
              <w:rPr>
                <w:rFonts w:hint="eastAsia" w:ascii="宋体" w:hAnsi="宋体" w:eastAsia="宋体"/>
                <w:snapToGrid/>
                <w:color w:val="auto"/>
                <w:sz w:val="24"/>
                <w:highlight w:val="none"/>
              </w:rPr>
              <w:t>人民、正泰、华坤和常熟开关等同档次及以上品牌</w:t>
            </w:r>
          </w:p>
        </w:tc>
      </w:tr>
      <w:tr w14:paraId="3474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81B78B2">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2</w:t>
            </w:r>
          </w:p>
        </w:tc>
        <w:tc>
          <w:tcPr>
            <w:tcW w:w="2524" w:type="dxa"/>
            <w:vAlign w:val="center"/>
          </w:tcPr>
          <w:p w14:paraId="20F2051B">
            <w:pPr>
              <w:spacing w:line="360" w:lineRule="auto"/>
              <w:jc w:val="center"/>
              <w:rPr>
                <w:rFonts w:hint="eastAsia" w:ascii="宋体" w:hAnsi="宋体" w:eastAsia="宋体"/>
                <w:snapToGrid/>
                <w:color w:val="auto"/>
                <w:sz w:val="24"/>
                <w:highlight w:val="none"/>
              </w:rPr>
            </w:pPr>
            <w:r>
              <w:rPr>
                <w:rFonts w:hint="eastAsia" w:ascii="宋体" w:hAnsi="宋体" w:eastAsia="宋体"/>
                <w:snapToGrid/>
                <w:color w:val="auto"/>
                <w:sz w:val="24"/>
                <w:highlight w:val="none"/>
              </w:rPr>
              <w:t>电气火灾探测器</w:t>
            </w:r>
          </w:p>
        </w:tc>
        <w:tc>
          <w:tcPr>
            <w:tcW w:w="5679" w:type="dxa"/>
            <w:vAlign w:val="center"/>
          </w:tcPr>
          <w:p w14:paraId="7FBA985F">
            <w:pPr>
              <w:spacing w:line="360" w:lineRule="auto"/>
              <w:rPr>
                <w:rFonts w:hint="eastAsia" w:ascii="宋体" w:hAnsi="宋体" w:eastAsia="宋体"/>
                <w:snapToGrid/>
                <w:color w:val="auto"/>
                <w:sz w:val="24"/>
                <w:highlight w:val="none"/>
              </w:rPr>
            </w:pPr>
            <w:r>
              <w:rPr>
                <w:rFonts w:hint="eastAsia" w:ascii="宋体" w:hAnsi="宋体" w:eastAsia="宋体"/>
                <w:snapToGrid/>
                <w:color w:val="auto"/>
                <w:sz w:val="24"/>
                <w:highlight w:val="none"/>
              </w:rPr>
              <w:t>北大青鸟、上海松江和海湾等同档次及以上品牌</w:t>
            </w:r>
          </w:p>
        </w:tc>
      </w:tr>
    </w:tbl>
    <w:p w14:paraId="7501678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32）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51EDAAAA">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（33）成交供应商在磋商响应文件中未明确品牌的，采购单位有权要求使用磋商文件工程推荐品牌表中任意一种品牌，成交供应商不得提出异议且不得提出增加任何费用的要求。</w:t>
      </w:r>
    </w:p>
    <w:p w14:paraId="25B92915">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（34）供应商确定响应报价时应考虑施工过程中运出的</w:t>
      </w:r>
      <w:bookmarkStart w:id="96" w:name="OLE_LINK25"/>
      <w:r>
        <w:rPr>
          <w:rFonts w:hint="eastAsia" w:ascii="宋体" w:hAnsi="宋体" w:eastAsia="宋体" w:cs="宋体"/>
          <w:snapToGrid/>
          <w:color w:val="auto"/>
          <w:sz w:val="24"/>
          <w:highlight w:val="none"/>
        </w:rPr>
        <w:t>建筑垃圾</w:t>
      </w:r>
      <w:bookmarkEnd w:id="96"/>
      <w:r>
        <w:rPr>
          <w:rFonts w:hint="eastAsia" w:ascii="宋体" w:hAnsi="宋体" w:eastAsia="宋体" w:cs="宋体"/>
          <w:snapToGrid/>
          <w:color w:val="auto"/>
          <w:sz w:val="24"/>
          <w:highlight w:val="none"/>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4B69BEA1">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（35）成交供应商的管理人员临时办公室、工人宿舍及配套生活用房须另行自理，不得设在施工场地区域内。因工程需要临时向其他单位租用场地的，由成交供应商自行解决，相关费用列入报价。</w:t>
      </w:r>
    </w:p>
    <w:p w14:paraId="32C30294">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（36）如成交供应商在进场后发现施工图纸与现场不一致时，在施工前须与采购单位及监理方、设计方商定一致后，并按书面会商结果进行施工。</w:t>
      </w:r>
    </w:p>
    <w:p w14:paraId="7E46A44E">
      <w:pPr>
        <w:spacing w:line="360" w:lineRule="auto"/>
        <w:ind w:firstLine="561"/>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（37）供应商拆除原有设施后存放至采购人指定地点。</w:t>
      </w:r>
    </w:p>
    <w:p w14:paraId="771A3B8B">
      <w:pPr>
        <w:spacing w:line="360" w:lineRule="auto"/>
        <w:ind w:firstLine="561"/>
        <w:rPr>
          <w:rFonts w:ascii="Times New Roman" w:hAnsi="Times New Roman" w:eastAsia="宋体"/>
          <w:snapToGrid/>
          <w:color w:val="auto"/>
          <w:highlight w:val="none"/>
        </w:rPr>
      </w:pPr>
      <w:r>
        <w:rPr>
          <w:rFonts w:hint="eastAsia" w:ascii="宋体" w:hAnsi="宋体" w:eastAsia="宋体" w:cs="宋体"/>
          <w:snapToGrid/>
          <w:color w:val="auto"/>
          <w:sz w:val="24"/>
          <w:highlight w:val="none"/>
        </w:rPr>
        <w:t>（38）其他未尽事宜在书面答疑中明确。</w:t>
      </w:r>
    </w:p>
    <w:bookmarkEnd w:id="94"/>
    <w:p w14:paraId="446B4366">
      <w:pPr>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（四）采购标的数量、采购项目交付或者实施的时间和地点</w:t>
      </w:r>
    </w:p>
    <w:p w14:paraId="62057C4A">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1、采购需求清单：详见附件（工程量清单、图纸）。</w:t>
      </w:r>
    </w:p>
    <w:p w14:paraId="077E13BB">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2、实施时间：60日历天内完工并通过验收，具体开工日期由采购单位安排。</w:t>
      </w:r>
    </w:p>
    <w:p w14:paraId="0AC78F2E">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3、建设地址：南通市政务中心。</w:t>
      </w:r>
    </w:p>
    <w:p w14:paraId="24CC8B90">
      <w:pPr>
        <w:widowControl/>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（五）采购标的需满足的服务标准、期限、效率等要求</w:t>
      </w:r>
    </w:p>
    <w:p w14:paraId="5612E176">
      <w:pPr>
        <w:tabs>
          <w:tab w:val="left" w:pos="0"/>
        </w:tabs>
        <w:spacing w:line="460" w:lineRule="exact"/>
        <w:ind w:firstLine="562"/>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本项目质量保修期不低于3年（具体以供应商投标承诺为准）。质量保修期自工程竣工验收合格之日起计算。</w:t>
      </w:r>
    </w:p>
    <w:p w14:paraId="2D605704">
      <w:pPr>
        <w:tabs>
          <w:tab w:val="left" w:pos="0"/>
        </w:tabs>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（六）采购标的验收标准</w:t>
      </w:r>
    </w:p>
    <w:p w14:paraId="63F7048D">
      <w:pPr>
        <w:spacing w:line="460" w:lineRule="exact"/>
        <w:ind w:firstLine="560"/>
        <w:rPr>
          <w:rFonts w:hint="eastAsia" w:ascii="Times New Roman" w:hAnsi="宋体" w:eastAsia="宋体"/>
          <w:snapToGrid/>
          <w:color w:val="auto"/>
          <w:spacing w:val="7"/>
          <w:sz w:val="24"/>
          <w:highlight w:val="none"/>
          <w:shd w:val="clear" w:color="auto" w:fill="FFFFFF"/>
        </w:rPr>
      </w:pPr>
      <w:r>
        <w:rPr>
          <w:rFonts w:hint="eastAsia" w:ascii="宋体" w:hAnsi="宋体" w:eastAsia="宋体" w:cs="宋体"/>
          <w:snapToGrid/>
          <w:color w:val="auto"/>
          <w:sz w:val="24"/>
          <w:highlight w:val="none"/>
        </w:rPr>
        <w:t>验收标准根据有关规定及技术要求，验收通过为准。</w:t>
      </w:r>
    </w:p>
    <w:p w14:paraId="167675BC">
      <w:pPr>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（七）付款方式</w:t>
      </w:r>
    </w:p>
    <w:p w14:paraId="598F5EF9">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合同签订生效后、材料及设备进场且经采购人确认后支付合同价（扣除暂列金）的30%；工程竣工验收合格并经审计结束后(收到审计报告及成交供应商正式合法有效税务发票)付至审定价的97%；余款3%作为质量保修金，质保期满3年且无质量问题并经甲方书面确认后15日内无息返还。</w:t>
      </w:r>
    </w:p>
    <w:p w14:paraId="6C3B60B4">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color w:val="auto"/>
          <w:kern w:val="2"/>
          <w:sz w:val="24"/>
          <w:highlight w:val="none"/>
        </w:rPr>
        <w:t>核减额=初审核减额+终审核减额。</w:t>
      </w:r>
    </w:p>
    <w:p w14:paraId="3CF9C8F6">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(3)所有款项由采购人按相关财务支付规定办理支付手续，不得故意拖延支付时间。</w:t>
      </w:r>
    </w:p>
    <w:p w14:paraId="559F4AAD">
      <w:pPr>
        <w:spacing w:line="460" w:lineRule="exact"/>
        <w:ind w:firstLine="588"/>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（八）履约保证金</w:t>
      </w:r>
    </w:p>
    <w:p w14:paraId="5B00A95C">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1、本项目成交后的履约保证金为项目</w:t>
      </w:r>
      <w:r>
        <w:rPr>
          <w:rFonts w:hint="eastAsia" w:ascii="宋体" w:hAnsi="宋体" w:eastAsia="宋体" w:cs="宋体"/>
          <w:snapToGrid/>
          <w:color w:val="auto"/>
          <w:sz w:val="24"/>
          <w:highlight w:val="none"/>
          <w:u w:val="single"/>
        </w:rPr>
        <w:t>合同总价款的10%</w:t>
      </w:r>
      <w:r>
        <w:rPr>
          <w:rFonts w:hint="eastAsia" w:ascii="宋体" w:hAnsi="宋体" w:eastAsia="宋体" w:cs="宋体"/>
          <w:snapToGrid/>
          <w:color w:val="auto"/>
          <w:sz w:val="24"/>
          <w:highlight w:val="none"/>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436E1872">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2、成交供应商全部履约合同义务，经采购单位验收合格无质量、进度等问题的，采购单位在验收合格后一次性退还履约保证金。</w:t>
      </w:r>
    </w:p>
    <w:p w14:paraId="71ACA813">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3、发生以下情况的，履约保证金不予退还或部分退还：</w:t>
      </w:r>
    </w:p>
    <w:p w14:paraId="07B8D8DE">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a.签订合同后，成交供应商不履行合同义务的，采购单位有权全额扣除履约保证金，全额不予退还，同时采购单位亦有权终止合同，成交供应商还须承担相应的法律赔偿责任。</w:t>
      </w:r>
    </w:p>
    <w:p w14:paraId="596468C8">
      <w:pPr>
        <w:spacing w:line="460" w:lineRule="exact"/>
        <w:ind w:firstLine="560"/>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7C1499F8">
      <w:pPr>
        <w:spacing w:line="460" w:lineRule="exact"/>
        <w:ind w:firstLine="562"/>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（九）采购需求中必须满足的实质性要求</w:t>
      </w:r>
    </w:p>
    <w:p w14:paraId="3D63ACB7">
      <w:pPr>
        <w:spacing w:line="360" w:lineRule="auto"/>
        <w:ind w:firstLine="561"/>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本项目因涉及完工后与原消防设备调试，响应供应商需自行踏勘现场并承诺与原供应商对接（现有的消防主机为能美产品），且对接所需费用包含在本次响应报价中。同时承诺对现场原有设备进行保护，如因供应商施工原因造成的损坏需自行承担。供应商提供承诺函加盖单位公章，格式自拟。未提供或未按要求提供作无效响应处理。</w:t>
      </w:r>
    </w:p>
    <w:p w14:paraId="33E5B86E">
      <w:pPr>
        <w:pStyle w:val="2"/>
        <w:rPr>
          <w:color w:val="auto"/>
          <w:highlight w:val="none"/>
        </w:rPr>
      </w:pPr>
    </w:p>
    <w:p w14:paraId="0EE12689">
      <w:pPr>
        <w:snapToGrid w:val="0"/>
        <w:spacing w:line="360" w:lineRule="auto"/>
        <w:ind w:firstLine="707" w:firstLineChars="200"/>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br w:type="page"/>
      </w:r>
    </w:p>
    <w:p w14:paraId="6E900FB0">
      <w:pPr>
        <w:snapToGrid w:val="0"/>
        <w:spacing w:before="24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第四</w:t>
      </w:r>
      <w:bookmarkStart w:id="97" w:name="_Toc182848996"/>
      <w:bookmarkStart w:id="98" w:name="_Toc43217893"/>
      <w:bookmarkStart w:id="99" w:name="_Toc37322565"/>
      <w:bookmarkStart w:id="100" w:name="_Toc38121794"/>
      <w:bookmarkStart w:id="101" w:name="_Toc85627670"/>
      <w:r>
        <w:rPr>
          <w:rFonts w:hint="eastAsia" w:ascii="宋体" w:hAnsi="宋体" w:eastAsia="宋体" w:cs="宋体"/>
          <w:b/>
          <w:bCs/>
          <w:snapToGrid/>
          <w:color w:val="auto"/>
          <w:w w:val="80"/>
          <w:kern w:val="2"/>
          <w:sz w:val="44"/>
          <w:szCs w:val="44"/>
          <w:highlight w:val="none"/>
        </w:rPr>
        <w:t xml:space="preserve">部分 </w:t>
      </w:r>
      <w:bookmarkEnd w:id="97"/>
      <w:bookmarkEnd w:id="98"/>
      <w:bookmarkEnd w:id="99"/>
      <w:bookmarkEnd w:id="100"/>
      <w:bookmarkEnd w:id="101"/>
      <w:r>
        <w:rPr>
          <w:rFonts w:hint="eastAsia" w:ascii="宋体" w:hAnsi="宋体" w:eastAsia="宋体" w:cs="宋体"/>
          <w:b/>
          <w:bCs/>
          <w:snapToGrid/>
          <w:color w:val="auto"/>
          <w:w w:val="80"/>
          <w:kern w:val="2"/>
          <w:sz w:val="44"/>
          <w:szCs w:val="44"/>
          <w:highlight w:val="none"/>
        </w:rPr>
        <w:t>评审方法和评审标准</w:t>
      </w:r>
    </w:p>
    <w:p w14:paraId="27B6BC70">
      <w:pPr>
        <w:adjustRightInd w:val="0"/>
        <w:snapToGrid w:val="0"/>
        <w:spacing w:line="360" w:lineRule="auto"/>
        <w:ind w:firstLine="482" w:firstLineChars="200"/>
        <w:jc w:val="left"/>
        <w:textAlignment w:val="baseline"/>
        <w:rPr>
          <w:rFonts w:hint="eastAsia" w:ascii="宋体" w:hAnsi="宋体" w:eastAsia="宋体" w:cs="宋体"/>
          <w:b/>
          <w:color w:val="auto"/>
          <w:sz w:val="24"/>
          <w:highlight w:val="none"/>
        </w:rPr>
      </w:pPr>
      <w:bookmarkStart w:id="102" w:name="OLE_LINK1"/>
      <w:bookmarkStart w:id="103" w:name="OLE_LINK2"/>
      <w:r>
        <w:rPr>
          <w:rFonts w:hint="eastAsia" w:ascii="宋体" w:hAnsi="宋体" w:eastAsia="宋体" w:cs="宋体"/>
          <w:b/>
          <w:color w:val="auto"/>
          <w:sz w:val="24"/>
          <w:highlight w:val="none"/>
        </w:rPr>
        <w:t>一、磋商方式</w:t>
      </w:r>
    </w:p>
    <w:p w14:paraId="2867E4F0">
      <w:pPr>
        <w:tabs>
          <w:tab w:val="left" w:pos="3585"/>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项目磋商活动模式：本项目采用现场开标模式。</w:t>
      </w:r>
    </w:p>
    <w:p w14:paraId="34C69345">
      <w:pPr>
        <w:adjustRightInd w:val="0"/>
        <w:snapToGrid w:val="0"/>
        <w:spacing w:line="360" w:lineRule="auto"/>
        <w:ind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二、磋商程序及评审方法和标准</w:t>
      </w:r>
    </w:p>
    <w:p w14:paraId="410C8DDE">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评审方法：综合评分法，经磋商确定最终采购需求和提交最后报价的供应商后，由磋商小组采用综合评分法对提交最后报价的供应商的响应文件和最后报价进行综合评分。</w:t>
      </w:r>
    </w:p>
    <w:p w14:paraId="19AB424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5A1AACAE">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4C5F77F6">
      <w:pPr>
        <w:tabs>
          <w:tab w:val="left" w:pos="90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最后报价是供应商响应文件的有效组成部分，提交最后报价的供应商不得少于3家。</w:t>
      </w:r>
    </w:p>
    <w:p w14:paraId="0589EFA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供应商商务技术部分和价格部分的合计分值，为该供应商的评审总得分。</w:t>
      </w:r>
    </w:p>
    <w:p w14:paraId="17BBF15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2025C935">
      <w:pPr>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评委在认真审阅响应文件的基础上，根据各响应文件的响应程度独立评判，不得统一打分。</w:t>
      </w:r>
    </w:p>
    <w:p w14:paraId="64A4B7BD">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（一）磋商小组对供应商资格进行审查。</w:t>
      </w:r>
    </w:p>
    <w:p w14:paraId="1E29C46D">
      <w:pPr>
        <w:adjustRightInd w:val="0"/>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供应商资格不合格的，其响应文件判定为无效响应文件。</w:t>
      </w:r>
    </w:p>
    <w:p w14:paraId="43613941">
      <w:pPr>
        <w:adjustRightInd w:val="0"/>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bookmarkStart w:id="104" w:name="OLE_LINK28"/>
      <w:r>
        <w:rPr>
          <w:rFonts w:hint="eastAsia" w:ascii="宋体" w:hAnsi="宋体" w:eastAsia="宋体" w:cs="宋体"/>
          <w:b/>
          <w:color w:val="auto"/>
          <w:sz w:val="24"/>
          <w:highlight w:val="none"/>
        </w:rPr>
        <w:t>磋商小组对</w:t>
      </w:r>
      <w:bookmarkEnd w:id="104"/>
      <w:r>
        <w:rPr>
          <w:rFonts w:hint="eastAsia" w:ascii="宋体" w:hAnsi="宋体" w:eastAsia="宋体" w:cs="宋体"/>
          <w:b/>
          <w:color w:val="auto"/>
          <w:sz w:val="24"/>
          <w:highlight w:val="none"/>
        </w:rPr>
        <w:t>符合资格供应商的响应文件进行符合性审查。</w:t>
      </w:r>
    </w:p>
    <w:p w14:paraId="03DE3A2C">
      <w:pPr>
        <w:adjustRightInd w:val="0"/>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未通过符合性审查的响应文件，将被判为不满足磋商文件实质性要求。 </w:t>
      </w:r>
    </w:p>
    <w:p w14:paraId="7F6A6F5D">
      <w:pPr>
        <w:numPr>
          <w:ilvl w:val="0"/>
          <w:numId w:val="7"/>
        </w:numPr>
        <w:adjustRightInd w:val="0"/>
        <w:snapToGrid w:val="0"/>
        <w:spacing w:line="360" w:lineRule="auto"/>
        <w:ind w:firstLine="496" w:firstLineChars="206"/>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商务技术分</w:t>
      </w:r>
      <w:r>
        <w:rPr>
          <w:rFonts w:hint="eastAsia" w:ascii="宋体" w:hAnsi="宋体" w:eastAsia="宋体" w:cs="宋体"/>
          <w:b/>
          <w:color w:val="auto"/>
          <w:sz w:val="24"/>
          <w:highlight w:val="none"/>
          <w:lang w:val="zh-CN"/>
        </w:rPr>
        <w:t>：</w:t>
      </w:r>
      <w:r>
        <w:rPr>
          <w:rFonts w:hint="eastAsia" w:ascii="宋体" w:hAnsi="宋体" w:eastAsia="宋体" w:cs="宋体"/>
          <w:b/>
          <w:color w:val="auto"/>
          <w:sz w:val="24"/>
          <w:highlight w:val="none"/>
        </w:rPr>
        <w:t>70</w:t>
      </w:r>
      <w:r>
        <w:rPr>
          <w:rFonts w:hint="eastAsia" w:ascii="宋体" w:hAnsi="宋体" w:eastAsia="宋体" w:cs="宋体"/>
          <w:b/>
          <w:color w:val="auto"/>
          <w:sz w:val="24"/>
          <w:highlight w:val="none"/>
          <w:lang w:val="zh-CN"/>
        </w:rPr>
        <w:t>分</w:t>
      </w:r>
    </w:p>
    <w:p w14:paraId="313F4AA2">
      <w:pPr>
        <w:pStyle w:val="6"/>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各供应商得分为磋商小组成员评分的算术平均分，分值保留小数点后两位。</w:t>
      </w:r>
    </w:p>
    <w:tbl>
      <w:tblPr>
        <w:tblStyle w:val="88"/>
        <w:tblW w:w="9897" w:type="dxa"/>
        <w:jc w:val="center"/>
        <w:tblLayout w:type="fixed"/>
        <w:tblCellMar>
          <w:top w:w="0" w:type="dxa"/>
          <w:left w:w="108" w:type="dxa"/>
          <w:bottom w:w="0" w:type="dxa"/>
          <w:right w:w="108" w:type="dxa"/>
        </w:tblCellMar>
      </w:tblPr>
      <w:tblGrid>
        <w:gridCol w:w="780"/>
        <w:gridCol w:w="1253"/>
        <w:gridCol w:w="6943"/>
        <w:gridCol w:w="921"/>
      </w:tblGrid>
      <w:tr w14:paraId="0E74450E">
        <w:tblPrEx>
          <w:tblCellMar>
            <w:top w:w="0" w:type="dxa"/>
            <w:left w:w="108" w:type="dxa"/>
            <w:bottom w:w="0" w:type="dxa"/>
            <w:right w:w="108" w:type="dxa"/>
          </w:tblCellMar>
        </w:tblPrEx>
        <w:trPr>
          <w:trHeight w:val="818"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641EE877">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序号</w:t>
            </w:r>
          </w:p>
        </w:tc>
        <w:tc>
          <w:tcPr>
            <w:tcW w:w="1253" w:type="dxa"/>
            <w:tcBorders>
              <w:top w:val="single" w:color="000000" w:sz="4" w:space="0"/>
              <w:bottom w:val="single" w:color="000000" w:sz="4" w:space="0"/>
              <w:right w:val="single" w:color="000000" w:sz="4" w:space="0"/>
            </w:tcBorders>
            <w:noWrap/>
            <w:vAlign w:val="center"/>
          </w:tcPr>
          <w:p w14:paraId="10C8FF3D">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评审内容</w:t>
            </w:r>
          </w:p>
        </w:tc>
        <w:tc>
          <w:tcPr>
            <w:tcW w:w="6943" w:type="dxa"/>
            <w:tcBorders>
              <w:top w:val="single" w:color="000000" w:sz="4" w:space="0"/>
              <w:bottom w:val="single" w:color="000000" w:sz="4" w:space="0"/>
              <w:right w:val="single" w:color="000000" w:sz="4" w:space="0"/>
            </w:tcBorders>
            <w:noWrap/>
            <w:vAlign w:val="center"/>
          </w:tcPr>
          <w:p w14:paraId="09F4911E">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评审细则</w:t>
            </w:r>
          </w:p>
        </w:tc>
        <w:tc>
          <w:tcPr>
            <w:tcW w:w="921" w:type="dxa"/>
            <w:tcBorders>
              <w:top w:val="single" w:color="000000" w:sz="4" w:space="0"/>
              <w:bottom w:val="single" w:color="000000" w:sz="4" w:space="0"/>
              <w:right w:val="single" w:color="000000" w:sz="4" w:space="0"/>
            </w:tcBorders>
            <w:noWrap/>
            <w:vAlign w:val="center"/>
          </w:tcPr>
          <w:p w14:paraId="066FEA18">
            <w:pPr>
              <w:jc w:val="center"/>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分值</w:t>
            </w:r>
          </w:p>
        </w:tc>
      </w:tr>
      <w:tr w14:paraId="64CDB848">
        <w:tblPrEx>
          <w:tblCellMar>
            <w:top w:w="0" w:type="dxa"/>
            <w:left w:w="108" w:type="dxa"/>
            <w:bottom w:w="0" w:type="dxa"/>
            <w:right w:w="108" w:type="dxa"/>
          </w:tblCellMar>
        </w:tblPrEx>
        <w:trPr>
          <w:trHeight w:val="1451"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1D89F59E">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w:t>
            </w:r>
          </w:p>
        </w:tc>
        <w:tc>
          <w:tcPr>
            <w:tcW w:w="1253" w:type="dxa"/>
            <w:tcBorders>
              <w:top w:val="single" w:color="000000" w:sz="4" w:space="0"/>
              <w:bottom w:val="single" w:color="000000" w:sz="4" w:space="0"/>
              <w:right w:val="single" w:color="000000" w:sz="4" w:space="0"/>
            </w:tcBorders>
            <w:noWrap/>
            <w:vAlign w:val="center"/>
          </w:tcPr>
          <w:p w14:paraId="50A06578">
            <w:pPr>
              <w:spacing w:line="360" w:lineRule="auto"/>
              <w:jc w:val="center"/>
              <w:rPr>
                <w:rFonts w:hint="eastAsia" w:ascii="宋体" w:hAnsi="宋体" w:eastAsia="宋体" w:cs="宋体"/>
                <w:snapToGrid/>
                <w:color w:val="auto"/>
                <w:kern w:val="2"/>
                <w:sz w:val="24"/>
                <w:highlight w:val="none"/>
                <w:lang w:val="en-GB"/>
              </w:rPr>
            </w:pPr>
            <w:r>
              <w:rPr>
                <w:rFonts w:hint="eastAsia" w:ascii="宋体" w:hAnsi="宋体" w:eastAsia="宋体" w:cs="宋体"/>
                <w:snapToGrid/>
                <w:color w:val="auto"/>
                <w:kern w:val="2"/>
                <w:sz w:val="24"/>
                <w:highlight w:val="none"/>
                <w:lang w:val="en-GB"/>
              </w:rPr>
              <w:t>类似业绩</w:t>
            </w:r>
          </w:p>
        </w:tc>
        <w:tc>
          <w:tcPr>
            <w:tcW w:w="6943" w:type="dxa"/>
            <w:tcBorders>
              <w:top w:val="single" w:color="000000" w:sz="4" w:space="0"/>
              <w:bottom w:val="single" w:color="000000" w:sz="4" w:space="0"/>
              <w:right w:val="single" w:color="000000" w:sz="4" w:space="0"/>
            </w:tcBorders>
            <w:noWrap/>
            <w:vAlign w:val="center"/>
          </w:tcPr>
          <w:p w14:paraId="346199D7">
            <w:pPr>
              <w:widowControl/>
              <w:adjustRightInd w:val="0"/>
              <w:snapToGrid w:val="0"/>
              <w:spacing w:line="276" w:lineRule="auto"/>
              <w:textAlignment w:val="center"/>
              <w:rPr>
                <w:rFonts w:hint="eastAsia" w:ascii="宋体" w:hAnsi="宋体" w:eastAsia="宋体" w:cs="仿宋"/>
                <w:snapToGrid/>
                <w:color w:val="auto"/>
                <w:sz w:val="24"/>
                <w:highlight w:val="none"/>
                <w:lang w:bidi="ar"/>
              </w:rPr>
            </w:pPr>
            <w:r>
              <w:rPr>
                <w:rFonts w:hint="eastAsia" w:ascii="宋体" w:hAnsi="宋体" w:eastAsia="宋体" w:cs="仿宋"/>
                <w:snapToGrid/>
                <w:color w:val="auto"/>
                <w:sz w:val="24"/>
                <w:highlight w:val="none"/>
                <w:lang w:bidi="ar"/>
              </w:rPr>
              <w:t>供应商自2022年1月1日以来（以竣工验收证明时间为准）承担过的类似工程业绩的，有一个得5分，最多得15分。</w:t>
            </w:r>
          </w:p>
          <w:p w14:paraId="1F57A081">
            <w:pPr>
              <w:widowControl/>
              <w:adjustRightInd w:val="0"/>
              <w:snapToGrid w:val="0"/>
              <w:spacing w:line="276" w:lineRule="auto"/>
              <w:textAlignment w:val="center"/>
              <w:rPr>
                <w:rFonts w:hint="eastAsia" w:ascii="宋体" w:hAnsi="宋体" w:eastAsia="宋体" w:cs="宋体"/>
                <w:bCs/>
                <w:snapToGrid/>
                <w:color w:val="auto"/>
                <w:kern w:val="2"/>
                <w:sz w:val="24"/>
                <w:highlight w:val="none"/>
              </w:rPr>
            </w:pPr>
            <w:r>
              <w:rPr>
                <w:rFonts w:hint="eastAsia" w:ascii="宋体" w:hAnsi="宋体" w:eastAsia="宋体" w:cs="仿宋"/>
                <w:snapToGrid/>
                <w:color w:val="auto"/>
                <w:sz w:val="24"/>
                <w:highlight w:val="none"/>
                <w:lang w:bidi="ar"/>
              </w:rPr>
              <w:t>注：提供合同及竣工验收证明原件的复印件并加盖公章，合同或竣工验收证明中须能明确体现业绩的相关要求，合同或竣工验收证明中未能提供的则另需提供业主加盖公章的证明材料，否则不得分。</w:t>
            </w:r>
          </w:p>
        </w:tc>
        <w:tc>
          <w:tcPr>
            <w:tcW w:w="921" w:type="dxa"/>
            <w:tcBorders>
              <w:top w:val="single" w:color="000000" w:sz="4" w:space="0"/>
              <w:bottom w:val="single" w:color="000000" w:sz="4" w:space="0"/>
              <w:right w:val="single" w:color="000000" w:sz="4" w:space="0"/>
            </w:tcBorders>
            <w:noWrap/>
            <w:vAlign w:val="center"/>
          </w:tcPr>
          <w:p w14:paraId="7FB52EB4">
            <w:pPr>
              <w:spacing w:line="360" w:lineRule="auto"/>
              <w:jc w:val="center"/>
              <w:rPr>
                <w:rFonts w:hint="eastAsia" w:ascii="宋体" w:hAnsi="宋体" w:eastAsia="宋体"/>
                <w:snapToGrid/>
                <w:color w:val="auto"/>
                <w:kern w:val="2"/>
                <w:sz w:val="24"/>
                <w:highlight w:val="none"/>
              </w:rPr>
            </w:pPr>
            <w:r>
              <w:rPr>
                <w:rFonts w:hint="eastAsia" w:ascii="宋体" w:hAnsi="宋体" w:eastAsia="宋体"/>
                <w:snapToGrid/>
                <w:color w:val="auto"/>
                <w:kern w:val="2"/>
                <w:sz w:val="24"/>
                <w:highlight w:val="none"/>
              </w:rPr>
              <w:t>15</w:t>
            </w:r>
          </w:p>
        </w:tc>
      </w:tr>
      <w:tr w14:paraId="79201273">
        <w:tblPrEx>
          <w:tblCellMar>
            <w:top w:w="0" w:type="dxa"/>
            <w:left w:w="108" w:type="dxa"/>
            <w:bottom w:w="0" w:type="dxa"/>
            <w:right w:w="108" w:type="dxa"/>
          </w:tblCellMar>
        </w:tblPrEx>
        <w:trPr>
          <w:trHeight w:val="2265"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43239CF7">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2</w:t>
            </w:r>
          </w:p>
        </w:tc>
        <w:tc>
          <w:tcPr>
            <w:tcW w:w="1253" w:type="dxa"/>
            <w:tcBorders>
              <w:top w:val="single" w:color="000000" w:sz="4" w:space="0"/>
              <w:bottom w:val="single" w:color="000000" w:sz="4" w:space="0"/>
              <w:right w:val="single" w:color="000000" w:sz="4" w:space="0"/>
            </w:tcBorders>
            <w:noWrap/>
            <w:vAlign w:val="center"/>
          </w:tcPr>
          <w:p w14:paraId="48497E68">
            <w:pPr>
              <w:spacing w:line="360" w:lineRule="auto"/>
              <w:jc w:val="center"/>
              <w:rPr>
                <w:rFonts w:hint="eastAsia" w:ascii="宋体" w:hAnsi="宋体" w:eastAsia="宋体" w:cs="仿宋"/>
                <w:snapToGrid/>
                <w:color w:val="auto"/>
                <w:sz w:val="24"/>
                <w:highlight w:val="none"/>
                <w:lang w:bidi="ar"/>
              </w:rPr>
            </w:pPr>
            <w:r>
              <w:rPr>
                <w:rFonts w:hint="eastAsia" w:ascii="宋体" w:hAnsi="宋体" w:eastAsia="宋体" w:cs="宋体"/>
                <w:snapToGrid/>
                <w:color w:val="auto"/>
                <w:kern w:val="2"/>
                <w:sz w:val="24"/>
                <w:highlight w:val="none"/>
                <w:lang w:val="en-GB"/>
              </w:rPr>
              <w:t>施工管理及人员配置</w:t>
            </w:r>
          </w:p>
        </w:tc>
        <w:tc>
          <w:tcPr>
            <w:tcW w:w="6943" w:type="dxa"/>
            <w:tcBorders>
              <w:top w:val="single" w:color="000000" w:sz="4" w:space="0"/>
              <w:bottom w:val="single" w:color="000000" w:sz="4" w:space="0"/>
              <w:right w:val="single" w:color="000000" w:sz="4" w:space="0"/>
            </w:tcBorders>
            <w:noWrap/>
            <w:vAlign w:val="center"/>
          </w:tcPr>
          <w:p w14:paraId="46832AFB">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1.项目经理（5分）</w:t>
            </w:r>
          </w:p>
          <w:p w14:paraId="3114B8CD">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①项目经理具有工程类中级职称得1分，具有高级及以上职称得3分，本项最多得3分；提供证书复印件加盖公章。</w:t>
            </w:r>
          </w:p>
          <w:p w14:paraId="03024D3E">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②提供项目经理现场跟班承诺函，承诺全程现场跟班的得2分；提供承诺函加盖公章。</w:t>
            </w:r>
          </w:p>
          <w:p w14:paraId="0A5A02EB">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2.项目技术负责人（7分）</w:t>
            </w:r>
          </w:p>
          <w:p w14:paraId="3A2E981D">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①项目技术负责人具有一级注册建造师（机电工程专业）或一级注册消防工程师且注册单位为投标供应商的得2分；具有工程类中级职称得1分，具有高级及以上职称得3分；本项最多得5分；提供证书复印件加盖公章。</w:t>
            </w:r>
          </w:p>
          <w:p w14:paraId="288E577C">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②提供项目技术负责人现场跟班承诺函，承诺全程现场跟班的得2分；提供承诺函加盖公章。</w:t>
            </w:r>
          </w:p>
          <w:p w14:paraId="77BEFB1F">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3.项目组其他人员（不含项目经理、项目技术负责人）（10分）</w:t>
            </w:r>
          </w:p>
          <w:p w14:paraId="74B4D49C">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①安全员：具有安全C证，承诺安全员全程现场跟班作业的得2分，本项最高得2分。提供现场专职安全员证书及承诺函加盖公章。</w:t>
            </w:r>
          </w:p>
          <w:p w14:paraId="584D6AB8">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②施工现场管理人员（包含但不限于施工员、质检员、材料员等），提供工程类中级及以上职称证书，每1人得2分，最高得6分；</w:t>
            </w:r>
          </w:p>
          <w:p w14:paraId="2D03ED09">
            <w:pP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③施工现场电工：具有电工特种作业操作证书或职业资格证书得2分。提供专职电工特种作业操作证书或职业资格证书复印件并加盖公章。</w:t>
            </w:r>
          </w:p>
          <w:p w14:paraId="0AA94418">
            <w:pPr>
              <w:widowControl/>
              <w:adjustRightInd w:val="0"/>
              <w:snapToGrid w:val="0"/>
              <w:spacing w:line="276" w:lineRule="auto"/>
              <w:textAlignment w:val="center"/>
              <w:rPr>
                <w:rFonts w:ascii="Times New Roman" w:hAnsi="Times New Roman" w:eastAsia="宋体"/>
                <w:snapToGrid/>
                <w:color w:val="auto"/>
                <w:kern w:val="2"/>
                <w:sz w:val="24"/>
                <w:highlight w:val="none"/>
              </w:rPr>
            </w:pPr>
            <w:r>
              <w:rPr>
                <w:rFonts w:hint="eastAsia" w:ascii="Times New Roman" w:hAnsi="Times New Roman" w:eastAsia="宋体"/>
                <w:snapToGrid/>
                <w:color w:val="auto"/>
                <w:kern w:val="2"/>
                <w:sz w:val="24"/>
                <w:highlight w:val="none"/>
              </w:rPr>
              <w:t>注：以上人员不重复得分。</w:t>
            </w:r>
          </w:p>
          <w:p w14:paraId="1AA60DAF">
            <w:pPr>
              <w:widowControl/>
              <w:adjustRightInd w:val="0"/>
              <w:snapToGrid w:val="0"/>
              <w:spacing w:line="276" w:lineRule="auto"/>
              <w:textAlignment w:val="center"/>
              <w:rPr>
                <w:rFonts w:hint="eastAsia" w:ascii="宋体" w:hAnsi="宋体" w:eastAsia="宋体" w:cs="仿宋"/>
                <w:snapToGrid/>
                <w:color w:val="auto"/>
                <w:sz w:val="24"/>
                <w:highlight w:val="none"/>
                <w:lang w:bidi="ar"/>
              </w:rPr>
            </w:pPr>
            <w:r>
              <w:rPr>
                <w:rFonts w:hint="eastAsia" w:ascii="宋体" w:hAnsi="宋体" w:eastAsia="宋体" w:cs="仿宋"/>
                <w:snapToGrid/>
                <w:color w:val="auto"/>
                <w:sz w:val="24"/>
                <w:highlight w:val="none"/>
                <w:lang w:bidi="ar"/>
              </w:rPr>
              <w:t>须同时提供：相应人员有效的职称证书、注册证书、其与本供应商签订的有效劳动合同扫描件及</w:t>
            </w:r>
            <w:r>
              <w:rPr>
                <w:rFonts w:hint="eastAsia" w:ascii="宋体" w:hAnsi="宋体" w:eastAsia="宋体" w:cs="宋体"/>
                <w:color w:val="auto"/>
                <w:sz w:val="24"/>
                <w:highlight w:val="none"/>
              </w:rPr>
              <w:t>社保机构出具并盖章的供应商为其缴纳的2025年9月-2025年11月任意一个月</w:t>
            </w:r>
            <w:r>
              <w:rPr>
                <w:rFonts w:ascii="宋体" w:hAnsi="宋体" w:eastAsia="宋体" w:cs="宋体"/>
                <w:color w:val="auto"/>
                <w:sz w:val="24"/>
                <w:highlight w:val="none"/>
              </w:rPr>
              <w:t>的社会保险缴费清单</w:t>
            </w:r>
            <w:r>
              <w:rPr>
                <w:rFonts w:hint="eastAsia" w:ascii="宋体" w:hAnsi="宋体" w:eastAsia="宋体" w:cs="仿宋"/>
                <w:snapToGrid/>
                <w:color w:val="auto"/>
                <w:sz w:val="24"/>
                <w:highlight w:val="none"/>
                <w:lang w:bidi="ar"/>
              </w:rPr>
              <w:t>，否则不予得分。</w:t>
            </w:r>
          </w:p>
        </w:tc>
        <w:tc>
          <w:tcPr>
            <w:tcW w:w="921" w:type="dxa"/>
            <w:tcBorders>
              <w:top w:val="single" w:color="000000" w:sz="4" w:space="0"/>
              <w:bottom w:val="single" w:color="000000" w:sz="4" w:space="0"/>
              <w:right w:val="single" w:color="000000" w:sz="4" w:space="0"/>
            </w:tcBorders>
            <w:noWrap/>
            <w:vAlign w:val="center"/>
          </w:tcPr>
          <w:p w14:paraId="6F67B88E">
            <w:pPr>
              <w:spacing w:line="360" w:lineRule="auto"/>
              <w:jc w:val="center"/>
              <w:rPr>
                <w:rFonts w:hint="eastAsia" w:ascii="宋体" w:hAnsi="宋体" w:eastAsia="宋体"/>
                <w:snapToGrid/>
                <w:color w:val="auto"/>
                <w:kern w:val="2"/>
                <w:sz w:val="24"/>
                <w:highlight w:val="none"/>
              </w:rPr>
            </w:pPr>
            <w:r>
              <w:rPr>
                <w:rFonts w:hint="eastAsia" w:ascii="宋体" w:hAnsi="宋体" w:eastAsia="宋体"/>
                <w:snapToGrid/>
                <w:color w:val="auto"/>
                <w:kern w:val="2"/>
                <w:sz w:val="24"/>
                <w:highlight w:val="none"/>
              </w:rPr>
              <w:t>22</w:t>
            </w:r>
          </w:p>
        </w:tc>
      </w:tr>
      <w:tr w14:paraId="0ED7D788">
        <w:tblPrEx>
          <w:tblCellMar>
            <w:top w:w="0" w:type="dxa"/>
            <w:left w:w="108" w:type="dxa"/>
            <w:bottom w:w="0" w:type="dxa"/>
            <w:right w:w="108"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5E70B12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c>
          <w:tcPr>
            <w:tcW w:w="1253" w:type="dxa"/>
            <w:tcBorders>
              <w:top w:val="single" w:color="000000" w:sz="4" w:space="0"/>
              <w:bottom w:val="single" w:color="000000" w:sz="4" w:space="0"/>
              <w:right w:val="single" w:color="000000" w:sz="4" w:space="0"/>
            </w:tcBorders>
            <w:noWrap/>
            <w:vAlign w:val="center"/>
          </w:tcPr>
          <w:p w14:paraId="2448E3E3">
            <w:pPr>
              <w:spacing w:line="460" w:lineRule="exact"/>
              <w:jc w:val="center"/>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总体概述</w:t>
            </w:r>
          </w:p>
        </w:tc>
        <w:tc>
          <w:tcPr>
            <w:tcW w:w="6943" w:type="dxa"/>
            <w:tcBorders>
              <w:top w:val="single" w:color="000000" w:sz="4" w:space="0"/>
              <w:bottom w:val="single" w:color="000000" w:sz="4" w:space="0"/>
              <w:right w:val="single" w:color="000000" w:sz="4" w:space="0"/>
            </w:tcBorders>
            <w:noWrap/>
            <w:vAlign w:val="center"/>
          </w:tcPr>
          <w:p w14:paraId="1B5B3038">
            <w:pPr>
              <w:ind w:firstLine="420"/>
              <w:rPr>
                <w:rFonts w:hint="eastAsia" w:ascii="宋体" w:hAnsi="宋体" w:eastAsia="宋体" w:cs="宋体"/>
                <w:bCs/>
                <w:snapToGrid/>
                <w:color w:val="auto"/>
                <w:sz w:val="24"/>
                <w:highlight w:val="none"/>
              </w:rPr>
            </w:pPr>
            <w:r>
              <w:rPr>
                <w:rFonts w:hint="eastAsia" w:ascii="宋体" w:hAnsi="宋体" w:eastAsia="宋体" w:cs="宋体"/>
                <w:bCs/>
                <w:snapToGrid/>
                <w:color w:val="auto"/>
                <w:sz w:val="24"/>
                <w:highlight w:val="none"/>
              </w:rPr>
              <w:t>总体概述：包括但不限于工程概况、施工组织总体设想、方案的针对性及施工段的划分；</w:t>
            </w:r>
          </w:p>
          <w:p w14:paraId="14558307">
            <w:pPr>
              <w:tabs>
                <w:tab w:val="left" w:pos="5940"/>
              </w:tabs>
              <w:ind w:firstLine="420"/>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方案先进、完整、可行，主导工程内容、施工方法明确、详尽、合理，能完全满足项目实施要求，得3分；</w:t>
            </w:r>
          </w:p>
          <w:p w14:paraId="2F905D3D">
            <w:pPr>
              <w:tabs>
                <w:tab w:val="left" w:pos="5940"/>
              </w:tabs>
              <w:ind w:firstLine="420"/>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方案较先进、完整、可行，主导工程内容、施工方法较明确、详尽、合理，能基本满足项目实施要求，得2分；</w:t>
            </w:r>
          </w:p>
          <w:p w14:paraId="5055C1C1">
            <w:pPr>
              <w:jc w:val="left"/>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方案内容较简单，对项目实施要求响应一般，得1分；未提供本项不得分</w:t>
            </w:r>
            <w:r>
              <w:rPr>
                <w:rFonts w:ascii="宋体" w:hAnsi="宋体" w:eastAsia="宋体"/>
                <w:bCs/>
                <w:snapToGrid/>
                <w:color w:val="auto"/>
                <w:sz w:val="24"/>
                <w:highlight w:val="none"/>
              </w:rPr>
              <w:t>。</w:t>
            </w:r>
          </w:p>
        </w:tc>
        <w:tc>
          <w:tcPr>
            <w:tcW w:w="921" w:type="dxa"/>
            <w:tcBorders>
              <w:top w:val="single" w:color="000000" w:sz="4" w:space="0"/>
              <w:bottom w:val="single" w:color="000000" w:sz="4" w:space="0"/>
              <w:right w:val="single" w:color="000000" w:sz="4" w:space="0"/>
            </w:tcBorders>
            <w:noWrap/>
            <w:vAlign w:val="center"/>
          </w:tcPr>
          <w:p w14:paraId="04F6E5BB">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r>
      <w:tr w14:paraId="631937C9">
        <w:tblPrEx>
          <w:tblCellMar>
            <w:top w:w="0" w:type="dxa"/>
            <w:left w:w="108" w:type="dxa"/>
            <w:bottom w:w="0" w:type="dxa"/>
            <w:right w:w="108" w:type="dxa"/>
          </w:tblCellMar>
        </w:tblPrEx>
        <w:trPr>
          <w:trHeight w:val="1240"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09743069">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c>
          <w:tcPr>
            <w:tcW w:w="1253" w:type="dxa"/>
            <w:tcBorders>
              <w:top w:val="single" w:color="000000" w:sz="4" w:space="0"/>
              <w:bottom w:val="single" w:color="000000" w:sz="4" w:space="0"/>
              <w:right w:val="single" w:color="000000" w:sz="4" w:space="0"/>
            </w:tcBorders>
            <w:noWrap/>
            <w:vAlign w:val="center"/>
          </w:tcPr>
          <w:p w14:paraId="4971E1DE">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lang w:bidi="ar"/>
              </w:rPr>
              <w:t>施工部署</w:t>
            </w:r>
          </w:p>
        </w:tc>
        <w:tc>
          <w:tcPr>
            <w:tcW w:w="6943" w:type="dxa"/>
            <w:tcBorders>
              <w:top w:val="single" w:color="000000" w:sz="4" w:space="0"/>
              <w:bottom w:val="single" w:color="000000" w:sz="4" w:space="0"/>
              <w:right w:val="single" w:color="000000" w:sz="4" w:space="0"/>
            </w:tcBorders>
            <w:noWrap/>
            <w:vAlign w:val="center"/>
          </w:tcPr>
          <w:p w14:paraId="30F2E48E">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lang w:bidi="ar"/>
              </w:rPr>
              <w:t>明确项目总体布置、施工组织结构、工程项目内容及分工、项目施工顺序等。</w:t>
            </w:r>
            <w:r>
              <w:rPr>
                <w:rFonts w:hint="eastAsia" w:ascii="宋体" w:hAnsi="宋体" w:eastAsia="宋体" w:cs="宋体"/>
                <w:snapToGrid/>
                <w:color w:val="auto"/>
                <w:kern w:val="2"/>
                <w:sz w:val="24"/>
                <w:highlight w:val="none"/>
                <w:lang w:bidi="ar"/>
              </w:rPr>
              <w:t>内容全面科学、具有针对性得3分；内容较全面、具有一定的针对性得2分；内容粗略或针对性有所欠缺得1分；缺项得0分。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7136EC6E">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r>
      <w:tr w14:paraId="1AC22C19">
        <w:tblPrEx>
          <w:tblCellMar>
            <w:top w:w="0" w:type="dxa"/>
            <w:left w:w="108" w:type="dxa"/>
            <w:bottom w:w="0" w:type="dxa"/>
            <w:right w:w="108" w:type="dxa"/>
          </w:tblCellMar>
        </w:tblPrEx>
        <w:trPr>
          <w:trHeight w:val="1476"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597E15BA">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w:t>
            </w:r>
          </w:p>
        </w:tc>
        <w:tc>
          <w:tcPr>
            <w:tcW w:w="1253" w:type="dxa"/>
            <w:tcBorders>
              <w:top w:val="single" w:color="000000" w:sz="4" w:space="0"/>
              <w:bottom w:val="single" w:color="000000" w:sz="4" w:space="0"/>
              <w:right w:val="single" w:color="000000" w:sz="4" w:space="0"/>
            </w:tcBorders>
            <w:noWrap/>
            <w:vAlign w:val="center"/>
          </w:tcPr>
          <w:p w14:paraId="55145623">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工期保证措施</w:t>
            </w:r>
          </w:p>
        </w:tc>
        <w:tc>
          <w:tcPr>
            <w:tcW w:w="6943" w:type="dxa"/>
            <w:tcBorders>
              <w:top w:val="single" w:color="000000" w:sz="4" w:space="0"/>
              <w:bottom w:val="single" w:color="000000" w:sz="4" w:space="0"/>
              <w:right w:val="single" w:color="000000" w:sz="4" w:space="0"/>
            </w:tcBorders>
            <w:noWrap/>
            <w:vAlign w:val="center"/>
          </w:tcPr>
          <w:p w14:paraId="08396731">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工期目标及工期保证措施。内容全面科学、措施得当，具有针对性得5分；内容较全面、措施较合理，具有一定的针对性得3分；内容粗略或针对性有所欠缺得1分；缺项得0分。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1D387A8D">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w:t>
            </w:r>
          </w:p>
        </w:tc>
      </w:tr>
      <w:tr w14:paraId="54F20DFB">
        <w:tblPrEx>
          <w:tblCellMar>
            <w:top w:w="0" w:type="dxa"/>
            <w:left w:w="108" w:type="dxa"/>
            <w:bottom w:w="0" w:type="dxa"/>
            <w:right w:w="108" w:type="dxa"/>
          </w:tblCellMar>
        </w:tblPrEx>
        <w:trPr>
          <w:trHeight w:val="1497"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2622696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6</w:t>
            </w:r>
          </w:p>
        </w:tc>
        <w:tc>
          <w:tcPr>
            <w:tcW w:w="1253" w:type="dxa"/>
            <w:tcBorders>
              <w:top w:val="single" w:color="000000" w:sz="4" w:space="0"/>
              <w:bottom w:val="single" w:color="000000" w:sz="4" w:space="0"/>
              <w:right w:val="single" w:color="000000" w:sz="4" w:space="0"/>
            </w:tcBorders>
            <w:noWrap/>
            <w:vAlign w:val="center"/>
          </w:tcPr>
          <w:p w14:paraId="1131DE8C">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质量保证措施</w:t>
            </w:r>
          </w:p>
        </w:tc>
        <w:tc>
          <w:tcPr>
            <w:tcW w:w="6943" w:type="dxa"/>
            <w:tcBorders>
              <w:top w:val="single" w:color="000000" w:sz="4" w:space="0"/>
              <w:bottom w:val="single" w:color="000000" w:sz="4" w:space="0"/>
              <w:right w:val="single" w:color="000000" w:sz="4" w:space="0"/>
            </w:tcBorders>
            <w:noWrap/>
            <w:vAlign w:val="center"/>
          </w:tcPr>
          <w:p w14:paraId="413363B2">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质量目标，结合本项目特点，制定具体项目中的质量保证措施。内容全面科学、措施得当，具有针对性得5分；内容较全面、措施较合理，具有一定的针对性得3分；内容粗略或针对性有所欠缺得1分；缺项得0分。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6B847E66">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5</w:t>
            </w:r>
          </w:p>
        </w:tc>
      </w:tr>
      <w:tr w14:paraId="0D91E8E2">
        <w:tblPrEx>
          <w:tblCellMar>
            <w:top w:w="0" w:type="dxa"/>
            <w:left w:w="108" w:type="dxa"/>
            <w:bottom w:w="0" w:type="dxa"/>
            <w:right w:w="108" w:type="dxa"/>
          </w:tblCellMar>
        </w:tblPrEx>
        <w:trPr>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650F4AFF">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7</w:t>
            </w:r>
          </w:p>
        </w:tc>
        <w:tc>
          <w:tcPr>
            <w:tcW w:w="1253" w:type="dxa"/>
            <w:tcBorders>
              <w:top w:val="single" w:color="000000" w:sz="4" w:space="0"/>
              <w:bottom w:val="single" w:color="000000" w:sz="4" w:space="0"/>
              <w:right w:val="single" w:color="000000" w:sz="4" w:space="0"/>
            </w:tcBorders>
            <w:noWrap/>
            <w:vAlign w:val="center"/>
          </w:tcPr>
          <w:p w14:paraId="16BCF94C">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安全文明施工</w:t>
            </w:r>
          </w:p>
          <w:p w14:paraId="6AB49839">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措施</w:t>
            </w:r>
          </w:p>
        </w:tc>
        <w:tc>
          <w:tcPr>
            <w:tcW w:w="6943" w:type="dxa"/>
            <w:tcBorders>
              <w:top w:val="single" w:color="000000" w:sz="4" w:space="0"/>
              <w:bottom w:val="single" w:color="000000" w:sz="4" w:space="0"/>
              <w:right w:val="single" w:color="000000" w:sz="4" w:space="0"/>
            </w:tcBorders>
            <w:noWrap/>
            <w:vAlign w:val="center"/>
          </w:tcPr>
          <w:p w14:paraId="2D40A4B7">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安全文明施工目标，结合本项目特点，制定具体安全文明施工措施专篇。内容全面科学、措施得当，具有针对性得4分；内容较全面、措施较合理，具有一定的针对性得3分；内容粗略或针对性有所欠缺得1分；缺项得0分。</w:t>
            </w:r>
          </w:p>
        </w:tc>
        <w:tc>
          <w:tcPr>
            <w:tcW w:w="921" w:type="dxa"/>
            <w:tcBorders>
              <w:top w:val="single" w:color="000000" w:sz="4" w:space="0"/>
              <w:bottom w:val="single" w:color="000000" w:sz="4" w:space="0"/>
              <w:right w:val="single" w:color="000000" w:sz="4" w:space="0"/>
            </w:tcBorders>
            <w:noWrap/>
            <w:vAlign w:val="center"/>
          </w:tcPr>
          <w:p w14:paraId="23FBCA70">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r>
      <w:tr w14:paraId="7F51EA54">
        <w:tblPrEx>
          <w:tblCellMar>
            <w:top w:w="0" w:type="dxa"/>
            <w:left w:w="108" w:type="dxa"/>
            <w:bottom w:w="0" w:type="dxa"/>
            <w:right w:w="108" w:type="dxa"/>
          </w:tblCellMar>
        </w:tblPrEx>
        <w:trPr>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319FD070">
            <w:pPr>
              <w:spacing w:line="460" w:lineRule="exact"/>
              <w:jc w:val="center"/>
              <w:rPr>
                <w:rFonts w:hint="eastAsia" w:ascii="宋体" w:hAnsi="宋体" w:eastAsia="宋体" w:cs="宋体"/>
                <w:snapToGrid/>
                <w:color w:val="auto"/>
                <w:sz w:val="24"/>
                <w:highlight w:val="none"/>
              </w:rPr>
            </w:pPr>
            <w:bookmarkStart w:id="105" w:name="_Hlk190422035"/>
            <w:r>
              <w:rPr>
                <w:rFonts w:hint="eastAsia" w:ascii="宋体" w:hAnsi="宋体" w:eastAsia="宋体" w:cs="宋体"/>
                <w:snapToGrid/>
                <w:color w:val="auto"/>
                <w:sz w:val="24"/>
                <w:highlight w:val="none"/>
              </w:rPr>
              <w:t>8</w:t>
            </w:r>
          </w:p>
        </w:tc>
        <w:tc>
          <w:tcPr>
            <w:tcW w:w="1253" w:type="dxa"/>
            <w:tcBorders>
              <w:top w:val="single" w:color="000000" w:sz="4" w:space="0"/>
              <w:bottom w:val="single" w:color="000000" w:sz="4" w:space="0"/>
              <w:right w:val="single" w:color="000000" w:sz="4" w:space="0"/>
            </w:tcBorders>
            <w:noWrap/>
            <w:vAlign w:val="center"/>
          </w:tcPr>
          <w:p w14:paraId="5B0C2437">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bCs/>
                <w:snapToGrid/>
                <w:color w:val="auto"/>
                <w:kern w:val="2"/>
                <w:sz w:val="24"/>
                <w:highlight w:val="none"/>
              </w:rPr>
              <w:t>关键施工技术、工艺及工程项目实施的重点、难点和解决方案</w:t>
            </w:r>
          </w:p>
        </w:tc>
        <w:tc>
          <w:tcPr>
            <w:tcW w:w="6943" w:type="dxa"/>
            <w:tcBorders>
              <w:top w:val="single" w:color="000000" w:sz="4" w:space="0"/>
              <w:bottom w:val="single" w:color="000000" w:sz="4" w:space="0"/>
              <w:right w:val="single" w:color="000000" w:sz="4" w:space="0"/>
            </w:tcBorders>
            <w:noWrap/>
            <w:vAlign w:val="center"/>
          </w:tcPr>
          <w:p w14:paraId="7BD62F6A">
            <w:pPr>
              <w:rPr>
                <w:rFonts w:hint="eastAsia" w:ascii="宋体" w:hAnsi="宋体" w:eastAsia="宋体" w:cs="宋体"/>
                <w:bCs/>
                <w:snapToGrid/>
                <w:color w:val="auto"/>
                <w:sz w:val="24"/>
                <w:highlight w:val="none"/>
              </w:rPr>
            </w:pPr>
            <w:r>
              <w:rPr>
                <w:rFonts w:hint="eastAsia" w:ascii="宋体" w:hAnsi="宋体" w:eastAsia="宋体" w:cs="宋体"/>
                <w:bCs/>
                <w:snapToGrid/>
                <w:color w:val="auto"/>
                <w:sz w:val="24"/>
                <w:highlight w:val="none"/>
              </w:rPr>
              <w:t>关键施工技术、工艺及工程项目实施的重点、难点和解决方案，包括但不限于关健部位工程质量保证措施和施工技术措施、关键施工技术、工艺及工程项目实施的重点、难点分析和解决方案本工程施工等；</w:t>
            </w:r>
          </w:p>
          <w:p w14:paraId="62E5E2C0">
            <w:pPr>
              <w:tabs>
                <w:tab w:val="left" w:pos="5940"/>
              </w:tabs>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方案完整、可行，能完全满足项目实施要求，得4分；</w:t>
            </w:r>
          </w:p>
          <w:p w14:paraId="2838D9A9">
            <w:pPr>
              <w:tabs>
                <w:tab w:val="left" w:pos="5940"/>
              </w:tabs>
              <w:jc w:val="left"/>
              <w:rPr>
                <w:rFonts w:hint="eastAsia" w:ascii="宋体" w:hAnsi="宋体" w:eastAsia="宋体"/>
                <w:bCs/>
                <w:snapToGrid/>
                <w:color w:val="auto"/>
                <w:sz w:val="24"/>
                <w:highlight w:val="none"/>
              </w:rPr>
            </w:pPr>
            <w:r>
              <w:rPr>
                <w:rFonts w:hint="eastAsia" w:ascii="宋体" w:hAnsi="宋体" w:eastAsia="宋体"/>
                <w:bCs/>
                <w:snapToGrid/>
                <w:color w:val="auto"/>
                <w:sz w:val="24"/>
                <w:highlight w:val="none"/>
              </w:rPr>
              <w:t>方案较具体、可行，能基本满足项目实施要求，得3分；</w:t>
            </w:r>
          </w:p>
          <w:p w14:paraId="2802F02D">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方案内容较简单，对项目实施要求响应一般，得1分；未提供本项不得分</w:t>
            </w:r>
            <w:r>
              <w:rPr>
                <w:rFonts w:ascii="宋体" w:hAnsi="宋体" w:eastAsia="宋体"/>
                <w:bCs/>
                <w:snapToGrid/>
                <w:color w:val="auto"/>
                <w:sz w:val="24"/>
                <w:highlight w:val="none"/>
              </w:rPr>
              <w:t>。</w:t>
            </w:r>
          </w:p>
        </w:tc>
        <w:tc>
          <w:tcPr>
            <w:tcW w:w="921" w:type="dxa"/>
            <w:tcBorders>
              <w:top w:val="single" w:color="000000" w:sz="4" w:space="0"/>
              <w:bottom w:val="single" w:color="000000" w:sz="4" w:space="0"/>
              <w:right w:val="single" w:color="000000" w:sz="4" w:space="0"/>
            </w:tcBorders>
            <w:noWrap/>
            <w:vAlign w:val="center"/>
          </w:tcPr>
          <w:p w14:paraId="13C4C8A4">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r>
      <w:bookmarkEnd w:id="105"/>
      <w:tr w14:paraId="43DA4E40">
        <w:tblPrEx>
          <w:tblCellMar>
            <w:top w:w="0" w:type="dxa"/>
            <w:left w:w="108" w:type="dxa"/>
            <w:bottom w:w="0" w:type="dxa"/>
            <w:right w:w="108" w:type="dxa"/>
          </w:tblCellMar>
        </w:tblPrEx>
        <w:trPr>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0497A5E9">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9</w:t>
            </w:r>
          </w:p>
        </w:tc>
        <w:tc>
          <w:tcPr>
            <w:tcW w:w="1253" w:type="dxa"/>
            <w:tcBorders>
              <w:top w:val="single" w:color="000000" w:sz="4" w:space="0"/>
              <w:bottom w:val="single" w:color="000000" w:sz="4" w:space="0"/>
              <w:right w:val="single" w:color="000000" w:sz="4" w:space="0"/>
            </w:tcBorders>
            <w:noWrap/>
            <w:vAlign w:val="center"/>
          </w:tcPr>
          <w:p w14:paraId="48C485D4">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材料、设备</w:t>
            </w:r>
          </w:p>
          <w:p w14:paraId="364EF9F9">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质量保障措施</w:t>
            </w:r>
          </w:p>
        </w:tc>
        <w:tc>
          <w:tcPr>
            <w:tcW w:w="6943" w:type="dxa"/>
            <w:tcBorders>
              <w:top w:val="single" w:color="000000" w:sz="4" w:space="0"/>
              <w:bottom w:val="single" w:color="000000" w:sz="4" w:space="0"/>
              <w:right w:val="single" w:color="000000" w:sz="4" w:space="0"/>
            </w:tcBorders>
            <w:noWrap/>
            <w:vAlign w:val="center"/>
          </w:tcPr>
          <w:p w14:paraId="0ED884C6">
            <w:pPr>
              <w:widowControl/>
              <w:spacing w:line="276" w:lineRule="auto"/>
              <w:jc w:val="left"/>
              <w:rPr>
                <w:rFonts w:hint="eastAsia" w:ascii="宋体" w:hAnsi="宋体" w:eastAsia="宋体" w:cs="宋体"/>
                <w:snapToGrid/>
                <w:color w:val="auto"/>
                <w:sz w:val="24"/>
                <w:highlight w:val="none"/>
              </w:rPr>
            </w:pPr>
            <w:r>
              <w:rPr>
                <w:rFonts w:hint="eastAsia" w:ascii="宋体" w:hAnsi="宋体" w:eastAsia="宋体"/>
                <w:bCs/>
                <w:snapToGrid/>
                <w:color w:val="auto"/>
                <w:sz w:val="24"/>
                <w:highlight w:val="none"/>
              </w:rPr>
              <w:t>从</w:t>
            </w:r>
            <w:r>
              <w:rPr>
                <w:rFonts w:ascii="宋体" w:hAnsi="宋体" w:eastAsia="宋体"/>
                <w:bCs/>
                <w:snapToGrid/>
                <w:color w:val="auto"/>
                <w:sz w:val="24"/>
                <w:highlight w:val="none"/>
              </w:rPr>
              <w:t>材料、设备从源头到售后的全流程质量管控</w:t>
            </w:r>
            <w:r>
              <w:rPr>
                <w:rFonts w:hint="eastAsia" w:ascii="宋体" w:hAnsi="宋体" w:eastAsia="宋体"/>
                <w:bCs/>
                <w:snapToGrid/>
                <w:color w:val="auto"/>
                <w:sz w:val="24"/>
                <w:highlight w:val="none"/>
              </w:rPr>
              <w:t>可行性及可操作性强，进货渠道明确可靠、有质量保障措施得4分；</w:t>
            </w:r>
            <w:r>
              <w:rPr>
                <w:rFonts w:ascii="宋体" w:hAnsi="宋体" w:eastAsia="宋体"/>
                <w:bCs/>
                <w:snapToGrid/>
                <w:color w:val="auto"/>
                <w:sz w:val="24"/>
                <w:highlight w:val="none"/>
              </w:rPr>
              <w:t>材料、设备从源头到售后的全流程质量管控</w:t>
            </w:r>
            <w:r>
              <w:rPr>
                <w:rFonts w:hint="eastAsia" w:ascii="宋体" w:hAnsi="宋体" w:eastAsia="宋体"/>
                <w:bCs/>
                <w:snapToGrid/>
                <w:color w:val="auto"/>
                <w:sz w:val="24"/>
                <w:highlight w:val="none"/>
              </w:rPr>
              <w:t>一般，具有一定的可行性及可操作性得3</w:t>
            </w:r>
            <w:r>
              <w:rPr>
                <w:rFonts w:hint="eastAsia" w:ascii="宋体" w:hAnsi="宋体" w:eastAsia="宋体" w:cs="宋体"/>
                <w:snapToGrid/>
                <w:color w:val="auto"/>
                <w:sz w:val="24"/>
                <w:highlight w:val="none"/>
              </w:rPr>
              <w:t>分；</w:t>
            </w:r>
            <w:r>
              <w:rPr>
                <w:rFonts w:ascii="宋体" w:hAnsi="宋体" w:eastAsia="宋体"/>
                <w:bCs/>
                <w:snapToGrid/>
                <w:color w:val="auto"/>
                <w:sz w:val="24"/>
                <w:highlight w:val="none"/>
              </w:rPr>
              <w:t>材料、设备从源头到售后的全流程质量管控</w:t>
            </w:r>
            <w:r>
              <w:rPr>
                <w:rFonts w:hint="eastAsia" w:ascii="宋体" w:hAnsi="宋体" w:eastAsia="宋体"/>
                <w:bCs/>
                <w:snapToGrid/>
                <w:color w:val="auto"/>
                <w:sz w:val="24"/>
                <w:highlight w:val="none"/>
              </w:rPr>
              <w:t>缺乏可行性</w:t>
            </w:r>
            <w:r>
              <w:rPr>
                <w:rFonts w:hint="eastAsia" w:ascii="宋体" w:hAnsi="宋体" w:eastAsia="宋体" w:cs="宋体"/>
                <w:snapToGrid/>
                <w:color w:val="auto"/>
                <w:sz w:val="24"/>
                <w:highlight w:val="none"/>
              </w:rPr>
              <w:t>，得1分；缺项得0分。</w:t>
            </w:r>
          </w:p>
        </w:tc>
        <w:tc>
          <w:tcPr>
            <w:tcW w:w="921" w:type="dxa"/>
            <w:tcBorders>
              <w:top w:val="single" w:color="000000" w:sz="4" w:space="0"/>
              <w:bottom w:val="single" w:color="000000" w:sz="4" w:space="0"/>
              <w:right w:val="single" w:color="000000" w:sz="4" w:space="0"/>
            </w:tcBorders>
            <w:noWrap/>
            <w:vAlign w:val="center"/>
          </w:tcPr>
          <w:p w14:paraId="236A661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4</w:t>
            </w:r>
          </w:p>
        </w:tc>
      </w:tr>
      <w:tr w14:paraId="46D390C8">
        <w:tblPrEx>
          <w:tblCellMar>
            <w:top w:w="0" w:type="dxa"/>
            <w:left w:w="108" w:type="dxa"/>
            <w:bottom w:w="0" w:type="dxa"/>
            <w:right w:w="108" w:type="dxa"/>
          </w:tblCellMar>
        </w:tblPrEx>
        <w:trPr>
          <w:trHeight w:val="90" w:hRule="atLeast"/>
          <w:jc w:val="center"/>
        </w:trPr>
        <w:tc>
          <w:tcPr>
            <w:tcW w:w="780" w:type="dxa"/>
            <w:vMerge w:val="restart"/>
            <w:tcBorders>
              <w:top w:val="single" w:color="000000" w:sz="4" w:space="0"/>
              <w:left w:val="single" w:color="000000" w:sz="4" w:space="0"/>
              <w:right w:val="single" w:color="000000" w:sz="4" w:space="0"/>
            </w:tcBorders>
            <w:noWrap/>
            <w:vAlign w:val="center"/>
          </w:tcPr>
          <w:p w14:paraId="28F8D04F">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10</w:t>
            </w:r>
          </w:p>
        </w:tc>
        <w:tc>
          <w:tcPr>
            <w:tcW w:w="1253" w:type="dxa"/>
            <w:vMerge w:val="restart"/>
            <w:tcBorders>
              <w:top w:val="single" w:color="000000" w:sz="4" w:space="0"/>
              <w:right w:val="single" w:color="000000" w:sz="4" w:space="0"/>
            </w:tcBorders>
            <w:noWrap/>
            <w:vAlign w:val="center"/>
          </w:tcPr>
          <w:p w14:paraId="6C5C1F1E">
            <w:pPr>
              <w:widowControl/>
              <w:spacing w:line="276" w:lineRule="auto"/>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售后服务</w:t>
            </w:r>
          </w:p>
        </w:tc>
        <w:tc>
          <w:tcPr>
            <w:tcW w:w="6943" w:type="dxa"/>
            <w:tcBorders>
              <w:top w:val="single" w:color="000000" w:sz="4" w:space="0"/>
              <w:left w:val="single" w:color="000000" w:sz="4" w:space="0"/>
              <w:bottom w:val="single" w:color="000000" w:sz="4" w:space="0"/>
              <w:right w:val="single" w:color="000000" w:sz="4" w:space="0"/>
            </w:tcBorders>
            <w:noWrap/>
            <w:vAlign w:val="center"/>
          </w:tcPr>
          <w:p w14:paraId="2522B97C">
            <w:pPr>
              <w:widowControl/>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投标单位提供的售后服务方案:投标人接到采购人故障通知，根据科学性、合理性和可操作性综合打分。</w:t>
            </w:r>
          </w:p>
          <w:p w14:paraId="40329FFD">
            <w:pPr>
              <w:widowControl/>
              <w:jc w:val="left"/>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售后服务方案科学、严密、合理，描述详细且具有针对性合理的得3分；售后服务方案基本合理、严密，描述基本齐全，基本具有可操作性的得2分；售后服务方案具有不合理项、描述略欠缺、存在一定的实施难度的得1分；</w:t>
            </w:r>
          </w:p>
          <w:p w14:paraId="713093DC">
            <w:pPr>
              <w:rPr>
                <w:rFonts w:hint="eastAsia"/>
                <w:color w:val="auto"/>
                <w:highlight w:val="none"/>
              </w:rPr>
            </w:pPr>
            <w:r>
              <w:rPr>
                <w:rFonts w:hint="eastAsia" w:ascii="宋体" w:hAnsi="宋体" w:eastAsia="宋体" w:cs="宋体"/>
                <w:snapToGrid/>
                <w:color w:val="auto"/>
                <w:sz w:val="24"/>
                <w:highlight w:val="none"/>
              </w:rPr>
              <w:t>未提供不得分。</w:t>
            </w:r>
          </w:p>
          <w:p w14:paraId="6FA54ECA">
            <w:pPr>
              <w:rPr>
                <w:rFonts w:hint="eastAsia"/>
                <w:color w:val="auto"/>
                <w:highlight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3CC7C91">
            <w:pPr>
              <w:spacing w:line="460" w:lineRule="exact"/>
              <w:jc w:val="center"/>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3</w:t>
            </w:r>
          </w:p>
        </w:tc>
      </w:tr>
      <w:tr w14:paraId="12FD9CDC">
        <w:tblPrEx>
          <w:tblCellMar>
            <w:top w:w="0" w:type="dxa"/>
            <w:left w:w="108" w:type="dxa"/>
            <w:bottom w:w="0" w:type="dxa"/>
            <w:right w:w="108" w:type="dxa"/>
          </w:tblCellMar>
        </w:tblPrEx>
        <w:trPr>
          <w:trHeight w:val="1177" w:hRule="atLeast"/>
          <w:jc w:val="center"/>
        </w:trPr>
        <w:tc>
          <w:tcPr>
            <w:tcW w:w="780" w:type="dxa"/>
            <w:vMerge w:val="continue"/>
            <w:tcBorders>
              <w:left w:val="single" w:color="000000" w:sz="4" w:space="0"/>
              <w:bottom w:val="single" w:color="000000" w:sz="4" w:space="0"/>
              <w:right w:val="single" w:color="000000" w:sz="4" w:space="0"/>
            </w:tcBorders>
            <w:noWrap/>
            <w:vAlign w:val="center"/>
          </w:tcPr>
          <w:p w14:paraId="3D6614C9">
            <w:pPr>
              <w:rPr>
                <w:rFonts w:hint="eastAsia"/>
                <w:color w:val="auto"/>
                <w:highlight w:val="none"/>
              </w:rPr>
            </w:pPr>
          </w:p>
        </w:tc>
        <w:tc>
          <w:tcPr>
            <w:tcW w:w="1253" w:type="dxa"/>
            <w:vMerge w:val="continue"/>
            <w:tcBorders>
              <w:bottom w:val="single" w:color="000000" w:sz="4" w:space="0"/>
              <w:right w:val="single" w:color="000000" w:sz="4" w:space="0"/>
            </w:tcBorders>
            <w:noWrap/>
            <w:vAlign w:val="center"/>
          </w:tcPr>
          <w:p w14:paraId="10382B7A">
            <w:pPr>
              <w:rPr>
                <w:rFonts w:hint="eastAsia"/>
                <w:color w:val="auto"/>
                <w:highlight w:val="none"/>
              </w:rPr>
            </w:pPr>
          </w:p>
        </w:tc>
        <w:tc>
          <w:tcPr>
            <w:tcW w:w="6943" w:type="dxa"/>
            <w:tcBorders>
              <w:top w:val="single" w:color="000000" w:sz="4" w:space="0"/>
              <w:left w:val="single" w:color="000000" w:sz="4" w:space="0"/>
              <w:bottom w:val="single" w:color="000000" w:sz="4" w:space="0"/>
              <w:right w:val="single" w:color="000000" w:sz="4" w:space="0"/>
            </w:tcBorders>
            <w:noWrap/>
            <w:vAlign w:val="center"/>
          </w:tcPr>
          <w:p w14:paraId="55E8B399">
            <w:pPr>
              <w:widowControl/>
              <w:jc w:val="left"/>
              <w:rPr>
                <w:rFonts w:hint="eastAsia"/>
                <w:color w:val="auto"/>
                <w:highlight w:val="none"/>
              </w:rPr>
            </w:pPr>
            <w:r>
              <w:rPr>
                <w:rFonts w:hint="eastAsia" w:ascii="宋体" w:hAnsi="宋体" w:eastAsia="宋体" w:cs="宋体"/>
                <w:snapToGrid/>
                <w:color w:val="auto"/>
                <w:sz w:val="24"/>
                <w:highlight w:val="none"/>
              </w:rPr>
              <w:t>本项目基础质保期3年，供应商在3年质保期基础上每增加1年得1分，最高得2分。</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B3ECAF9">
            <w:pPr>
              <w:spacing w:line="460" w:lineRule="exact"/>
              <w:jc w:val="center"/>
              <w:rPr>
                <w:rFonts w:hint="eastAsia"/>
                <w:color w:val="auto"/>
                <w:highlight w:val="none"/>
              </w:rPr>
            </w:pPr>
            <w:r>
              <w:rPr>
                <w:rFonts w:hint="eastAsia" w:ascii="宋体" w:hAnsi="宋体" w:eastAsia="宋体" w:cs="宋体"/>
                <w:snapToGrid/>
                <w:color w:val="auto"/>
                <w:sz w:val="24"/>
                <w:highlight w:val="none"/>
              </w:rPr>
              <w:t>2</w:t>
            </w:r>
          </w:p>
        </w:tc>
      </w:tr>
    </w:tbl>
    <w:p w14:paraId="267754B4">
      <w:pPr>
        <w:adjustRightInd w:val="0"/>
        <w:snapToGrid w:val="0"/>
        <w:spacing w:before="24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（四）报价</w:t>
      </w:r>
      <w:r>
        <w:rPr>
          <w:rFonts w:hint="eastAsia" w:ascii="宋体" w:hAnsi="宋体" w:eastAsia="宋体" w:cs="宋体"/>
          <w:b/>
          <w:color w:val="auto"/>
          <w:sz w:val="24"/>
          <w:highlight w:val="none"/>
          <w:lang w:val="zh-CN"/>
        </w:rPr>
        <w:t>分</w:t>
      </w:r>
      <w:r>
        <w:rPr>
          <w:rFonts w:hint="eastAsia" w:ascii="宋体" w:hAnsi="宋体" w:eastAsia="宋体" w:cs="宋体"/>
          <w:b/>
          <w:color w:val="auto"/>
          <w:sz w:val="24"/>
          <w:highlight w:val="none"/>
        </w:rPr>
        <w:t>：30</w:t>
      </w:r>
      <w:r>
        <w:rPr>
          <w:rFonts w:hint="eastAsia" w:ascii="宋体" w:hAnsi="宋体" w:eastAsia="宋体" w:cs="宋体"/>
          <w:b/>
          <w:color w:val="auto"/>
          <w:sz w:val="24"/>
          <w:highlight w:val="none"/>
          <w:lang w:val="zh-CN"/>
        </w:rPr>
        <w:t>分</w:t>
      </w:r>
    </w:p>
    <w:p w14:paraId="4AF93A6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报价分统一采用低价优先法计算，即满足磋商文件要求且最后报价最低的供应商的价格为磋商基准价，其价格分为满分。其他供应商的价格分统一按照下列公式计算：</w:t>
      </w:r>
    </w:p>
    <w:p w14:paraId="564195E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磋商报价得分=（磋商基准价/最后磋商报价）×价格权值×100。</w:t>
      </w:r>
    </w:p>
    <w:p w14:paraId="2D20594B">
      <w:pPr>
        <w:adjustRightInd w:val="0"/>
        <w:snapToGrid w:val="0"/>
        <w:spacing w:line="360" w:lineRule="auto"/>
        <w:ind w:firstLine="57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政府采购政策功能落实</w:t>
      </w:r>
    </w:p>
    <w:p w14:paraId="4D0E69B0">
      <w:pPr>
        <w:adjustRightInd w:val="0"/>
        <w:snapToGrid w:val="0"/>
        <w:spacing w:line="360" w:lineRule="auto"/>
        <w:ind w:firstLine="570"/>
        <w:rPr>
          <w:rFonts w:hint="eastAsia" w:ascii="宋体" w:hAnsi="宋体" w:eastAsia="宋体" w:cs="宋体"/>
          <w:b/>
          <w:color w:val="auto"/>
          <w:sz w:val="24"/>
          <w:highlight w:val="none"/>
        </w:rPr>
      </w:pPr>
      <w:bookmarkStart w:id="106" w:name="OLE_LINK29"/>
      <w:r>
        <w:rPr>
          <w:rFonts w:hint="eastAsia" w:ascii="宋体" w:hAnsi="宋体" w:eastAsia="宋体" w:cs="宋体"/>
          <w:b/>
          <w:color w:val="auto"/>
          <w:sz w:val="24"/>
          <w:highlight w:val="none"/>
        </w:rPr>
        <w:t>本项目为专门面向中小企业采购的项目或者采购包，不再执行价格评审优惠的扶持政策。</w:t>
      </w:r>
    </w:p>
    <w:bookmarkEnd w:id="106"/>
    <w:p w14:paraId="3CF95DCE">
      <w:pPr>
        <w:adjustRightInd w:val="0"/>
        <w:snapToGrid w:val="0"/>
        <w:spacing w:line="360" w:lineRule="auto"/>
        <w:ind w:firstLine="57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（六）成交供应商的确定</w:t>
      </w:r>
    </w:p>
    <w:p w14:paraId="45906BA5">
      <w:pPr>
        <w:adjustRightInd w:val="0"/>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磋商小组汇总各评委评分后，按照得分从高到低的顺序推荐三名成交候选人，并编写评审报告。</w:t>
      </w:r>
    </w:p>
    <w:p w14:paraId="507E818A">
      <w:pPr>
        <w:adjustRightInd w:val="0"/>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采购单位委托磋商小组直接确定排名第一的成交候选人为成交供应商。</w:t>
      </w:r>
    </w:p>
    <w:p w14:paraId="203C7ADA">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（七）公告成交结果</w:t>
      </w:r>
    </w:p>
    <w:p w14:paraId="4B41D05E">
      <w:pPr>
        <w:adjustRightInd w:val="0"/>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自确定成交供应商之日起2个工作日内，在“南通市机关事务管理局→公告公示”栏公告成交结果，公告期限为1个工作日。</w:t>
      </w:r>
    </w:p>
    <w:p w14:paraId="36E37174">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（八）</w:t>
      </w:r>
      <w:r>
        <w:rPr>
          <w:rFonts w:hint="eastAsia" w:ascii="宋体" w:hAnsi="宋体" w:eastAsia="宋体" w:cs="宋体"/>
          <w:b/>
          <w:bCs/>
          <w:color w:val="auto"/>
          <w:sz w:val="24"/>
          <w:highlight w:val="none"/>
        </w:rPr>
        <w:t>发放成交通知书</w:t>
      </w:r>
    </w:p>
    <w:p w14:paraId="4E8437AC">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公告成交结果的同时，采购单位</w:t>
      </w:r>
      <w:r>
        <w:rPr>
          <w:rFonts w:hint="eastAsia" w:ascii="宋体" w:hAnsi="宋体" w:eastAsia="宋体" w:cs="宋体"/>
          <w:bCs/>
          <w:color w:val="auto"/>
          <w:sz w:val="24"/>
          <w:highlight w:val="none"/>
        </w:rPr>
        <w:t>向成交供应商发放成交通知书。</w:t>
      </w:r>
    </w:p>
    <w:p w14:paraId="415894BB">
      <w:pPr>
        <w:adjustRightInd w:val="0"/>
        <w:snapToGrid w:val="0"/>
        <w:spacing w:line="360" w:lineRule="auto"/>
        <w:ind w:firstLine="480" w:firstLineChars="200"/>
        <w:rPr>
          <w:rFonts w:hint="eastAsia" w:ascii="宋体" w:hAnsi="宋体" w:eastAsia="宋体" w:cs="宋体"/>
          <w:b/>
          <w:bCs/>
          <w:color w:val="auto"/>
          <w:sz w:val="36"/>
          <w:szCs w:val="36"/>
          <w:highlight w:val="none"/>
          <w:lang w:val="zh-CN"/>
        </w:rPr>
      </w:pPr>
      <w:r>
        <w:rPr>
          <w:rFonts w:hint="eastAsia" w:ascii="宋体" w:hAnsi="宋体" w:eastAsia="宋体" w:cs="宋体"/>
          <w:color w:val="auto"/>
          <w:sz w:val="24"/>
          <w:highlight w:val="none"/>
        </w:rPr>
        <w:t>成交通知书发出后，采购单位不得违法改变成交结果，成交供应商无正当理由不得放弃成交。</w:t>
      </w:r>
      <w:r>
        <w:rPr>
          <w:rFonts w:ascii="宋体" w:hAnsi="宋体" w:eastAsia="宋体" w:cs="宋体"/>
          <w:b/>
          <w:bCs/>
          <w:color w:val="auto"/>
          <w:sz w:val="36"/>
          <w:szCs w:val="36"/>
          <w:highlight w:val="none"/>
          <w:lang w:val="zh-CN"/>
        </w:rPr>
        <w:br w:type="page"/>
      </w:r>
    </w:p>
    <w:p w14:paraId="7E4E9C34">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 xml:space="preserve">第五部分  </w:t>
      </w:r>
      <w:bookmarkEnd w:id="102"/>
      <w:bookmarkEnd w:id="103"/>
      <w:r>
        <w:rPr>
          <w:rFonts w:hint="eastAsia" w:ascii="宋体" w:hAnsi="宋体" w:eastAsia="宋体" w:cs="宋体"/>
          <w:b/>
          <w:bCs/>
          <w:snapToGrid/>
          <w:color w:val="auto"/>
          <w:w w:val="80"/>
          <w:kern w:val="2"/>
          <w:sz w:val="44"/>
          <w:szCs w:val="44"/>
          <w:highlight w:val="none"/>
        </w:rPr>
        <w:t>合同条款</w:t>
      </w:r>
    </w:p>
    <w:p w14:paraId="28CB61AA">
      <w:pPr>
        <w:jc w:val="center"/>
        <w:rPr>
          <w:rFonts w:hint="eastAsia" w:ascii="宋体" w:hAnsi="宋体" w:eastAsia="宋体"/>
          <w:b/>
          <w:snapToGrid/>
          <w:color w:val="auto"/>
          <w:kern w:val="2"/>
          <w:sz w:val="72"/>
          <w:szCs w:val="52"/>
          <w:highlight w:val="none"/>
        </w:rPr>
      </w:pPr>
    </w:p>
    <w:p w14:paraId="1D6E8A75">
      <w:pPr>
        <w:jc w:val="center"/>
        <w:rPr>
          <w:rFonts w:hint="eastAsia" w:ascii="宋体" w:hAnsi="宋体" w:eastAsia="宋体"/>
          <w:b/>
          <w:snapToGrid/>
          <w:color w:val="auto"/>
          <w:kern w:val="2"/>
          <w:sz w:val="72"/>
          <w:szCs w:val="52"/>
          <w:highlight w:val="none"/>
        </w:rPr>
      </w:pPr>
    </w:p>
    <w:p w14:paraId="34C259DC">
      <w:pPr>
        <w:jc w:val="center"/>
        <w:rPr>
          <w:rFonts w:hint="eastAsia" w:ascii="宋体" w:hAnsi="宋体" w:eastAsia="宋体"/>
          <w:b/>
          <w:snapToGrid/>
          <w:color w:val="auto"/>
          <w:kern w:val="2"/>
          <w:sz w:val="72"/>
          <w:szCs w:val="52"/>
          <w:highlight w:val="none"/>
        </w:rPr>
      </w:pPr>
    </w:p>
    <w:p w14:paraId="1EFE1EF8">
      <w:pPr>
        <w:jc w:val="center"/>
        <w:rPr>
          <w:rFonts w:hint="eastAsia" w:ascii="宋体" w:hAnsi="宋体" w:eastAsia="宋体"/>
          <w:b/>
          <w:snapToGrid/>
          <w:color w:val="auto"/>
          <w:kern w:val="2"/>
          <w:sz w:val="72"/>
          <w:szCs w:val="52"/>
          <w:highlight w:val="none"/>
        </w:rPr>
      </w:pPr>
      <w:r>
        <w:rPr>
          <w:rFonts w:ascii="宋体" w:hAnsi="宋体" w:eastAsia="宋体"/>
          <w:b/>
          <w:snapToGrid/>
          <w:color w:val="auto"/>
          <w:kern w:val="2"/>
          <w:sz w:val="72"/>
          <w:szCs w:val="52"/>
          <w:highlight w:val="none"/>
        </w:rPr>
        <w:t>建设工程施工合同</w:t>
      </w:r>
    </w:p>
    <w:p w14:paraId="15F6E5F7">
      <w:pPr>
        <w:jc w:val="center"/>
        <w:rPr>
          <w:rFonts w:hint="eastAsia" w:ascii="宋体" w:hAnsi="宋体" w:eastAsia="宋体"/>
          <w:b/>
          <w:snapToGrid/>
          <w:color w:val="auto"/>
          <w:kern w:val="2"/>
          <w:sz w:val="52"/>
          <w:szCs w:val="52"/>
          <w:highlight w:val="none"/>
        </w:rPr>
      </w:pPr>
      <w:r>
        <w:rPr>
          <w:rFonts w:ascii="宋体" w:hAnsi="宋体" w:eastAsia="宋体"/>
          <w:b/>
          <w:snapToGrid/>
          <w:color w:val="auto"/>
          <w:kern w:val="2"/>
          <w:sz w:val="52"/>
          <w:szCs w:val="52"/>
          <w:highlight w:val="none"/>
        </w:rPr>
        <w:t>（示范文本）</w:t>
      </w:r>
    </w:p>
    <w:p w14:paraId="3BE0EE5A">
      <w:pPr>
        <w:jc w:val="center"/>
        <w:rPr>
          <w:rFonts w:hint="eastAsia" w:ascii="宋体" w:hAnsi="宋体" w:eastAsia="宋体"/>
          <w:bCs/>
          <w:snapToGrid/>
          <w:color w:val="auto"/>
          <w:kern w:val="2"/>
          <w:sz w:val="32"/>
          <w:szCs w:val="32"/>
          <w:highlight w:val="none"/>
        </w:rPr>
      </w:pPr>
      <w:r>
        <w:rPr>
          <w:rFonts w:ascii="宋体" w:hAnsi="宋体" w:eastAsia="宋体"/>
          <w:bCs/>
          <w:snapToGrid/>
          <w:color w:val="auto"/>
          <w:kern w:val="2"/>
          <w:sz w:val="32"/>
          <w:szCs w:val="32"/>
          <w:highlight w:val="none"/>
        </w:rPr>
        <w:t>（GF—2017—</w:t>
      </w:r>
      <w:r>
        <w:rPr>
          <w:rFonts w:hint="eastAsia" w:ascii="宋体" w:hAnsi="宋体" w:eastAsia="宋体"/>
          <w:bCs/>
          <w:snapToGrid/>
          <w:color w:val="auto"/>
          <w:kern w:val="2"/>
          <w:sz w:val="32"/>
          <w:szCs w:val="32"/>
          <w:highlight w:val="none"/>
        </w:rPr>
        <w:t>0201）</w:t>
      </w:r>
    </w:p>
    <w:p w14:paraId="3F24C052">
      <w:pPr>
        <w:jc w:val="center"/>
        <w:rPr>
          <w:rFonts w:ascii="Times New Roman" w:hAnsi="Times New Roman" w:eastAsia="华文中宋"/>
          <w:b/>
          <w:snapToGrid/>
          <w:color w:val="auto"/>
          <w:kern w:val="2"/>
          <w:sz w:val="52"/>
          <w:szCs w:val="52"/>
          <w:highlight w:val="none"/>
        </w:rPr>
      </w:pPr>
    </w:p>
    <w:p w14:paraId="7FF2EA85">
      <w:pPr>
        <w:jc w:val="center"/>
        <w:rPr>
          <w:rFonts w:ascii="Times New Roman" w:hAnsi="Times New Roman" w:eastAsia="黑体"/>
          <w:b/>
          <w:snapToGrid/>
          <w:color w:val="auto"/>
          <w:kern w:val="2"/>
          <w:sz w:val="72"/>
          <w:szCs w:val="72"/>
          <w:highlight w:val="none"/>
        </w:rPr>
      </w:pPr>
    </w:p>
    <w:p w14:paraId="251BDD44">
      <w:pPr>
        <w:jc w:val="center"/>
        <w:rPr>
          <w:rFonts w:ascii="Times New Roman" w:hAnsi="Times New Roman" w:eastAsia="楷体_GB2312"/>
          <w:b/>
          <w:snapToGrid/>
          <w:color w:val="auto"/>
          <w:kern w:val="2"/>
          <w:sz w:val="72"/>
          <w:szCs w:val="72"/>
          <w:highlight w:val="none"/>
        </w:rPr>
      </w:pPr>
    </w:p>
    <w:p w14:paraId="39043160">
      <w:pPr>
        <w:jc w:val="center"/>
        <w:rPr>
          <w:rFonts w:ascii="Times New Roman" w:hAnsi="Times New Roman" w:eastAsia="黑体"/>
          <w:b/>
          <w:snapToGrid/>
          <w:color w:val="auto"/>
          <w:kern w:val="2"/>
          <w:sz w:val="52"/>
          <w:szCs w:val="52"/>
          <w:highlight w:val="none"/>
        </w:rPr>
      </w:pPr>
    </w:p>
    <w:p w14:paraId="70E70823">
      <w:pPr>
        <w:rPr>
          <w:rFonts w:ascii="Times New Roman" w:hAnsi="Times New Roman" w:eastAsia="宋体"/>
          <w:b/>
          <w:snapToGrid/>
          <w:color w:val="auto"/>
          <w:kern w:val="2"/>
          <w:sz w:val="28"/>
          <w:szCs w:val="28"/>
          <w:highlight w:val="none"/>
        </w:rPr>
      </w:pPr>
    </w:p>
    <w:p w14:paraId="6A3025DE">
      <w:pPr>
        <w:rPr>
          <w:rFonts w:ascii="Times New Roman" w:hAnsi="Times New Roman" w:eastAsia="宋体"/>
          <w:b/>
          <w:snapToGrid/>
          <w:color w:val="auto"/>
          <w:kern w:val="2"/>
          <w:sz w:val="28"/>
          <w:szCs w:val="28"/>
          <w:highlight w:val="none"/>
        </w:rPr>
      </w:pPr>
    </w:p>
    <w:p w14:paraId="542998ED">
      <w:pPr>
        <w:rPr>
          <w:rFonts w:ascii="Times New Roman" w:hAnsi="Times New Roman" w:eastAsia="宋体"/>
          <w:b/>
          <w:snapToGrid/>
          <w:color w:val="auto"/>
          <w:kern w:val="2"/>
          <w:sz w:val="28"/>
          <w:szCs w:val="28"/>
          <w:highlight w:val="none"/>
        </w:rPr>
      </w:pPr>
    </w:p>
    <w:p w14:paraId="5ADCAFC9">
      <w:pPr>
        <w:spacing w:line="480" w:lineRule="auto"/>
        <w:jc w:val="center"/>
        <w:rPr>
          <w:rFonts w:ascii="Times New Roman" w:hAnsi="Times New Roman" w:eastAsia="宋体"/>
          <w:b/>
          <w:snapToGrid/>
          <w:color w:val="auto"/>
          <w:kern w:val="2"/>
          <w:sz w:val="32"/>
          <w:szCs w:val="32"/>
          <w:highlight w:val="none"/>
        </w:rPr>
      </w:pPr>
      <w:r>
        <w:rPr>
          <w:color w:val="auto"/>
          <w:highlight w:val="none"/>
        </w:rPr>
        <w:br w:type="page"/>
      </w:r>
      <w:r>
        <w:rPr>
          <w:rFonts w:hint="eastAsia" w:ascii="Times New Roman" w:hAnsi="Times New Roman" w:eastAsia="宋体"/>
          <w:b/>
          <w:snapToGrid/>
          <w:color w:val="auto"/>
          <w:kern w:val="2"/>
          <w:sz w:val="32"/>
          <w:szCs w:val="32"/>
          <w:highlight w:val="none"/>
        </w:rPr>
        <w:t>第一部分 合同协议书</w:t>
      </w:r>
    </w:p>
    <w:p w14:paraId="5F509D3E">
      <w:pPr>
        <w:spacing w:line="480" w:lineRule="auto"/>
        <w:rPr>
          <w:rFonts w:hint="eastAsia" w:ascii="宋体" w:hAnsi="宋体" w:eastAsia="宋体" w:cs="宋体"/>
          <w:b/>
          <w:color w:val="auto"/>
          <w:sz w:val="24"/>
          <w:highlight w:val="none"/>
        </w:rPr>
      </w:pPr>
    </w:p>
    <w:p w14:paraId="32AD2A97">
      <w:pPr>
        <w:snapToGrid w:val="0"/>
        <w:spacing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发包人（全称）：</w:t>
      </w:r>
      <w:r>
        <w:rPr>
          <w:rFonts w:hint="eastAsia" w:ascii="宋体" w:hAnsi="宋体" w:eastAsia="宋体" w:cs="宋体"/>
          <w:b/>
          <w:color w:val="auto"/>
          <w:sz w:val="24"/>
          <w:highlight w:val="none"/>
          <w:u w:val="single"/>
        </w:rPr>
        <w:t></w:t>
      </w:r>
      <w:r>
        <w:rPr>
          <w:rFonts w:hint="eastAsia" w:ascii="宋体" w:hAnsi="宋体" w:eastAsia="宋体" w:cs="宋体"/>
          <w:b/>
          <w:bCs/>
          <w:color w:val="auto"/>
          <w:sz w:val="24"/>
          <w:highlight w:val="none"/>
          <w:u w:val="single"/>
        </w:rPr>
        <w:t xml:space="preserve">  南通市机关事务管理局</w:t>
      </w:r>
      <w:r>
        <w:rPr>
          <w:rFonts w:hint="eastAsia" w:ascii="宋体" w:hAnsi="宋体" w:eastAsia="宋体" w:cs="宋体"/>
          <w:b/>
          <w:color w:val="auto"/>
          <w:sz w:val="24"/>
          <w:highlight w:val="none"/>
          <w:u w:val="single"/>
        </w:rPr>
        <w:t> </w:t>
      </w:r>
    </w:p>
    <w:p w14:paraId="3847BF3E">
      <w:pPr>
        <w:snapToGrid w:val="0"/>
        <w:spacing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承包人（全称）：</w:t>
      </w:r>
      <w:r>
        <w:rPr>
          <w:rFonts w:hint="eastAsia" w:ascii="宋体" w:hAnsi="宋体" w:eastAsia="宋体" w:cs="宋体"/>
          <w:b/>
          <w:color w:val="auto"/>
          <w:sz w:val="24"/>
          <w:highlight w:val="none"/>
          <w:u w:val="single"/>
        </w:rPr>
        <w:t xml:space="preserve">                           </w:t>
      </w:r>
    </w:p>
    <w:p w14:paraId="338085F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根据《中华人民共和国民法典》、《中华人民共和国建筑法》及有关法律规定，遵循平等、自愿、公平和诚实信用的原则，双方就</w:t>
      </w:r>
      <w:r>
        <w:rPr>
          <w:rFonts w:hint="eastAsia" w:ascii="宋体" w:hAnsi="宋体" w:eastAsia="宋体" w:cs="宋体"/>
          <w:b/>
          <w:bCs/>
          <w:color w:val="auto"/>
          <w:sz w:val="24"/>
          <w:highlight w:val="none"/>
          <w:u w:val="single"/>
        </w:rPr>
        <w:t xml:space="preserve">  南通市政务中心电气火灾监控系统改造工程  </w:t>
      </w:r>
      <w:r>
        <w:rPr>
          <w:rFonts w:hint="eastAsia" w:ascii="宋体" w:hAnsi="宋体" w:eastAsia="宋体" w:cs="宋体"/>
          <w:color w:val="auto"/>
          <w:sz w:val="24"/>
          <w:highlight w:val="none"/>
        </w:rPr>
        <w:t xml:space="preserve">施工及有关事项协商一致，共同达成如下协议：  </w:t>
      </w:r>
    </w:p>
    <w:p w14:paraId="649F2EEA">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一、工程概况</w:t>
      </w:r>
    </w:p>
    <w:p w14:paraId="49D7A1F8">
      <w:pPr>
        <w:snapToGrid w:val="0"/>
        <w:spacing w:line="360" w:lineRule="auto"/>
        <w:ind w:firstLine="470" w:firstLineChars="196"/>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1.工程名称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rPr>
        <w:t>南通市政务中心电气火灾监控系统改造工程</w:t>
      </w:r>
      <w:r>
        <w:rPr>
          <w:rFonts w:hint="eastAsia" w:ascii="宋体" w:hAnsi="宋体" w:eastAsia="宋体" w:cs="宋体"/>
          <w:color w:val="auto"/>
          <w:sz w:val="24"/>
          <w:highlight w:val="none"/>
        </w:rPr>
        <w:t>。</w:t>
      </w:r>
    </w:p>
    <w:p w14:paraId="706D9490">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bCs/>
          <w:color w:val="auto"/>
          <w:sz w:val="24"/>
          <w:highlight w:val="none"/>
        </w:rPr>
        <w:t>2.工程地点：</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rPr>
        <w:t>南通市政务中心</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w:t>
      </w:r>
    </w:p>
    <w:p w14:paraId="36E9409D">
      <w:pPr>
        <w:snapToGrid w:val="0"/>
        <w:spacing w:line="360" w:lineRule="auto"/>
        <w:ind w:firstLine="470" w:firstLineChars="19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3.工程立项批准文号：</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2D609AE2">
      <w:pPr>
        <w:snapToGrid w:val="0"/>
        <w:spacing w:line="360" w:lineRule="auto"/>
        <w:ind w:firstLine="470" w:firstLineChars="19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4.资金来源：</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6E228D64">
      <w:pPr>
        <w:snapToGrid w:val="0"/>
        <w:spacing w:line="360" w:lineRule="auto"/>
        <w:ind w:firstLine="470" w:firstLineChars="196"/>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5.工程内容：</w:t>
      </w:r>
      <w:r>
        <w:rPr>
          <w:rFonts w:hint="eastAsia" w:ascii="宋体" w:hAnsi="宋体" w:eastAsia="宋体" w:cs="宋体"/>
          <w:b/>
          <w:bCs/>
          <w:color w:val="auto"/>
          <w:sz w:val="24"/>
          <w:highlight w:val="none"/>
          <w:u w:val="single"/>
        </w:rPr>
        <w:t xml:space="preserve"> 详见竞争性磋商文件、施工图纸及清单中所示的内容。</w:t>
      </w:r>
    </w:p>
    <w:p w14:paraId="3E97257F">
      <w:pPr>
        <w:snapToGrid w:val="0"/>
        <w:spacing w:line="360" w:lineRule="auto"/>
        <w:ind w:firstLine="470" w:firstLineChars="19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6.工程承包范围：</w:t>
      </w:r>
      <w:r>
        <w:rPr>
          <w:rFonts w:hint="eastAsia" w:ascii="宋体" w:hAnsi="宋体" w:eastAsia="宋体" w:cs="宋体"/>
          <w:bCs/>
          <w:color w:val="auto"/>
          <w:sz w:val="24"/>
          <w:highlight w:val="none"/>
          <w:u w:val="single"/>
        </w:rPr>
        <w:t xml:space="preserve"> 同工程内容</w:t>
      </w:r>
      <w:r>
        <w:rPr>
          <w:rFonts w:hint="eastAsia" w:ascii="宋体" w:hAnsi="宋体" w:eastAsia="宋体" w:cs="宋体"/>
          <w:b/>
          <w:bCs/>
          <w:color w:val="auto"/>
          <w:sz w:val="24"/>
          <w:highlight w:val="none"/>
          <w:u w:val="single"/>
        </w:rPr>
        <w:t>。</w:t>
      </w:r>
    </w:p>
    <w:p w14:paraId="47864FD4">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二、合同工期</w:t>
      </w:r>
    </w:p>
    <w:p w14:paraId="06B157E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计划开工日期：</w:t>
      </w:r>
      <w:r>
        <w:rPr>
          <w:rFonts w:hint="eastAsia" w:ascii="宋体" w:hAnsi="宋体" w:eastAsia="宋体" w:cs="宋体"/>
          <w:color w:val="auto"/>
          <w:sz w:val="24"/>
          <w:highlight w:val="none"/>
          <w:u w:val="single"/>
        </w:rPr>
        <w:t xml:space="preserve">2025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月，计划竣工日期：</w:t>
      </w:r>
      <w:r>
        <w:rPr>
          <w:rFonts w:hint="eastAsia" w:ascii="宋体" w:hAnsi="宋体" w:eastAsia="宋体" w:cs="宋体"/>
          <w:color w:val="auto"/>
          <w:sz w:val="24"/>
          <w:highlight w:val="none"/>
          <w:u w:val="single"/>
        </w:rPr>
        <w:t xml:space="preserve">2025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p>
    <w:p w14:paraId="5C86E5C1">
      <w:pPr>
        <w:snapToGrid w:val="0"/>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工期总日历天数：</w:t>
      </w:r>
      <w:r>
        <w:rPr>
          <w:rFonts w:hint="eastAsia" w:ascii="宋体" w:hAnsi="宋体" w:eastAsia="宋体" w:cs="宋体"/>
          <w:color w:val="auto"/>
          <w:sz w:val="24"/>
          <w:highlight w:val="none"/>
          <w:u w:val="single"/>
        </w:rPr>
        <w:t xml:space="preserve"> 60 </w:t>
      </w:r>
      <w:r>
        <w:rPr>
          <w:rFonts w:hint="eastAsia" w:ascii="宋体" w:hAnsi="宋体" w:eastAsia="宋体" w:cs="宋体"/>
          <w:color w:val="auto"/>
          <w:sz w:val="24"/>
          <w:highlight w:val="none"/>
        </w:rPr>
        <w:t>天。工期总日历天数与根据前述计划开竣工日期计算的工期天数不一致的，以工期总日历天数为准。开工日期以发包人签发的书面开工通知为准。</w:t>
      </w:r>
    </w:p>
    <w:p w14:paraId="3E2901F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三、质量标准</w:t>
      </w:r>
    </w:p>
    <w:p w14:paraId="463D4D4D">
      <w:pPr>
        <w:snapToGrid w:val="0"/>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工程质量符合</w:t>
      </w:r>
      <w:r>
        <w:rPr>
          <w:rFonts w:hint="eastAsia" w:ascii="宋体" w:hAnsi="宋体" w:eastAsia="宋体" w:cs="宋体"/>
          <w:b/>
          <w:bCs/>
          <w:color w:val="auto"/>
          <w:sz w:val="24"/>
          <w:highlight w:val="none"/>
          <w:u w:val="single"/>
        </w:rPr>
        <w:t>合格</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38CB6461">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四、签约合同价与合同价格形式</w:t>
      </w:r>
      <w:r>
        <w:rPr>
          <w:rFonts w:hint="eastAsia" w:ascii="宋体" w:hAnsi="宋体" w:eastAsia="宋体" w:cs="宋体"/>
          <w:b/>
          <w:color w:val="auto"/>
          <w:sz w:val="24"/>
          <w:highlight w:val="none"/>
        </w:rPr>
        <w:tab/>
      </w:r>
    </w:p>
    <w:p w14:paraId="6DD6BC2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1.签约合同价为：</w:t>
      </w:r>
    </w:p>
    <w:p w14:paraId="61FDC324">
      <w:pPr>
        <w:snapToGrid w:val="0"/>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5F34304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p w14:paraId="702D7C8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（1）安全文明施工费：</w:t>
      </w:r>
    </w:p>
    <w:p w14:paraId="1C0EDAE7">
      <w:pPr>
        <w:snapToGrid w:val="0"/>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00F088A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（2）材料和工程设备暂估价金额：</w:t>
      </w:r>
    </w:p>
    <w:p w14:paraId="26B6C250">
      <w:pPr>
        <w:snapToGrid w:val="0"/>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4C493C8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（3）专业工程暂估价金额：</w:t>
      </w:r>
    </w:p>
    <w:p w14:paraId="30A3AE45">
      <w:pPr>
        <w:snapToGrid w:val="0"/>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1261571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（4）暂列金额：</w:t>
      </w:r>
    </w:p>
    <w:p w14:paraId="3B571F3E">
      <w:pPr>
        <w:keepNext/>
        <w:keepLines/>
        <w:snapToGrid w:val="0"/>
        <w:spacing w:line="360" w:lineRule="auto"/>
        <w:ind w:firstLine="960" w:firstLineChars="400"/>
        <w:outlineLvl w:val="3"/>
        <w:rPr>
          <w:rFonts w:hint="eastAsia" w:ascii="宋体" w:hAnsi="宋体" w:eastAsia="宋体" w:cs="宋体"/>
          <w:b/>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18565A1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2.合同价格形式：</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固定单价合同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3CB635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五、项目经理</w:t>
      </w:r>
    </w:p>
    <w:p w14:paraId="6CAF273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承包人项目经理：</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1681748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六、合同文件构成</w:t>
      </w:r>
    </w:p>
    <w:p w14:paraId="7F60346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本协议书与下列文件一起构成合同文件：</w:t>
      </w:r>
    </w:p>
    <w:p w14:paraId="28C68F89">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（1）成交通知书；</w:t>
      </w:r>
    </w:p>
    <w:p w14:paraId="647D3F07">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（2）投标函及其附录； </w:t>
      </w:r>
    </w:p>
    <w:p w14:paraId="33E7DB97">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（3）专用合同条款及其附件；</w:t>
      </w:r>
    </w:p>
    <w:p w14:paraId="60E006D8">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（4）通用合同条款；</w:t>
      </w:r>
    </w:p>
    <w:p w14:paraId="0D738841">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（5）技术标准和要求；</w:t>
      </w:r>
    </w:p>
    <w:p w14:paraId="243EDBCA">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（6）图纸；</w:t>
      </w:r>
    </w:p>
    <w:p w14:paraId="1A829460">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（7）已标价工程量清单或预算书；</w:t>
      </w:r>
    </w:p>
    <w:p w14:paraId="1E82DF00">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（8）其他合同文件。</w:t>
      </w:r>
    </w:p>
    <w:p w14:paraId="1DB1B85A">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w:t>
      </w:r>
    </w:p>
    <w:p w14:paraId="45FA14C2">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25FB3BEE">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七、承诺</w:t>
      </w:r>
    </w:p>
    <w:p w14:paraId="3236F10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1.发包人承诺按照法律规定履行项目审批手续、筹集工程建设资金并按照合同约定的期限和方式支付合同价款。</w:t>
      </w:r>
    </w:p>
    <w:p w14:paraId="00CA668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2.承包人承诺按照法律规定及合同约定组织完成工程施工，确保工程质量和安全，不进行违法分包，并在缺陷责任期及保修期内承担相应的工程维修责任。</w:t>
      </w:r>
    </w:p>
    <w:p w14:paraId="6FCC049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3.发包人和承包人通过招投标形式签订合同的，双方理解并承诺不再就同一工程另行签订与合同实质性内容相背离的协议。</w:t>
      </w:r>
    </w:p>
    <w:p w14:paraId="00D9BE07">
      <w:pPr>
        <w:snapToGrid w:val="0"/>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八、词语含义</w:t>
      </w:r>
    </w:p>
    <w:p w14:paraId="3C5BBA0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本协议书中词语含义与第二部分通用合同条款中赋予的含义相同。</w:t>
      </w:r>
    </w:p>
    <w:p w14:paraId="25FC942F">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九、签订时间</w:t>
      </w:r>
    </w:p>
    <w:p w14:paraId="65CD94C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日签订。</w:t>
      </w:r>
    </w:p>
    <w:p w14:paraId="1AD0AD7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十、签订地点</w:t>
      </w:r>
    </w:p>
    <w:p w14:paraId="529BAA0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本合同在</w:t>
      </w:r>
      <w:r>
        <w:rPr>
          <w:rFonts w:hint="eastAsia" w:ascii="宋体" w:hAnsi="宋体" w:eastAsia="宋体" w:cs="宋体"/>
          <w:bCs/>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签订。</w:t>
      </w:r>
    </w:p>
    <w:p w14:paraId="38D611A1">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十一、补充协议</w:t>
      </w:r>
    </w:p>
    <w:p w14:paraId="076F0D7B">
      <w:pPr>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合同未尽事宜，合同当事人另行签订补充协议，补充协议是合同的组成部分。</w:t>
      </w:r>
    </w:p>
    <w:p w14:paraId="4A64DFCE">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十二、合同生效</w:t>
      </w:r>
    </w:p>
    <w:p w14:paraId="1AEABD8D">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本合同自</w:t>
      </w:r>
      <w:r>
        <w:rPr>
          <w:rFonts w:hint="eastAsia" w:ascii="宋体" w:hAnsi="宋体" w:eastAsia="宋体" w:cs="宋体"/>
          <w:bCs/>
          <w:color w:val="auto"/>
          <w:sz w:val="24"/>
          <w:highlight w:val="none"/>
          <w:u w:val="single"/>
        </w:rPr>
        <w:t xml:space="preserve"> </w:t>
      </w:r>
      <w:r>
        <w:rPr>
          <w:rFonts w:hint="eastAsia" w:ascii="宋体" w:hAnsi="宋体" w:eastAsia="宋体" w:cs="宋体"/>
          <w:b/>
          <w:bCs/>
          <w:color w:val="auto"/>
          <w:sz w:val="24"/>
          <w:highlight w:val="none"/>
          <w:u w:val="single"/>
        </w:rPr>
        <w:t xml:space="preserve"> 乙方交纳履约保证金，且双方签字盖章后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生效。</w:t>
      </w:r>
    </w:p>
    <w:p w14:paraId="3A768A4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十三、合同份数</w:t>
      </w:r>
    </w:p>
    <w:p w14:paraId="70A3F7F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本合同壹式</w:t>
      </w:r>
      <w:r>
        <w:rPr>
          <w:rFonts w:hint="eastAsia" w:ascii="宋体" w:hAnsi="宋体" w:eastAsia="宋体" w:cs="宋体"/>
          <w:bCs/>
          <w:color w:val="auto"/>
          <w:sz w:val="24"/>
          <w:highlight w:val="none"/>
          <w:u w:val="single"/>
        </w:rPr>
        <w:t xml:space="preserve"> 陆 </w:t>
      </w:r>
      <w:r>
        <w:rPr>
          <w:rFonts w:hint="eastAsia" w:ascii="宋体" w:hAnsi="宋体" w:eastAsia="宋体" w:cs="宋体"/>
          <w:bCs/>
          <w:color w:val="auto"/>
          <w:sz w:val="24"/>
          <w:highlight w:val="none"/>
        </w:rPr>
        <w:t>份，均具有同等法律效力，发包人执</w:t>
      </w:r>
      <w:r>
        <w:rPr>
          <w:rFonts w:hint="eastAsia" w:ascii="宋体" w:hAnsi="宋体" w:eastAsia="宋体" w:cs="宋体"/>
          <w:bCs/>
          <w:color w:val="auto"/>
          <w:sz w:val="24"/>
          <w:highlight w:val="none"/>
          <w:u w:val="single"/>
        </w:rPr>
        <w:t xml:space="preserve"> 叁  </w:t>
      </w:r>
      <w:r>
        <w:rPr>
          <w:rFonts w:hint="eastAsia" w:ascii="宋体" w:hAnsi="宋体" w:eastAsia="宋体" w:cs="宋体"/>
          <w:bCs/>
          <w:color w:val="auto"/>
          <w:sz w:val="24"/>
          <w:highlight w:val="none"/>
        </w:rPr>
        <w:t>份，承包人执</w:t>
      </w:r>
      <w:r>
        <w:rPr>
          <w:rFonts w:hint="eastAsia" w:ascii="宋体" w:hAnsi="宋体" w:eastAsia="宋体" w:cs="宋体"/>
          <w:bCs/>
          <w:color w:val="auto"/>
          <w:sz w:val="24"/>
          <w:highlight w:val="none"/>
          <w:u w:val="single"/>
        </w:rPr>
        <w:t xml:space="preserve"> 叁  </w:t>
      </w:r>
      <w:r>
        <w:rPr>
          <w:rFonts w:hint="eastAsia" w:ascii="宋体" w:hAnsi="宋体" w:eastAsia="宋体" w:cs="宋体"/>
          <w:bCs/>
          <w:color w:val="auto"/>
          <w:sz w:val="24"/>
          <w:highlight w:val="none"/>
        </w:rPr>
        <w:t>份。</w:t>
      </w:r>
    </w:p>
    <w:p w14:paraId="5D6CE30C">
      <w:pPr>
        <w:snapToGrid w:val="0"/>
        <w:spacing w:line="360" w:lineRule="auto"/>
        <w:rPr>
          <w:rFonts w:hint="eastAsia" w:ascii="宋体" w:hAnsi="宋体" w:eastAsia="宋体" w:cs="宋体"/>
          <w:color w:val="auto"/>
          <w:sz w:val="24"/>
          <w:highlight w:val="none"/>
        </w:rPr>
      </w:pPr>
    </w:p>
    <w:p w14:paraId="354F2A3D">
      <w:pPr>
        <w:snapToGrid w:val="0"/>
        <w:spacing w:line="360" w:lineRule="auto"/>
        <w:rPr>
          <w:rFonts w:hint="eastAsia" w:ascii="宋体" w:hAnsi="宋体" w:eastAsia="宋体" w:cs="宋体"/>
          <w:color w:val="auto"/>
          <w:sz w:val="24"/>
          <w:highlight w:val="none"/>
        </w:rPr>
      </w:pPr>
    </w:p>
    <w:p w14:paraId="391428B2">
      <w:pPr>
        <w:snapToGrid w:val="0"/>
        <w:spacing w:line="360" w:lineRule="auto"/>
        <w:rPr>
          <w:rFonts w:hint="eastAsia" w:ascii="宋体" w:hAnsi="宋体" w:eastAsia="宋体" w:cs="宋体"/>
          <w:color w:val="auto"/>
          <w:sz w:val="24"/>
          <w:highlight w:val="none"/>
        </w:rPr>
      </w:pPr>
    </w:p>
    <w:p w14:paraId="556A19E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  (公章)                        承包人：  (公章)</w:t>
      </w:r>
    </w:p>
    <w:p w14:paraId="627028E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              法定代表人或其委托代理人：</w:t>
      </w:r>
    </w:p>
    <w:p w14:paraId="03DD0C8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                               （签字）</w:t>
      </w:r>
    </w:p>
    <w:p w14:paraId="5236EAF0">
      <w:pPr>
        <w:tabs>
          <w:tab w:val="left" w:pos="441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组织机构代码：</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组织机构代码：</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p w14:paraId="1FDFED1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地  址：</w:t>
      </w:r>
      <w:r>
        <w:rPr>
          <w:rFonts w:hint="eastAsia" w:ascii="宋体" w:hAnsi="宋体" w:eastAsia="宋体" w:cs="宋体"/>
          <w:color w:val="auto"/>
          <w:sz w:val="24"/>
          <w:highlight w:val="none"/>
          <w:u w:val="single"/>
        </w:rPr>
        <w:t xml:space="preserve">        </w:t>
      </w:r>
    </w:p>
    <w:p w14:paraId="6C97D83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p>
    <w:p w14:paraId="184E5A5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       </w:t>
      </w:r>
    </w:p>
    <w:p w14:paraId="10EBD96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    </w:t>
      </w:r>
    </w:p>
    <w:p w14:paraId="42FF0CB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    话：</w:t>
      </w:r>
      <w:r>
        <w:rPr>
          <w:rFonts w:hint="eastAsia" w:ascii="宋体" w:hAnsi="宋体" w:eastAsia="宋体" w:cs="宋体"/>
          <w:color w:val="auto"/>
          <w:sz w:val="24"/>
          <w:highlight w:val="none"/>
          <w:u w:val="single"/>
        </w:rPr>
        <w:t xml:space="preserve"> </w:t>
      </w:r>
    </w:p>
    <w:p w14:paraId="4D96D3D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    真：</w:t>
      </w:r>
      <w:r>
        <w:rPr>
          <w:rFonts w:hint="eastAsia" w:ascii="宋体" w:hAnsi="宋体" w:eastAsia="宋体" w:cs="宋体"/>
          <w:color w:val="auto"/>
          <w:sz w:val="24"/>
          <w:highlight w:val="none"/>
          <w:u w:val="single"/>
        </w:rPr>
        <w:t xml:space="preserve">     </w:t>
      </w:r>
    </w:p>
    <w:p w14:paraId="2E48D9E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电子信箱：</w:t>
      </w:r>
      <w:r>
        <w:rPr>
          <w:rFonts w:hint="eastAsia" w:ascii="宋体" w:hAnsi="宋体" w:eastAsia="宋体" w:cs="宋体"/>
          <w:color w:val="auto"/>
          <w:sz w:val="24"/>
          <w:highlight w:val="none"/>
          <w:u w:val="single"/>
        </w:rPr>
        <w:t xml:space="preserve">   </w:t>
      </w:r>
    </w:p>
    <w:p w14:paraId="3BDB8E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开户银行：</w:t>
      </w:r>
      <w:r>
        <w:rPr>
          <w:rFonts w:hint="eastAsia" w:ascii="宋体" w:hAnsi="宋体" w:eastAsia="宋体" w:cs="宋体"/>
          <w:color w:val="auto"/>
          <w:sz w:val="24"/>
          <w:highlight w:val="none"/>
          <w:u w:val="single"/>
        </w:rPr>
        <w:t xml:space="preserve">   </w:t>
      </w:r>
    </w:p>
    <w:p w14:paraId="70FA08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账  号：</w:t>
      </w:r>
      <w:r>
        <w:rPr>
          <w:rFonts w:hint="eastAsia" w:ascii="宋体" w:hAnsi="宋体" w:eastAsia="宋体" w:cs="宋体"/>
          <w:color w:val="auto"/>
          <w:sz w:val="24"/>
          <w:highlight w:val="none"/>
          <w:u w:val="single"/>
        </w:rPr>
        <w:t xml:space="preserve">     </w:t>
      </w:r>
    </w:p>
    <w:p w14:paraId="43203CB1">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6C528D8">
      <w:pPr>
        <w:spacing w:line="480" w:lineRule="auto"/>
        <w:jc w:val="center"/>
        <w:rPr>
          <w:rFonts w:ascii="Times New Roman" w:hAnsi="Times New Roman" w:eastAsia="宋体"/>
          <w:b/>
          <w:snapToGrid/>
          <w:color w:val="auto"/>
          <w:kern w:val="2"/>
          <w:sz w:val="32"/>
          <w:szCs w:val="32"/>
          <w:highlight w:val="none"/>
        </w:rPr>
      </w:pPr>
      <w:r>
        <w:rPr>
          <w:rFonts w:hint="eastAsia" w:ascii="Times New Roman" w:hAnsi="Times New Roman" w:eastAsia="宋体"/>
          <w:b/>
          <w:snapToGrid/>
          <w:color w:val="auto"/>
          <w:kern w:val="2"/>
          <w:sz w:val="32"/>
          <w:szCs w:val="32"/>
          <w:highlight w:val="none"/>
        </w:rPr>
        <w:t>第二部分  通用合同条款</w:t>
      </w:r>
    </w:p>
    <w:p w14:paraId="14BCB871">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p>
    <w:p w14:paraId="26FC95F4">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此部分采用《建设工程施工合同》范本（GF-2017-0201）中《第二部分 通用条款》 </w:t>
      </w:r>
    </w:p>
    <w:p w14:paraId="43116F62">
      <w:pPr>
        <w:spacing w:line="480" w:lineRule="auto"/>
        <w:jc w:val="center"/>
        <w:rPr>
          <w:rFonts w:ascii="Times New Roman" w:hAnsi="Times New Roman" w:eastAsia="宋体"/>
          <w:b/>
          <w:snapToGrid/>
          <w:color w:val="auto"/>
          <w:kern w:val="2"/>
          <w:sz w:val="32"/>
          <w:szCs w:val="32"/>
          <w:highlight w:val="none"/>
        </w:rPr>
      </w:pPr>
      <w:r>
        <w:rPr>
          <w:rFonts w:hint="eastAsia" w:ascii="宋体" w:hAnsi="宋体" w:eastAsia="宋体" w:cs="宋体"/>
          <w:color w:val="auto"/>
          <w:sz w:val="24"/>
          <w:highlight w:val="none"/>
        </w:rPr>
        <w:br w:type="page"/>
      </w:r>
      <w:r>
        <w:rPr>
          <w:rFonts w:hint="eastAsia" w:ascii="Times New Roman" w:hAnsi="Times New Roman" w:eastAsia="宋体"/>
          <w:b/>
          <w:snapToGrid/>
          <w:color w:val="auto"/>
          <w:kern w:val="2"/>
          <w:sz w:val="32"/>
          <w:szCs w:val="32"/>
          <w:highlight w:val="none"/>
        </w:rPr>
        <w:t>第三部分 专用合同条款</w:t>
      </w:r>
    </w:p>
    <w:p w14:paraId="0EEACFDB">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一般约定</w:t>
      </w:r>
    </w:p>
    <w:p w14:paraId="6134C27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词语定义</w:t>
      </w:r>
    </w:p>
    <w:p w14:paraId="401490F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1.1.1合同</w:t>
      </w:r>
    </w:p>
    <w:p w14:paraId="700A2FBD">
      <w:pPr>
        <w:adjustRightInd w:val="0"/>
        <w:snapToGri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1.1.1.10其他合同文件包括：</w:t>
      </w:r>
      <w:r>
        <w:rPr>
          <w:rFonts w:hint="eastAsia" w:ascii="宋体" w:hAnsi="宋体" w:eastAsia="宋体" w:cs="宋体"/>
          <w:b/>
          <w:bCs/>
          <w:color w:val="auto"/>
          <w:sz w:val="24"/>
          <w:highlight w:val="none"/>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51D667F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合同当事人及其他相关方</w:t>
      </w:r>
    </w:p>
    <w:p w14:paraId="295F1D6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1.1.2.4监理人：</w:t>
      </w:r>
    </w:p>
    <w:p w14:paraId="40F825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0AB810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525D41A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5EACB75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2302D21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3E4165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 设计人：</w:t>
      </w:r>
    </w:p>
    <w:p w14:paraId="6DE11BA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6FEF8CB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53F562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07C5412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3560597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4C55193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1.3法律 </w:t>
      </w:r>
    </w:p>
    <w:p w14:paraId="77B493BD">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适用于合同的其他规范性文件：</w:t>
      </w:r>
      <w:r>
        <w:rPr>
          <w:rFonts w:hint="eastAsia" w:ascii="宋体" w:hAnsi="宋体" w:eastAsia="宋体" w:cs="宋体"/>
          <w:b/>
          <w:bCs/>
          <w:color w:val="auto"/>
          <w:spacing w:val="-1"/>
          <w:sz w:val="24"/>
          <w:highlight w:val="none"/>
          <w:u w:val="single" w:color="000000"/>
        </w:rPr>
        <w:t>《中华人民共和国建筑法》、《中华人民共和国民法典》、《建设工程质量管理条例》（国务院第279号令）、《江苏省工程建设管理条例》、《江苏省建筑市场管理条例》。</w:t>
      </w:r>
    </w:p>
    <w:p w14:paraId="6594AE2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标准和规范</w:t>
      </w:r>
    </w:p>
    <w:p w14:paraId="13EAB9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1.4.1适用于工程的标准规范包括：</w:t>
      </w:r>
      <w:r>
        <w:rPr>
          <w:rFonts w:hint="eastAsia" w:ascii="宋体" w:hAnsi="宋体" w:eastAsia="宋体" w:cs="宋体"/>
          <w:b/>
          <w:bCs/>
          <w:color w:val="auto"/>
          <w:spacing w:val="-1"/>
          <w:sz w:val="24"/>
          <w:highlight w:val="none"/>
          <w:u w:val="single" w:color="000000"/>
        </w:rPr>
        <w:t>国家、地方、行业现行的建设工程规范和标准；国 家、地方、行业现行的有关材料、设备的规范和标准；现行的江苏省工程预算定额及相关规定。</w:t>
      </w:r>
    </w:p>
    <w:p w14:paraId="2ECFFD5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1.4.2发包人对工程的技术标准和功能要求的特殊要求：</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按设计要求执行 </w:t>
      </w:r>
      <w:r>
        <w:rPr>
          <w:rFonts w:hint="eastAsia" w:ascii="宋体" w:hAnsi="宋体" w:eastAsia="宋体" w:cs="宋体"/>
          <w:color w:val="auto"/>
          <w:sz w:val="24"/>
          <w:highlight w:val="none"/>
        </w:rPr>
        <w:t>。</w:t>
      </w:r>
    </w:p>
    <w:p w14:paraId="7C360F2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 合同文件的优先顺序</w:t>
      </w:r>
    </w:p>
    <w:p w14:paraId="40F109C3">
      <w:pPr>
        <w:pStyle w:val="10"/>
        <w:snapToGrid w:val="0"/>
        <w:spacing w:before="0" w:after="0" w:line="360" w:lineRule="auto"/>
        <w:ind w:right="32" w:firstLine="480"/>
        <w:rPr>
          <w:rFonts w:hint="eastAsia" w:ascii="宋体" w:hAnsi="宋体" w:cs="宋体"/>
          <w:b/>
          <w:color w:val="auto"/>
          <w:highlight w:val="none"/>
        </w:rPr>
      </w:pPr>
      <w:r>
        <w:rPr>
          <w:rFonts w:hint="eastAsia" w:ascii="宋体" w:hAnsi="宋体" w:cs="宋体"/>
          <w:color w:val="auto"/>
          <w:highlight w:val="none"/>
        </w:rPr>
        <w:t>合同文件组成及优先顺序为：</w:t>
      </w:r>
      <w:r>
        <w:rPr>
          <w:rFonts w:hint="eastAsia" w:ascii="宋体" w:hAnsi="宋体" w:cs="宋体"/>
          <w:b/>
          <w:bCs/>
          <w:color w:val="auto"/>
          <w:spacing w:val="-1"/>
          <w:kern w:val="0"/>
          <w:highlight w:val="none"/>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color w:val="auto"/>
          <w:kern w:val="0"/>
          <w:highlight w:val="none"/>
          <w:u w:val="single"/>
        </w:rPr>
        <w:t>磋商响应文件</w:t>
      </w:r>
      <w:r>
        <w:rPr>
          <w:rFonts w:hint="eastAsia" w:ascii="宋体" w:hAnsi="宋体" w:cs="宋体"/>
          <w:b/>
          <w:bCs/>
          <w:color w:val="auto"/>
          <w:spacing w:val="-1"/>
          <w:kern w:val="0"/>
          <w:highlight w:val="none"/>
          <w:u w:val="single" w:color="000000"/>
        </w:rPr>
        <w:t>；（11）其他合同文件。</w:t>
      </w:r>
    </w:p>
    <w:p w14:paraId="7A10649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 图纸和承包人文件</w:t>
      </w:r>
      <w:r>
        <w:rPr>
          <w:rFonts w:hint="eastAsia" w:ascii="宋体" w:hAnsi="宋体" w:eastAsia="宋体" w:cs="宋体"/>
          <w:color w:val="auto"/>
          <w:sz w:val="24"/>
          <w:highlight w:val="none"/>
        </w:rPr>
        <w:tab/>
      </w:r>
    </w:p>
    <w:p w14:paraId="61EEE9A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图纸的提供</w:t>
      </w:r>
    </w:p>
    <w:p w14:paraId="2585FFD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发包人向承包人提供图纸的期限： </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开工前3天</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0B484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发包人向承包人提供图纸的数量：</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2套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8506D0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发包人向承包人提供图纸的内容：</w:t>
      </w:r>
      <w:r>
        <w:rPr>
          <w:rFonts w:hint="eastAsia" w:ascii="宋体" w:hAnsi="宋体" w:eastAsia="宋体" w:cs="宋体"/>
          <w:b/>
          <w:color w:val="auto"/>
          <w:sz w:val="24"/>
          <w:highlight w:val="none"/>
          <w:u w:val="single"/>
        </w:rPr>
        <w:t>本合同发包内容中的全部图纸</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0727D6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承包人文件</w:t>
      </w:r>
    </w:p>
    <w:p w14:paraId="5341C18B">
      <w:pPr>
        <w:widowControl/>
        <w:snapToGrid w:val="0"/>
        <w:spacing w:line="360" w:lineRule="auto"/>
        <w:ind w:firstLine="480" w:firstLineChars="200"/>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需要由承包人提供的文件，包括</w:t>
      </w:r>
      <w:r>
        <w:rPr>
          <w:rFonts w:hint="eastAsia" w:ascii="宋体" w:hAnsi="宋体" w:eastAsia="宋体" w:cs="宋体"/>
          <w:b/>
          <w:color w:val="auto"/>
          <w:sz w:val="24"/>
          <w:highlight w:val="none"/>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1CAAC545">
      <w:pPr>
        <w:widowControl/>
        <w:snapToGrid w:val="0"/>
        <w:spacing w:line="360" w:lineRule="auto"/>
        <w:ind w:firstLine="482" w:firstLineChars="20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承包人编制的进度计划中应明确各分部完成的具体时间，关键线路，劳动力动态变 </w:t>
      </w:r>
    </w:p>
    <w:p w14:paraId="5E5E9E63">
      <w:pPr>
        <w:widowControl/>
        <w:snapToGrid w:val="0"/>
        <w:spacing w:line="360"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化图等。 </w:t>
      </w:r>
    </w:p>
    <w:p w14:paraId="6EEF3040">
      <w:pPr>
        <w:widowControl/>
        <w:snapToGrid w:val="0"/>
        <w:spacing w:line="360" w:lineRule="auto"/>
        <w:ind w:firstLine="482" w:firstLineChars="20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实际进度滞后计划进度时，承包人在接到监理通知单后，必须落实纠偏调整措施并 </w:t>
      </w:r>
    </w:p>
    <w:p w14:paraId="691B03DB">
      <w:pPr>
        <w:widowControl/>
        <w:snapToGrid w:val="0"/>
        <w:spacing w:line="360"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认真实施，否则向发包人支付违约金 2000元/次。 </w:t>
      </w:r>
    </w:p>
    <w:p w14:paraId="4C6FC518">
      <w:pPr>
        <w:widowControl/>
        <w:snapToGrid w:val="0"/>
        <w:spacing w:line="360" w:lineRule="auto"/>
        <w:ind w:firstLine="482" w:firstLineChars="20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实际进度严重滞后进度计划明显不满足工期要求时，则视情节严重扣除工期保证金 </w:t>
      </w:r>
    </w:p>
    <w:p w14:paraId="76E91011">
      <w:pPr>
        <w:widowControl/>
        <w:snapToGrid w:val="0"/>
        <w:spacing w:line="360"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直至全部扣完。</w:t>
      </w:r>
    </w:p>
    <w:p w14:paraId="661A6106">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承包人提供的文件的数量为：</w:t>
      </w:r>
      <w:r>
        <w:rPr>
          <w:rFonts w:hint="eastAsia" w:ascii="宋体" w:hAnsi="宋体" w:eastAsia="宋体" w:cs="宋体"/>
          <w:color w:val="auto"/>
          <w:sz w:val="24"/>
          <w:highlight w:val="none"/>
          <w:u w:val="single"/>
        </w:rPr>
        <w:t></w:t>
      </w:r>
      <w:r>
        <w:rPr>
          <w:rFonts w:hint="eastAsia" w:ascii="宋体" w:hAnsi="宋体" w:eastAsia="宋体" w:cs="宋体"/>
          <w:b/>
          <w:bCs/>
          <w:color w:val="auto"/>
          <w:spacing w:val="-1"/>
          <w:sz w:val="24"/>
          <w:highlight w:val="none"/>
          <w:u w:val="single" w:color="000000"/>
        </w:rPr>
        <w:t>施工组织设计、总进度计划叁套</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w:t>
      </w:r>
    </w:p>
    <w:p w14:paraId="1D08FEF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承包人提供的文件的形式为：</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书面形式</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D2A371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发包人审批承包人文件的期限：</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收到文件后7天内</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791A7F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现场图纸准备</w:t>
      </w:r>
    </w:p>
    <w:p w14:paraId="09E53A0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关于现场图纸准备的约定：</w:t>
      </w:r>
      <w:r>
        <w:rPr>
          <w:rFonts w:hint="eastAsia" w:ascii="宋体" w:hAnsi="宋体" w:eastAsia="宋体" w:cs="宋体"/>
          <w:b/>
          <w:color w:val="auto"/>
          <w:sz w:val="24"/>
          <w:highlight w:val="none"/>
          <w:u w:val="single"/>
        </w:rPr>
        <w:t xml:space="preserve">施工现场保留一套完整图纸供发包人、监理人及有关人员使用 </w:t>
      </w:r>
      <w:r>
        <w:rPr>
          <w:rFonts w:hint="eastAsia" w:ascii="宋体" w:hAnsi="宋体" w:eastAsia="宋体" w:cs="宋体"/>
          <w:color w:val="auto"/>
          <w:sz w:val="24"/>
          <w:highlight w:val="none"/>
        </w:rPr>
        <w:t>。</w:t>
      </w:r>
    </w:p>
    <w:p w14:paraId="39F0A23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 联络</w:t>
      </w:r>
    </w:p>
    <w:p w14:paraId="5F8D141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1.7.1发包人和承包人应当在</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天内将与合同有关的通知、批准、证明、证书、指示、指令、要求、请求、同意、意见、确定和决定等书面函件送达对方当事人。</w:t>
      </w:r>
    </w:p>
    <w:p w14:paraId="4248A1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发包人接收文件的地点：</w:t>
      </w:r>
      <w:r>
        <w:rPr>
          <w:rFonts w:hint="eastAsia" w:ascii="宋体" w:hAnsi="宋体" w:eastAsia="宋体" w:cs="宋体"/>
          <w:color w:val="auto"/>
          <w:sz w:val="24"/>
          <w:highlight w:val="none"/>
          <w:u w:val="single"/>
        </w:rPr>
        <w:t>工地现场 </w:t>
      </w:r>
      <w:r>
        <w:rPr>
          <w:rFonts w:hint="eastAsia" w:ascii="宋体" w:hAnsi="宋体" w:eastAsia="宋体" w:cs="宋体"/>
          <w:color w:val="auto"/>
          <w:sz w:val="24"/>
          <w:highlight w:val="none"/>
        </w:rPr>
        <w:t>；</w:t>
      </w:r>
    </w:p>
    <w:p w14:paraId="7779E1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发包人指定的接收人为：</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19C0B6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承包人接收文件的地点：</w:t>
      </w:r>
      <w:r>
        <w:rPr>
          <w:rFonts w:hint="eastAsia" w:ascii="宋体" w:hAnsi="宋体" w:eastAsia="宋体" w:cs="宋体"/>
          <w:color w:val="auto"/>
          <w:sz w:val="24"/>
          <w:highlight w:val="none"/>
          <w:u w:val="single"/>
        </w:rPr>
        <w:t xml:space="preserve"> 工地现场        </w:t>
      </w:r>
      <w:r>
        <w:rPr>
          <w:rFonts w:hint="eastAsia" w:ascii="宋体" w:hAnsi="宋体" w:eastAsia="宋体" w:cs="宋体"/>
          <w:color w:val="auto"/>
          <w:sz w:val="24"/>
          <w:highlight w:val="none"/>
        </w:rPr>
        <w:t>；</w:t>
      </w:r>
    </w:p>
    <w:p w14:paraId="111B5C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承包人指定的接收人为：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61C347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监理人接收文件的地点：</w:t>
      </w:r>
      <w:r>
        <w:rPr>
          <w:rFonts w:hint="eastAsia" w:ascii="宋体" w:hAnsi="宋体" w:eastAsia="宋体" w:cs="宋体"/>
          <w:color w:val="auto"/>
          <w:sz w:val="24"/>
          <w:highlight w:val="none"/>
          <w:u w:val="single"/>
        </w:rPr>
        <w:t>工地现场   </w:t>
      </w:r>
      <w:r>
        <w:rPr>
          <w:rFonts w:hint="eastAsia" w:ascii="宋体" w:hAnsi="宋体" w:eastAsia="宋体" w:cs="宋体"/>
          <w:color w:val="auto"/>
          <w:sz w:val="24"/>
          <w:highlight w:val="none"/>
        </w:rPr>
        <w:t>；</w:t>
      </w:r>
    </w:p>
    <w:p w14:paraId="1BA2EF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监理人指定的接收人为：</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54DA422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 交通运输</w:t>
      </w:r>
    </w:p>
    <w:p w14:paraId="5428350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1.10.3 场内交通  </w:t>
      </w:r>
    </w:p>
    <w:p w14:paraId="2586E7C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关于场外交通和场内交通的边界的约定：</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lang w:bidi="ar"/>
        </w:rPr>
        <w:t>以建筑红线和发包人要求的为准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3763A12">
      <w:pPr>
        <w:snapToGrid w:val="0"/>
        <w:spacing w:line="360" w:lineRule="auto"/>
        <w:ind w:firstLine="480" w:firstLineChars="200"/>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关于发包人向承包人免费提供满足工程施工需要的场内道路和交通设施的约定：</w:t>
      </w:r>
      <w:r>
        <w:rPr>
          <w:rFonts w:hint="eastAsia" w:ascii="宋体" w:hAnsi="宋体" w:eastAsia="宋体" w:cs="宋体"/>
          <w:b/>
          <w:color w:val="auto"/>
          <w:sz w:val="24"/>
          <w:highlight w:val="none"/>
          <w:u w:val="single"/>
        </w:rPr>
        <w:t xml:space="preserve">已具备施工条件。  </w:t>
      </w:r>
    </w:p>
    <w:p w14:paraId="299EA5A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1.10.4超大件和超重件的运输</w:t>
      </w:r>
    </w:p>
    <w:p w14:paraId="4645945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运输超大件或超重件所需的道路和桥梁临时加固改造费用和其他有关费用由</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p>
    <w:p w14:paraId="7659A3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知识产权</w:t>
      </w:r>
    </w:p>
    <w:p w14:paraId="67DF7F2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auto"/>
          <w:sz w:val="24"/>
          <w:highlight w:val="none"/>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color w:val="auto"/>
          <w:sz w:val="24"/>
          <w:highlight w:val="none"/>
        </w:rPr>
        <w:t>。</w:t>
      </w:r>
    </w:p>
    <w:p w14:paraId="041E3DC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关于发包人提供的上述文件的使用限制的要求：</w:t>
      </w:r>
      <w:r>
        <w:rPr>
          <w:rFonts w:hint="eastAsia" w:ascii="宋体" w:hAnsi="宋体" w:eastAsia="宋体" w:cs="宋体"/>
          <w:b/>
          <w:color w:val="auto"/>
          <w:sz w:val="24"/>
          <w:highlight w:val="none"/>
          <w:u w:val="single"/>
        </w:rPr>
        <w:t>按通用条款执行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7340A9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 关于承包人为实施工程所编制文件的著作权的归属：</w:t>
      </w:r>
      <w:r>
        <w:rPr>
          <w:rFonts w:hint="eastAsia" w:ascii="宋体" w:hAnsi="宋体" w:eastAsia="宋体" w:cs="宋体"/>
          <w:b/>
          <w:color w:val="auto"/>
          <w:sz w:val="24"/>
          <w:highlight w:val="none"/>
          <w:u w:val="single"/>
        </w:rPr>
        <w:t>按通用条款执行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2878897">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关于承包人提供的上述文件的使用限制的要求：</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按通用条款执行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FF01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1.11.4 承包人在施工过程中所采用的专利、专有技术、技术秘密的使用费的承担方式：</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已包含在本合同价内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0FB21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1.13工程量清单错误的修正</w:t>
      </w:r>
    </w:p>
    <w:p w14:paraId="3D34FF10">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出现工程量清单错误时，是否调整合同价格：</w:t>
      </w:r>
      <w:r>
        <w:rPr>
          <w:rFonts w:hint="eastAsia" w:ascii="宋体" w:hAnsi="宋体" w:eastAsia="宋体" w:cs="宋体"/>
          <w:color w:val="auto"/>
          <w:sz w:val="24"/>
          <w:highlight w:val="none"/>
          <w:u w:val="single"/>
        </w:rPr>
        <w:t xml:space="preserve">  是   </w:t>
      </w:r>
      <w:r>
        <w:rPr>
          <w:rFonts w:hint="eastAsia" w:ascii="宋体" w:hAnsi="宋体" w:eastAsia="宋体" w:cs="宋体"/>
          <w:color w:val="auto"/>
          <w:sz w:val="24"/>
          <w:highlight w:val="none"/>
        </w:rPr>
        <w:t>。</w:t>
      </w:r>
    </w:p>
    <w:p w14:paraId="3529CD60">
      <w:pPr>
        <w:snapToGrid w:val="0"/>
        <w:spacing w:line="360" w:lineRule="auto"/>
        <w:ind w:firstLine="360" w:firstLineChars="15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允许调整合同价格的工程量偏差范围：</w:t>
      </w:r>
      <w:r>
        <w:rPr>
          <w:rFonts w:hint="eastAsia" w:ascii="宋体" w:hAnsi="宋体" w:eastAsia="宋体" w:cs="宋体"/>
          <w:color w:val="auto"/>
          <w:sz w:val="24"/>
          <w:highlight w:val="none"/>
          <w:u w:val="single"/>
        </w:rPr>
        <w:t xml:space="preserve"> 按本合同条款中第12.1款 </w:t>
      </w:r>
      <w:r>
        <w:rPr>
          <w:rFonts w:hint="eastAsia" w:ascii="宋体" w:hAnsi="宋体" w:eastAsia="宋体" w:cs="宋体"/>
          <w:color w:val="auto"/>
          <w:sz w:val="24"/>
          <w:highlight w:val="none"/>
        </w:rPr>
        <w:t>。</w:t>
      </w:r>
    </w:p>
    <w:p w14:paraId="1FB8A28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发包人</w:t>
      </w:r>
    </w:p>
    <w:p w14:paraId="0940204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发包人代表</w:t>
      </w:r>
    </w:p>
    <w:p w14:paraId="7C22708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发包人代表：</w:t>
      </w:r>
    </w:p>
    <w:p w14:paraId="50448C4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70C5EBA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73EDAB5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7FD44FB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0F0361E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0FD05C0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w:t>
      </w:r>
    </w:p>
    <w:p w14:paraId="4766277E">
      <w:pPr>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发包人对发包人代表的授权范围如下：</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rPr>
        <w:t xml:space="preserve">代表发包人行使本合同约定的发包人的权力和监理人需要取得发包人批准的权力 </w:t>
      </w:r>
      <w:r>
        <w:rPr>
          <w:rFonts w:hint="eastAsia" w:ascii="宋体" w:hAnsi="宋体" w:eastAsia="宋体" w:cs="宋体"/>
          <w:b/>
          <w:bCs/>
          <w:color w:val="auto"/>
          <w:sz w:val="24"/>
          <w:highlight w:val="none"/>
        </w:rPr>
        <w:t>。</w:t>
      </w:r>
    </w:p>
    <w:p w14:paraId="3505EF2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施工现场、施工条件和基础资料的提供</w:t>
      </w:r>
    </w:p>
    <w:p w14:paraId="3FB497F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提供施工现场</w:t>
      </w:r>
    </w:p>
    <w:p w14:paraId="0E36AEA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关于发包人移交施工现场的期限要求：</w:t>
      </w:r>
      <w:r>
        <w:rPr>
          <w:rFonts w:hint="eastAsia" w:ascii="宋体" w:hAnsi="宋体" w:eastAsia="宋体" w:cs="宋体"/>
          <w:color w:val="auto"/>
          <w:sz w:val="24"/>
          <w:highlight w:val="none"/>
          <w:u w:val="single"/>
        </w:rPr>
        <w:t></w:t>
      </w:r>
      <w:r>
        <w:rPr>
          <w:rFonts w:hint="eastAsia" w:ascii="宋体" w:hAnsi="宋体" w:eastAsia="宋体" w:cs="宋体"/>
          <w:b/>
          <w:color w:val="auto"/>
          <w:sz w:val="24"/>
          <w:highlight w:val="none"/>
          <w:u w:val="single"/>
        </w:rPr>
        <w:t xml:space="preserve">以施工现场的现状为准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D81BC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提供施工条件</w:t>
      </w:r>
    </w:p>
    <w:p w14:paraId="17AEA7F1">
      <w:pPr>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关于发包人应负责提供施工所需要的条件，包括：</w:t>
      </w:r>
      <w:r>
        <w:rPr>
          <w:rFonts w:hint="eastAsia" w:ascii="宋体" w:hAnsi="宋体" w:eastAsia="宋体" w:cs="宋体"/>
          <w:b/>
          <w:color w:val="auto"/>
          <w:sz w:val="24"/>
          <w:highlight w:val="none"/>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color w:val="auto"/>
          <w:sz w:val="24"/>
          <w:highlight w:val="none"/>
        </w:rPr>
        <w:t>。</w:t>
      </w:r>
    </w:p>
    <w:p w14:paraId="226D8BB0">
      <w:pPr>
        <w:snapToGrid w:val="0"/>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2.5 资金来源证明及支付担保</w:t>
      </w:r>
    </w:p>
    <w:p w14:paraId="5F94AF2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发包人提供资金来源证明的期限要求：</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66118C8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发包人是否提供支付担保：</w:t>
      </w:r>
      <w:r>
        <w:rPr>
          <w:rFonts w:hint="eastAsia" w:ascii="宋体" w:hAnsi="宋体" w:eastAsia="宋体" w:cs="宋体"/>
          <w:color w:val="auto"/>
          <w:sz w:val="24"/>
          <w:highlight w:val="none"/>
          <w:u w:val="single"/>
        </w:rPr>
        <w:t>不提供</w:t>
      </w:r>
      <w:r>
        <w:rPr>
          <w:rFonts w:hint="eastAsia" w:ascii="宋体" w:hAnsi="宋体" w:eastAsia="宋体" w:cs="宋体"/>
          <w:color w:val="auto"/>
          <w:sz w:val="24"/>
          <w:highlight w:val="none"/>
        </w:rPr>
        <w:t>。</w:t>
      </w:r>
    </w:p>
    <w:p w14:paraId="4A489A1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发包人提供支付担保的形式：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E4D358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承包人</w:t>
      </w:r>
    </w:p>
    <w:p w14:paraId="530B8AE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承包人的一般义务</w:t>
      </w:r>
    </w:p>
    <w:p w14:paraId="7CDDB535">
      <w:pPr>
        <w:widowControl/>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（5）承包人提交的竣工资料的内容：</w:t>
      </w:r>
      <w:r>
        <w:rPr>
          <w:rFonts w:hint="eastAsia" w:ascii="宋体" w:hAnsi="宋体" w:eastAsia="宋体" w:cs="宋体"/>
          <w:b/>
          <w:bCs/>
          <w:color w:val="auto"/>
          <w:sz w:val="24"/>
          <w:highlight w:val="none"/>
          <w:u w:val="single"/>
          <w:lang w:bidi="ar"/>
        </w:rPr>
        <w:t xml:space="preserve">承包人提供监理工程师审查通过的完整的竣工 </w:t>
      </w:r>
    </w:p>
    <w:p w14:paraId="607DAFE8">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50D248A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承包人需要提交的竣工资料套数：</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eastAsia="zh-TW"/>
        </w:rPr>
        <w:t>四套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39DB5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承包人提交的竣工资料的费用承担：</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eastAsia="zh-TW"/>
        </w:rPr>
        <w:t>由承包人承担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C9FE2E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承包人提交的竣工资料移交时间：</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工程竣工验收合格之日算起30天内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CCFC8E0">
      <w:pPr>
        <w:snapToGrid w:val="0"/>
        <w:spacing w:line="360" w:lineRule="auto"/>
        <w:ind w:firstLine="480" w:firstLineChars="200"/>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承包人提交的竣工资料形式要求：</w:t>
      </w:r>
      <w:r>
        <w:rPr>
          <w:rFonts w:hint="eastAsia" w:ascii="宋体" w:hAnsi="宋体" w:eastAsia="宋体" w:cs="宋体"/>
          <w:b/>
          <w:bCs/>
          <w:color w:val="auto"/>
          <w:sz w:val="24"/>
          <w:highlight w:val="none"/>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color w:val="auto"/>
          <w:sz w:val="24"/>
          <w:highlight w:val="none"/>
          <w:u w:val="single"/>
        </w:rPr>
        <w:t>城建档案</w:t>
      </w:r>
      <w:r>
        <w:rPr>
          <w:rFonts w:hint="eastAsia" w:ascii="宋体" w:hAnsi="宋体" w:eastAsia="宋体" w:cs="宋体"/>
          <w:b/>
          <w:bCs/>
          <w:color w:val="auto"/>
          <w:sz w:val="24"/>
          <w:highlight w:val="none"/>
          <w:u w:val="single"/>
          <w:lang w:eastAsia="zh-TW"/>
        </w:rPr>
        <w:t>部门验收合格。</w:t>
      </w:r>
    </w:p>
    <w:p w14:paraId="6A5A0C05">
      <w:pPr>
        <w:snapToGrid w:val="0"/>
        <w:spacing w:line="360" w:lineRule="auto"/>
        <w:ind w:firstLine="480" w:firstLineChars="200"/>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rPr>
        <w:t>（6）承包人应履行的其他义务：</w:t>
      </w:r>
    </w:p>
    <w:p w14:paraId="1B8C0312">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color w:val="auto"/>
          <w:sz w:val="24"/>
          <w:highlight w:val="none"/>
          <w:u w:val="single"/>
          <w:lang w:eastAsia="zh-TW"/>
        </w:rPr>
        <w:t>所需费用均包含在合同价中。</w:t>
      </w:r>
    </w:p>
    <w:p w14:paraId="655E888D">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②承包人办理交通、环卫、环保、安全监督</w:t>
      </w:r>
      <w:r>
        <w:rPr>
          <w:rFonts w:hint="eastAsia" w:ascii="宋体" w:hAnsi="宋体" w:eastAsia="宋体" w:cs="宋体"/>
          <w:color w:val="auto"/>
          <w:sz w:val="24"/>
          <w:highlight w:val="none"/>
          <w:u w:val="single"/>
          <w:lang w:eastAsia="zh-TW"/>
        </w:rPr>
        <w:t>和施工噪音管理</w:t>
      </w:r>
      <w:r>
        <w:rPr>
          <w:rFonts w:hint="eastAsia" w:ascii="宋体" w:hAnsi="宋体" w:eastAsia="宋体" w:cs="宋体"/>
          <w:color w:val="auto"/>
          <w:sz w:val="24"/>
          <w:highlight w:val="none"/>
          <w:u w:val="single"/>
        </w:rPr>
        <w:t>等有关手续，</w:t>
      </w:r>
      <w:r>
        <w:rPr>
          <w:rFonts w:hint="eastAsia" w:ascii="宋体" w:hAnsi="宋体" w:eastAsia="宋体" w:cs="宋体"/>
          <w:color w:val="auto"/>
          <w:sz w:val="24"/>
          <w:highlight w:val="none"/>
          <w:u w:val="single"/>
          <w:lang w:eastAsia="zh-TW"/>
        </w:rPr>
        <w:t>遵守政府有关主管部门对施工场地交通、施工噪音、环境保护和安全生产等的管理规定，按规定办理有关手续，并以书面形式通知发包人。所需费用均包含在合同价中。</w:t>
      </w:r>
    </w:p>
    <w:p w14:paraId="76A98035">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③承包人有义务根据发包人提供的图纸及有关文件提出合理化建议，以及对于设计中存在的问题在施工之前提出；承包人须无条件接受发包人发出的设计变更，并按设计变更进行施工。</w:t>
      </w:r>
    </w:p>
    <w:p w14:paraId="5FA85C2D">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④</w:t>
      </w:r>
      <w:r>
        <w:rPr>
          <w:rFonts w:hint="eastAsia" w:ascii="宋体" w:hAnsi="宋体" w:eastAsia="宋体" w:cs="宋体"/>
          <w:color w:val="auto"/>
          <w:sz w:val="24"/>
          <w:highlight w:val="none"/>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color w:val="auto"/>
          <w:sz w:val="24"/>
          <w:highlight w:val="none"/>
          <w:u w:val="single"/>
        </w:rPr>
        <w:t>磋商响应</w:t>
      </w:r>
      <w:r>
        <w:rPr>
          <w:rFonts w:hint="eastAsia" w:ascii="宋体" w:hAnsi="宋体" w:eastAsia="宋体" w:cs="宋体"/>
          <w:color w:val="auto"/>
          <w:sz w:val="24"/>
          <w:highlight w:val="none"/>
          <w:u w:val="single"/>
          <w:lang w:eastAsia="zh-TW"/>
        </w:rPr>
        <w:t>时根据现场实际情况自行考虑，结算时不再调整</w:t>
      </w:r>
      <w:r>
        <w:rPr>
          <w:rFonts w:hint="eastAsia" w:ascii="宋体" w:hAnsi="宋体" w:eastAsia="宋体" w:cs="宋体"/>
          <w:color w:val="auto"/>
          <w:sz w:val="24"/>
          <w:highlight w:val="none"/>
          <w:u w:val="single"/>
        </w:rPr>
        <w:t>。</w:t>
      </w:r>
    </w:p>
    <w:p w14:paraId="58E50BFA">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660969A8">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⑥</w:t>
      </w:r>
      <w:r>
        <w:rPr>
          <w:rFonts w:hint="eastAsia" w:ascii="宋体" w:hAnsi="宋体" w:eastAsia="宋体" w:cs="宋体"/>
          <w:color w:val="auto"/>
          <w:sz w:val="24"/>
          <w:highlight w:val="none"/>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color w:val="auto"/>
          <w:sz w:val="24"/>
          <w:highlight w:val="none"/>
          <w:u w:val="single"/>
        </w:rPr>
        <w:t>人</w:t>
      </w:r>
      <w:r>
        <w:rPr>
          <w:rFonts w:hint="eastAsia" w:ascii="宋体" w:hAnsi="宋体" w:eastAsia="宋体" w:cs="宋体"/>
          <w:color w:val="auto"/>
          <w:sz w:val="24"/>
          <w:highlight w:val="none"/>
          <w:u w:val="single"/>
          <w:lang w:eastAsia="zh-TW"/>
        </w:rPr>
        <w:t>20%的履约保证金。若承包人现场施工作业面、办公区、生活区内清洁卫生满足不了文明施工要求，发包人有权安排其它单位或个人打扫，</w:t>
      </w:r>
      <w:r>
        <w:rPr>
          <w:rFonts w:hint="eastAsia" w:ascii="宋体" w:hAnsi="宋体" w:eastAsia="宋体" w:cs="宋体"/>
          <w:color w:val="auto"/>
          <w:sz w:val="24"/>
          <w:highlight w:val="none"/>
          <w:u w:val="single"/>
        </w:rPr>
        <w:t>按具体发生的费用2倍及以上从进度款中扣除</w:t>
      </w:r>
      <w:r>
        <w:rPr>
          <w:rFonts w:hint="eastAsia" w:ascii="宋体" w:hAnsi="宋体" w:eastAsia="宋体" w:cs="宋体"/>
          <w:color w:val="auto"/>
          <w:sz w:val="24"/>
          <w:highlight w:val="none"/>
          <w:u w:val="single"/>
          <w:lang w:eastAsia="zh-TW"/>
        </w:rPr>
        <w:t>。</w:t>
      </w:r>
    </w:p>
    <w:p w14:paraId="12274B32">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087C65A1">
      <w:pPr>
        <w:snapToGrid w:val="0"/>
        <w:spacing w:line="360" w:lineRule="auto"/>
        <w:ind w:firstLine="480" w:firstLineChars="200"/>
        <w:rPr>
          <w:rFonts w:hint="eastAsia" w:ascii="宋体" w:hAnsi="宋体" w:eastAsia="宋体" w:cs="宋体"/>
          <w:color w:val="auto"/>
          <w:sz w:val="24"/>
          <w:highlight w:val="none"/>
          <w:u w:val="single"/>
          <w:lang w:eastAsia="zh-TW"/>
        </w:rPr>
      </w:pPr>
      <w:r>
        <w:rPr>
          <w:rFonts w:hint="eastAsia" w:ascii="宋体" w:hAnsi="宋体" w:eastAsia="宋体" w:cs="宋体"/>
          <w:color w:val="auto"/>
          <w:sz w:val="24"/>
          <w:highlight w:val="none"/>
          <w:u w:val="single"/>
        </w:rPr>
        <w:t>⑧</w:t>
      </w:r>
      <w:r>
        <w:rPr>
          <w:rFonts w:hint="eastAsia" w:ascii="宋体" w:hAnsi="宋体" w:eastAsia="宋体" w:cs="宋体"/>
          <w:color w:val="auto"/>
          <w:sz w:val="24"/>
          <w:highlight w:val="none"/>
          <w:u w:val="single"/>
          <w:lang w:eastAsia="zh-TW"/>
        </w:rPr>
        <w:t>作为一个有经验的施工承包商，</w:t>
      </w:r>
      <w:r>
        <w:rPr>
          <w:rFonts w:hint="eastAsia"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lang w:eastAsia="zh-TW"/>
        </w:rPr>
        <w:t>应结合现场及自身实际情况，编制切实可行的施工组织方案（含临时安全措施搭建方案），开工前在</w:t>
      </w:r>
      <w:r>
        <w:rPr>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u w:val="single"/>
          <w:lang w:eastAsia="zh-TW"/>
        </w:rPr>
        <w:t>认可后方可实施。</w:t>
      </w:r>
      <w:r>
        <w:rPr>
          <w:rFonts w:hint="eastAsia"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u w:val="single"/>
          <w:lang w:eastAsia="zh-TW"/>
        </w:rPr>
        <w:t>不另行支付任何费用。</w:t>
      </w:r>
    </w:p>
    <w:p w14:paraId="27538843">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4A9F43B6">
      <w:pPr>
        <w:snapToGrid w:val="0"/>
        <w:spacing w:line="360" w:lineRule="auto"/>
        <w:ind w:firstLine="480" w:firstLineChars="200"/>
        <w:rPr>
          <w:rFonts w:hint="eastAsia" w:ascii="宋体" w:hAnsi="宋体" w:eastAsia="宋体" w:cs="宋体"/>
          <w:color w:val="auto"/>
          <w:sz w:val="24"/>
          <w:highlight w:val="none"/>
          <w:u w:val="single"/>
          <w:lang w:eastAsia="zh-TW"/>
        </w:rPr>
      </w:pPr>
      <w:r>
        <w:rPr>
          <w:rFonts w:hint="eastAsia" w:ascii="宋体" w:hAnsi="宋体" w:eastAsia="宋体" w:cs="宋体"/>
          <w:color w:val="auto"/>
          <w:sz w:val="24"/>
          <w:highlight w:val="none"/>
          <w:u w:val="single"/>
        </w:rPr>
        <w:t>⑫</w:t>
      </w:r>
      <w:r>
        <w:rPr>
          <w:rFonts w:hint="eastAsia" w:ascii="宋体" w:hAnsi="宋体" w:eastAsia="宋体" w:cs="宋体"/>
          <w:color w:val="auto"/>
          <w:sz w:val="24"/>
          <w:highlight w:val="none"/>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color w:val="auto"/>
          <w:sz w:val="24"/>
          <w:highlight w:val="none"/>
          <w:u w:val="single"/>
        </w:rPr>
        <w:t>磋商响应</w:t>
      </w:r>
      <w:r>
        <w:rPr>
          <w:rFonts w:hint="eastAsia" w:ascii="宋体" w:hAnsi="宋体" w:eastAsia="宋体" w:cs="宋体"/>
          <w:color w:val="auto"/>
          <w:sz w:val="24"/>
          <w:highlight w:val="none"/>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5AF580F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⑬</w:t>
      </w:r>
      <w:r>
        <w:rPr>
          <w:rFonts w:hint="eastAsia" w:ascii="宋体" w:hAnsi="宋体" w:eastAsia="宋体" w:cs="宋体"/>
          <w:color w:val="auto"/>
          <w:sz w:val="24"/>
          <w:highlight w:val="none"/>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1762955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3C084196">
      <w:pPr>
        <w:snapToGrid w:val="0"/>
        <w:spacing w:line="360" w:lineRule="auto"/>
        <w:ind w:firstLine="480" w:firstLineChars="200"/>
        <w:jc w:val="left"/>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u w:val="single"/>
        </w:rPr>
        <w:t xml:space="preserve">⑮承包人必须在施工期间做好对突发公共事件的应急处理工作，内容主要包含：发包人接收来自数字化城市管理热线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23C8F18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项目经理</w:t>
      </w:r>
    </w:p>
    <w:p w14:paraId="6EE7BB2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 项目经理：</w:t>
      </w:r>
    </w:p>
    <w:p w14:paraId="4B04074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74984AD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117D0E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建造师执业资格等级：</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0596959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建造师注册证书号：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CF4A9B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建造师执业印章号：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51210EE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C4694C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3AC5973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4946F06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41823819">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承包人对项目经理的授权范围如下：</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全面履行本合同工程的施工管理职责，为工程参与各方做好协调和服务，在资金、技术、工程进度、质量、安全、环境保护、文明施工等合约目标范围向发包人直接负责，听从发包人和监理的指挥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BAF0142">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关于项目经理每月在施工现场的时间要求：</w:t>
      </w:r>
      <w:r>
        <w:rPr>
          <w:rFonts w:hint="eastAsia" w:ascii="宋体" w:hAnsi="宋体" w:eastAsia="宋体" w:cs="宋体"/>
          <w:b/>
          <w:bCs/>
          <w:color w:val="auto"/>
          <w:sz w:val="24"/>
          <w:highlight w:val="none"/>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43D00337">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承包人未提交劳动合同，以及没有为项目经理缴纳养老保险证明的违约责任：</w:t>
      </w:r>
      <w:r>
        <w:rPr>
          <w:rFonts w:hint="eastAsia" w:ascii="宋体" w:hAnsi="宋体" w:eastAsia="宋体" w:cs="宋体"/>
          <w:b/>
          <w:bCs/>
          <w:color w:val="auto"/>
          <w:sz w:val="24"/>
          <w:highlight w:val="none"/>
          <w:u w:val="single"/>
        </w:rPr>
        <w:t>除责令停工整改外，并向发包人支付1万元作为违约金。承包人承担上述违约给发包人造成的一切损失，发包人有权单方面解除合同，已完工程不做结算。</w:t>
      </w:r>
    </w:p>
    <w:p w14:paraId="1E181E5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项目经理未经批准，擅自离开施工现场的违约责任：</w:t>
      </w:r>
      <w:r>
        <w:rPr>
          <w:rFonts w:hint="eastAsia" w:ascii="宋体" w:hAnsi="宋体" w:eastAsia="宋体" w:cs="宋体"/>
          <w:b/>
          <w:bCs/>
          <w:color w:val="auto"/>
          <w:sz w:val="24"/>
          <w:highlight w:val="none"/>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1E509C6A">
      <w:pPr>
        <w:snapToGrid w:val="0"/>
        <w:spacing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3.2.3 承包人擅自更换项目经理的违约责任：</w:t>
      </w:r>
      <w:r>
        <w:rPr>
          <w:rFonts w:hint="eastAsia" w:ascii="宋体" w:hAnsi="宋体" w:eastAsia="宋体" w:cs="宋体"/>
          <w:b/>
          <w:bCs/>
          <w:color w:val="auto"/>
          <w:sz w:val="24"/>
          <w:highlight w:val="none"/>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158D59D0">
      <w:pPr>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3.2.4 承包人无正当理由拒绝更换项目经理的违约责任</w:t>
      </w:r>
      <w:r>
        <w:rPr>
          <w:rFonts w:hint="eastAsia" w:ascii="宋体" w:hAnsi="宋体" w:eastAsia="宋体" w:cs="宋体"/>
          <w:b/>
          <w:bCs/>
          <w:color w:val="auto"/>
          <w:sz w:val="24"/>
          <w:highlight w:val="none"/>
          <w:u w:val="single"/>
        </w:rPr>
        <w:t>：除责令停工整改外，并向发包人缴纳违约金1万元。承包人承担上述违约给发包人造成的一切损失，发包人有权单方面解除合同，已完工程不做结算。</w:t>
      </w:r>
    </w:p>
    <w:p w14:paraId="6ABB49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承包人人员</w:t>
      </w:r>
    </w:p>
    <w:p w14:paraId="2DEFF0F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3.3.1 承包人提交项目管理机构及施工现场管理人员安排报告的期限：</w:t>
      </w:r>
      <w:r>
        <w:rPr>
          <w:rFonts w:hint="eastAsia" w:ascii="宋体" w:hAnsi="宋体" w:eastAsia="宋体" w:cs="宋体"/>
          <w:color w:val="auto"/>
          <w:sz w:val="24"/>
          <w:highlight w:val="none"/>
          <w:u w:val="single"/>
        </w:rPr>
        <w:t>施工合同签订前。</w:t>
      </w:r>
    </w:p>
    <w:p w14:paraId="68FC060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3.3.3承包人无正当理由拒绝撤换主要施工管理人员的违约责任：</w:t>
      </w:r>
      <w:r>
        <w:rPr>
          <w:rFonts w:hint="eastAsia" w:ascii="宋体" w:hAnsi="宋体" w:eastAsia="宋体" w:cs="宋体"/>
          <w:color w:val="auto"/>
          <w:sz w:val="24"/>
          <w:highlight w:val="none"/>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277F18C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3.3.4 承包人主要施工管理人员离开施工现场的批准要求：</w:t>
      </w:r>
      <w:r>
        <w:rPr>
          <w:rFonts w:hint="eastAsia" w:ascii="宋体" w:hAnsi="宋体" w:eastAsia="宋体" w:cs="宋体"/>
          <w:color w:val="auto"/>
          <w:sz w:val="24"/>
          <w:highlight w:val="none"/>
          <w:u w:val="single"/>
        </w:rPr>
        <w:t xml:space="preserve">须经监理及发包人现场代表书面同意，否则视为缺勤 </w:t>
      </w:r>
      <w:r>
        <w:rPr>
          <w:rFonts w:hint="eastAsia" w:ascii="宋体" w:hAnsi="宋体" w:eastAsia="宋体" w:cs="宋体"/>
          <w:color w:val="auto"/>
          <w:sz w:val="24"/>
          <w:highlight w:val="none"/>
        </w:rPr>
        <w:t>。</w:t>
      </w:r>
    </w:p>
    <w:p w14:paraId="51E6378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3.3.5承包人擅自更换主要施工管理人员的违约责任：</w:t>
      </w:r>
      <w:r>
        <w:rPr>
          <w:rFonts w:hint="eastAsia" w:ascii="宋体" w:hAnsi="宋体" w:eastAsia="宋体" w:cs="宋体"/>
          <w:color w:val="auto"/>
          <w:sz w:val="24"/>
          <w:highlight w:val="none"/>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07EDEAF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承包人主要施工管理人员擅自离开施工现场的违约责任：</w:t>
      </w:r>
      <w:r>
        <w:rPr>
          <w:rFonts w:hint="eastAsia" w:ascii="宋体" w:hAnsi="宋体" w:eastAsia="宋体" w:cs="宋体"/>
          <w:color w:val="auto"/>
          <w:sz w:val="24"/>
          <w:highlight w:val="none"/>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4D5C28A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分包</w:t>
      </w:r>
    </w:p>
    <w:p w14:paraId="638F57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 分包的一般约定</w:t>
      </w:r>
    </w:p>
    <w:p w14:paraId="0D212BE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禁止分包的工程包括：</w:t>
      </w:r>
      <w:r>
        <w:rPr>
          <w:rFonts w:hint="eastAsia" w:ascii="宋体" w:hAnsi="宋体" w:eastAsia="宋体" w:cs="宋体"/>
          <w:color w:val="auto"/>
          <w:sz w:val="24"/>
          <w:highlight w:val="none"/>
          <w:u w:val="single"/>
        </w:rPr>
        <w:t>禁止分包</w:t>
      </w:r>
      <w:r>
        <w:rPr>
          <w:rFonts w:hint="eastAsia" w:ascii="宋体" w:hAnsi="宋体" w:eastAsia="宋体" w:cs="宋体"/>
          <w:color w:val="auto"/>
          <w:sz w:val="24"/>
          <w:highlight w:val="none"/>
        </w:rPr>
        <w:t>。</w:t>
      </w:r>
    </w:p>
    <w:p w14:paraId="4C9E1F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主体结构、关键性工作的范围</w:t>
      </w:r>
      <w:bookmarkStart w:id="107" w:name="_Toc296347160"/>
      <w:bookmarkStart w:id="108" w:name="_Toc296891201"/>
      <w:bookmarkStart w:id="109" w:name="_Toc296944500"/>
      <w:bookmarkStart w:id="110" w:name="_Toc296346662"/>
      <w:bookmarkStart w:id="111" w:name="_Toc296503161"/>
      <w:bookmarkStart w:id="112" w:name="_Toc297120461"/>
      <w:bookmarkStart w:id="113" w:name="_Toc297123494"/>
      <w:bookmarkStart w:id="114" w:name="_Toc303539104"/>
      <w:bookmarkStart w:id="115" w:name="_Toc300934947"/>
      <w:bookmarkStart w:id="116" w:name="_Toc297216153"/>
      <w:bookmarkStart w:id="117" w:name="_Toc296890989"/>
      <w:bookmarkStart w:id="118" w:name="_Toc304295525"/>
      <w:bookmarkStart w:id="119" w:name="_Toc297048347"/>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bookmarkEnd w:id="107"/>
    <w:bookmarkEnd w:id="108"/>
    <w:bookmarkEnd w:id="109"/>
    <w:bookmarkEnd w:id="110"/>
    <w:bookmarkEnd w:id="111"/>
    <w:bookmarkEnd w:id="112"/>
    <w:bookmarkEnd w:id="113"/>
    <w:bookmarkEnd w:id="114"/>
    <w:bookmarkEnd w:id="115"/>
    <w:bookmarkEnd w:id="116"/>
    <w:bookmarkEnd w:id="117"/>
    <w:bookmarkEnd w:id="118"/>
    <w:bookmarkEnd w:id="119"/>
    <w:p w14:paraId="691DD3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3.5.2分包的确定</w:t>
      </w:r>
    </w:p>
    <w:p w14:paraId="384DF8F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允许分包的专业工程包括：</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254541A">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其他关于分包的约定：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182B2A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3.5.4 分包合同价款</w:t>
      </w:r>
    </w:p>
    <w:p w14:paraId="4B06C4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关于分包合同价款支付的约定：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D9EF2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 工程照管与成品、半成品保护</w:t>
      </w:r>
    </w:p>
    <w:p w14:paraId="35C990B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承包人负责照管工程及工程相关的材料、工程设备的起始时间：</w:t>
      </w:r>
      <w:r>
        <w:rPr>
          <w:rFonts w:hint="eastAsia" w:ascii="宋体" w:hAnsi="宋体" w:eastAsia="宋体" w:cs="宋体"/>
          <w:color w:val="auto"/>
          <w:sz w:val="24"/>
          <w:highlight w:val="none"/>
          <w:u w:val="single"/>
        </w:rPr>
        <w:t>设备、人员进场至验收合格移交接管单位使用前由承包人负责照管和保护，费用由承包人承担</w:t>
      </w:r>
      <w:r>
        <w:rPr>
          <w:rFonts w:hint="eastAsia" w:ascii="宋体" w:hAnsi="宋体" w:eastAsia="宋体" w:cs="宋体"/>
          <w:color w:val="auto"/>
          <w:sz w:val="24"/>
          <w:highlight w:val="none"/>
        </w:rPr>
        <w:t>。</w:t>
      </w:r>
    </w:p>
    <w:p w14:paraId="10C14DCB">
      <w:pPr>
        <w:spacing w:line="360" w:lineRule="auto"/>
        <w:ind w:firstLine="480" w:firstLineChars="200"/>
        <w:rPr>
          <w:rFonts w:hint="eastAsia" w:ascii="宋体" w:hAnsi="宋体" w:eastAsia="宋体" w:cs="宋体"/>
          <w:color w:val="auto"/>
          <w:sz w:val="24"/>
          <w:highlight w:val="none"/>
        </w:rPr>
      </w:pPr>
      <w:bookmarkStart w:id="120" w:name="_Toc351203636"/>
      <w:r>
        <w:rPr>
          <w:rFonts w:hint="eastAsia" w:ascii="宋体" w:hAnsi="宋体" w:eastAsia="宋体" w:cs="宋体"/>
          <w:color w:val="auto"/>
          <w:sz w:val="24"/>
          <w:highlight w:val="none"/>
        </w:rPr>
        <w:t>3.7 履约担保</w:t>
      </w:r>
    </w:p>
    <w:p w14:paraId="62D216A6">
      <w:pPr>
        <w:tabs>
          <w:tab w:val="left" w:pos="5436"/>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承包人是否提供履约担保：</w:t>
      </w:r>
      <w:r>
        <w:rPr>
          <w:rFonts w:hint="eastAsia" w:ascii="宋体" w:hAnsi="宋体" w:eastAsia="宋体" w:cs="宋体"/>
          <w:color w:val="auto"/>
          <w:sz w:val="24"/>
          <w:highlight w:val="none"/>
          <w:u w:val="single"/>
        </w:rPr>
        <w:t xml:space="preserve">  是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ab/>
      </w:r>
    </w:p>
    <w:p w14:paraId="30BBB7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承包人提供履约担保的形式、金额及期限的约定： </w:t>
      </w:r>
    </w:p>
    <w:p w14:paraId="2C6BF6ED">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（1）承包人提供履约担保的形式：银行转账；</w:t>
      </w:r>
    </w:p>
    <w:p w14:paraId="44ECA875">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4607597C">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2300C0BE">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6EEEF291">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FDC91B2">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履约保证金的退还均不计息。</w:t>
      </w:r>
    </w:p>
    <w:bookmarkEnd w:id="120"/>
    <w:p w14:paraId="2BCE3E98">
      <w:pPr>
        <w:spacing w:line="480" w:lineRule="exact"/>
        <w:ind w:firstLine="482" w:firstLineChars="200"/>
        <w:rPr>
          <w:rFonts w:hint="eastAsia" w:ascii="宋体" w:hAnsi="宋体" w:eastAsia="宋体" w:cs="宋体"/>
          <w:b/>
          <w:color w:val="auto"/>
          <w:sz w:val="24"/>
          <w:highlight w:val="none"/>
        </w:rPr>
      </w:pPr>
      <w:bookmarkStart w:id="121" w:name="_Toc427307550"/>
      <w:r>
        <w:rPr>
          <w:rFonts w:hint="eastAsia" w:ascii="宋体" w:hAnsi="宋体" w:eastAsia="宋体" w:cs="宋体"/>
          <w:b/>
          <w:color w:val="auto"/>
          <w:sz w:val="24"/>
          <w:highlight w:val="none"/>
        </w:rPr>
        <w:t>4</w:t>
      </w:r>
      <w:bookmarkStart w:id="122" w:name="_Toc296890990"/>
      <w:bookmarkStart w:id="123" w:name="_Toc296891202"/>
      <w:bookmarkStart w:id="124" w:name="_Toc297048348"/>
      <w:bookmarkStart w:id="125" w:name="_Toc296347161"/>
      <w:bookmarkStart w:id="126" w:name="_Toc297120462"/>
      <w:bookmarkStart w:id="127" w:name="_Toc292559871"/>
      <w:bookmarkStart w:id="128" w:name="_Toc296503162"/>
      <w:bookmarkStart w:id="129" w:name="_Toc296346663"/>
      <w:bookmarkStart w:id="130" w:name="_Toc296944501"/>
      <w:bookmarkStart w:id="131" w:name="_Toc292559366"/>
      <w:bookmarkStart w:id="132" w:name="_Toc267251413"/>
      <w:r>
        <w:rPr>
          <w:rFonts w:hint="eastAsia" w:ascii="宋体" w:hAnsi="宋体" w:eastAsia="宋体" w:cs="宋体"/>
          <w:b/>
          <w:color w:val="auto"/>
          <w:sz w:val="24"/>
          <w:highlight w:val="none"/>
        </w:rPr>
        <w:t>. 监</w:t>
      </w:r>
      <w:bookmarkEnd w:id="122"/>
      <w:bookmarkEnd w:id="123"/>
      <w:bookmarkEnd w:id="124"/>
      <w:bookmarkEnd w:id="125"/>
      <w:bookmarkEnd w:id="126"/>
      <w:bookmarkEnd w:id="127"/>
      <w:bookmarkEnd w:id="128"/>
      <w:bookmarkEnd w:id="129"/>
      <w:bookmarkEnd w:id="130"/>
      <w:bookmarkEnd w:id="131"/>
      <w:bookmarkEnd w:id="132"/>
      <w:r>
        <w:rPr>
          <w:rFonts w:hint="eastAsia" w:ascii="宋体" w:hAnsi="宋体" w:eastAsia="宋体" w:cs="宋体"/>
          <w:b/>
          <w:color w:val="auto"/>
          <w:sz w:val="24"/>
          <w:highlight w:val="none"/>
        </w:rPr>
        <w:t>理人</w:t>
      </w:r>
      <w:bookmarkEnd w:id="121"/>
    </w:p>
    <w:p w14:paraId="22441A6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4.1监理人的一般规定</w:t>
      </w:r>
    </w:p>
    <w:p w14:paraId="29B571F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0E2632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关于监理人的监理权限：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801C49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关于监理人在施工现场的办公场所、生活场所的提供和费用承担的约定：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6E10D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监理人员</w:t>
      </w:r>
    </w:p>
    <w:p w14:paraId="32D2F6DB">
      <w:pPr>
        <w:spacing w:line="360" w:lineRule="auto"/>
        <w:ind w:firstLine="480" w:firstLineChars="200"/>
        <w:rPr>
          <w:rFonts w:hint="eastAsia" w:ascii="宋体" w:hAnsi="宋体" w:eastAsia="宋体" w:cs="宋体"/>
          <w:color w:val="auto"/>
          <w:sz w:val="24"/>
          <w:highlight w:val="none"/>
        </w:rPr>
      </w:pPr>
      <w:bookmarkStart w:id="133" w:name="_Toc267251418"/>
      <w:r>
        <w:rPr>
          <w:rFonts w:hint="eastAsia" w:ascii="宋体" w:hAnsi="宋体" w:eastAsia="宋体" w:cs="宋体"/>
          <w:color w:val="auto"/>
          <w:sz w:val="24"/>
          <w:highlight w:val="none"/>
        </w:rPr>
        <w:t>总监理工程师：</w:t>
      </w:r>
    </w:p>
    <w:p w14:paraId="6254EE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4B8E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9E53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监理工程师执业资格证书号：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EF51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C1D08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C8E4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5DFEB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关于监理人的其他约定：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6617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关于监理人的其他约定：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9ACD9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 商定或确定</w:t>
      </w:r>
    </w:p>
    <w:p w14:paraId="671A90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在发包人和承包人不能通过协商达成一致意见时，发包人授权监理人对以下事项进行确定：</w:t>
      </w:r>
    </w:p>
    <w:p w14:paraId="0120E448">
      <w:pPr>
        <w:spacing w:line="480" w:lineRule="exact"/>
        <w:ind w:firstLine="482" w:firstLineChars="200"/>
        <w:rPr>
          <w:rFonts w:hint="eastAsia" w:ascii="宋体" w:hAnsi="宋体" w:eastAsia="宋体" w:cs="宋体"/>
          <w:b/>
          <w:color w:val="auto"/>
          <w:sz w:val="24"/>
          <w:highlight w:val="none"/>
        </w:rPr>
      </w:pPr>
      <w:bookmarkStart w:id="134" w:name="_5._工程质量"/>
      <w:bookmarkEnd w:id="134"/>
      <w:bookmarkStart w:id="135" w:name="_Toc427307551"/>
      <w:r>
        <w:rPr>
          <w:rFonts w:hint="eastAsia" w:ascii="宋体" w:hAnsi="宋体" w:eastAsia="宋体" w:cs="宋体"/>
          <w:b/>
          <w:color w:val="auto"/>
          <w:sz w:val="24"/>
          <w:highlight w:val="none"/>
        </w:rPr>
        <w:t>5</w:t>
      </w:r>
      <w:bookmarkEnd w:id="133"/>
      <w:bookmarkStart w:id="136" w:name="_Toc296346664"/>
      <w:bookmarkStart w:id="137" w:name="_Toc296890991"/>
      <w:bookmarkStart w:id="138" w:name="_Toc296944502"/>
      <w:bookmarkStart w:id="139" w:name="_Toc297048349"/>
      <w:bookmarkStart w:id="140" w:name="_Toc296503163"/>
      <w:bookmarkStart w:id="141" w:name="_Toc292559367"/>
      <w:bookmarkStart w:id="142" w:name="_Toc292559872"/>
      <w:bookmarkStart w:id="143" w:name="_Toc296891203"/>
      <w:bookmarkStart w:id="144" w:name="_Toc297120463"/>
      <w:bookmarkStart w:id="145" w:name="_Toc296347162"/>
      <w:r>
        <w:rPr>
          <w:rFonts w:hint="eastAsia" w:ascii="宋体" w:hAnsi="宋体" w:eastAsia="宋体" w:cs="宋体"/>
          <w:b/>
          <w:color w:val="auto"/>
          <w:sz w:val="24"/>
          <w:highlight w:val="none"/>
        </w:rPr>
        <w:t>. 工程质量</w:t>
      </w:r>
      <w:bookmarkEnd w:id="135"/>
    </w:p>
    <w:p w14:paraId="65E23C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质量要求</w:t>
      </w:r>
    </w:p>
    <w:p w14:paraId="33464959">
      <w:pPr>
        <w:snapToGrid w:val="0"/>
        <w:spacing w:line="360" w:lineRule="auto"/>
        <w:ind w:firstLine="480" w:firstLineChars="200"/>
        <w:jc w:val="left"/>
        <w:rPr>
          <w:rFonts w:hint="eastAsia" w:ascii="宋体" w:hAnsi="宋体" w:eastAsia="宋体" w:cs="宋体"/>
          <w:color w:val="auto"/>
          <w:sz w:val="24"/>
          <w:highlight w:val="none"/>
        </w:rPr>
      </w:pPr>
      <w:bookmarkStart w:id="146" w:name="_Toc427307552"/>
      <w:bookmarkStart w:id="147" w:name="_Toc312677997"/>
      <w:bookmarkStart w:id="148" w:name="_Toc304295527"/>
      <w:bookmarkStart w:id="149" w:name="_Toc300934949"/>
      <w:bookmarkStart w:id="150" w:name="_Toc297123496"/>
      <w:bookmarkStart w:id="151" w:name="_Toc297216155"/>
      <w:bookmarkStart w:id="152" w:name="_Toc318581164"/>
      <w:bookmarkStart w:id="153" w:name="_Toc303539106"/>
      <w:r>
        <w:rPr>
          <w:rFonts w:hint="eastAsia" w:ascii="宋体" w:hAnsi="宋体" w:eastAsia="宋体" w:cs="宋体"/>
          <w:color w:val="auto"/>
          <w:sz w:val="24"/>
          <w:highlight w:val="none"/>
        </w:rPr>
        <w:t>5.1.1工程质量必须达到国家施工质量验收规范合格标准。</w:t>
      </w:r>
    </w:p>
    <w:p w14:paraId="2A78B6D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5.1.2关于工程奖项的约定：</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 </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w:t>
      </w:r>
    </w:p>
    <w:p w14:paraId="740A67C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隐蔽工程检查</w:t>
      </w:r>
    </w:p>
    <w:p w14:paraId="4E3D620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5.3.2承包人提前通知监理人隐蔽工程检查的期限的约定：</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共同检查前24小时书面通知监理人</w:t>
      </w:r>
      <w:r>
        <w:rPr>
          <w:rFonts w:hint="eastAsia" w:ascii="宋体" w:hAnsi="宋体" w:eastAsia="宋体" w:cs="宋体"/>
          <w:color w:val="auto"/>
          <w:sz w:val="24"/>
          <w:highlight w:val="none"/>
        </w:rPr>
        <w:t>。</w:t>
      </w:r>
    </w:p>
    <w:p w14:paraId="23E609F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监理人不能按时进行检查时，应提前</w:t>
      </w:r>
      <w:r>
        <w:rPr>
          <w:rFonts w:hint="eastAsia" w:ascii="宋体" w:hAnsi="宋体" w:eastAsia="宋体" w:cs="宋体"/>
          <w:color w:val="auto"/>
          <w:sz w:val="24"/>
          <w:highlight w:val="none"/>
          <w:u w:val="single"/>
        </w:rPr>
        <w:t xml:space="preserve"> 12 </w:t>
      </w:r>
      <w:r>
        <w:rPr>
          <w:rFonts w:hint="eastAsia" w:ascii="宋体" w:hAnsi="宋体" w:eastAsia="宋体" w:cs="宋体"/>
          <w:color w:val="auto"/>
          <w:sz w:val="24"/>
          <w:highlight w:val="none"/>
        </w:rPr>
        <w:t>小时提交书面延期要求。</w:t>
      </w:r>
    </w:p>
    <w:p w14:paraId="4B1A4D9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 xml:space="preserve"> 24 </w:t>
      </w:r>
      <w:r>
        <w:rPr>
          <w:rFonts w:hint="eastAsia" w:ascii="宋体" w:hAnsi="宋体" w:eastAsia="宋体" w:cs="宋体"/>
          <w:color w:val="auto"/>
          <w:sz w:val="24"/>
          <w:highlight w:val="none"/>
        </w:rPr>
        <w:t>小时。</w:t>
      </w:r>
    </w:p>
    <w:p w14:paraId="4B202892">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安全文明施工与环境保护</w:t>
      </w:r>
      <w:bookmarkEnd w:id="146"/>
    </w:p>
    <w:p w14:paraId="2BC14D2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6.1安全文明施工</w:t>
      </w:r>
    </w:p>
    <w:p w14:paraId="31B951B2">
      <w:pPr>
        <w:widowControl/>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bidi="ar"/>
        </w:rPr>
        <w:t>因本项目位于办公楼内部，施工期间应尽量减少噪音或灰尘对周边的环境影响，并服从物业安排。承包人从开始进场到竣工验收期间，必须全过程服从发包人及监理方的管理和安排。</w:t>
      </w:r>
    </w:p>
    <w:p w14:paraId="2D7FD78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 项目安全生产的达标目标及相应事项的约定：</w:t>
      </w:r>
    </w:p>
    <w:p w14:paraId="1C7D3DC7">
      <w:pPr>
        <w:autoSpaceDN w:val="0"/>
        <w:snapToGrid w:val="0"/>
        <w:spacing w:line="360" w:lineRule="auto"/>
        <w:ind w:firstLine="482"/>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0BB7B0F2">
      <w:pPr>
        <w:autoSpaceDN w:val="0"/>
        <w:snapToGrid w:val="0"/>
        <w:spacing w:line="360" w:lineRule="auto"/>
        <w:ind w:firstLine="361"/>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（2）承包人对施工现场安全生产负总责，现场必须按要求配备安全员，安全员及特种作业人员应持证上岗。</w:t>
      </w:r>
    </w:p>
    <w:p w14:paraId="210BE97D">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3）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61093561">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工程施工前，承包人应根据法律、法规、规范、标准等要求，制定安全施工标准及要求，负责向施工作业班组、作业人员作出详细的说明，并由双方签字确认。</w:t>
      </w:r>
    </w:p>
    <w:p w14:paraId="3951A354">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工程施工前，承包人使用的安全防护用具、机械设备、施工机具及配件，应当具有生产（制造）许可证、产品合格证，并在进入施工现场前进行查验，经监理工程师签字确认后方可使用。</w:t>
      </w:r>
    </w:p>
    <w:p w14:paraId="0BF3A63C">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特种作业人员，必须按照国家有关规定经过专门的安全作业培训，并取得特种作业操作资格证书后，方可上岗作业。</w:t>
      </w:r>
    </w:p>
    <w:p w14:paraId="1D3D01AC">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（4）承包人应严格按《建设工程安全生产管理条例》等法律、法规采取安全措施、组织施工，如发生事故，所造成的一切责任与后果均由承包人承担。</w:t>
      </w:r>
    </w:p>
    <w:p w14:paraId="4875EDF7">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（5）未能达到上述（1）-（3）条要求，发包人有权扣除承包人安全文明施工履约保证金的50%。</w:t>
      </w:r>
    </w:p>
    <w:p w14:paraId="6F36E555">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2808EE75">
      <w:pPr>
        <w:autoSpaceDN w:val="0"/>
        <w:snapToGrid w:val="0"/>
        <w:spacing w:line="360" w:lineRule="auto"/>
        <w:ind w:firstLine="361"/>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（7）凡在施工期间，由于承包人原因造成的事故，除根据事故的严重程度或等级扣除20%的履约保证金金额外，还需承担全部责任及由此引起的一切费用，发包人不承担任何责任。</w:t>
      </w:r>
    </w:p>
    <w:p w14:paraId="79B0CCA7">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6.1.4 关于治安保卫的特别约定：</w:t>
      </w:r>
      <w:r>
        <w:rPr>
          <w:rFonts w:hint="eastAsia" w:ascii="宋体" w:hAnsi="宋体" w:eastAsia="宋体" w:cs="宋体"/>
          <w:color w:val="auto"/>
          <w:sz w:val="24"/>
          <w:highlight w:val="none"/>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0EA80DD2">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关于编制施工场地治安管理计划的约定：</w:t>
      </w:r>
      <w:r>
        <w:rPr>
          <w:rFonts w:hint="eastAsia" w:ascii="宋体" w:hAnsi="宋体" w:eastAsia="宋体" w:cs="宋体"/>
          <w:color w:val="auto"/>
          <w:sz w:val="24"/>
          <w:highlight w:val="none"/>
          <w:u w:val="single"/>
        </w:rPr>
        <w:t>由承包人具体负责编制施工场地治安管理计划，制定应对突发治安事件的紧急预案，在开工前提供，并应得到发包人和监理方的认可。</w:t>
      </w:r>
    </w:p>
    <w:p w14:paraId="6026DB2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color w:val="auto"/>
          <w:sz w:val="24"/>
          <w:highlight w:val="none"/>
        </w:rPr>
        <w:t>。</w:t>
      </w:r>
    </w:p>
    <w:p w14:paraId="4DB3156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6.1.5 文明施工</w:t>
      </w:r>
    </w:p>
    <w:p w14:paraId="6A49ECC2">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合同当事人对文明施工的要求：</w:t>
      </w:r>
      <w:r>
        <w:rPr>
          <w:rFonts w:hint="eastAsia" w:ascii="宋体" w:hAnsi="宋体" w:eastAsia="宋体" w:cs="宋体"/>
          <w:color w:val="auto"/>
          <w:sz w:val="24"/>
          <w:highlight w:val="none"/>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w:t>
      </w:r>
    </w:p>
    <w:p w14:paraId="310CB97A">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6.1.6 关于安全文明施工费支付比例和支付期限的约定：</w:t>
      </w:r>
      <w:r>
        <w:rPr>
          <w:rFonts w:hint="eastAsia" w:ascii="宋体" w:hAnsi="宋体" w:eastAsia="宋体" w:cs="宋体"/>
          <w:color w:val="auto"/>
          <w:sz w:val="24"/>
          <w:highlight w:val="none"/>
          <w:u w:val="single"/>
        </w:rPr>
        <w:t xml:space="preserve"> 含在合同工程款中</w:t>
      </w:r>
      <w:r>
        <w:rPr>
          <w:rFonts w:hint="eastAsia" w:ascii="宋体" w:hAnsi="宋体" w:eastAsia="宋体" w:cs="宋体"/>
          <w:color w:val="auto"/>
          <w:sz w:val="24"/>
          <w:highlight w:val="none"/>
        </w:rPr>
        <w:t>。</w:t>
      </w:r>
    </w:p>
    <w:p w14:paraId="50343F7B">
      <w:pPr>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6.1.9 安全生产责任</w:t>
      </w:r>
    </w:p>
    <w:p w14:paraId="7F743A6E">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28F28B9E">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7BE2F766">
      <w:pPr>
        <w:pStyle w:val="2"/>
        <w:keepNext w:val="0"/>
        <w:keepLines w:val="0"/>
        <w:snapToGrid w:val="0"/>
        <w:spacing w:before="0" w:after="0"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47"/>
    <w:bookmarkEnd w:id="148"/>
    <w:bookmarkEnd w:id="149"/>
    <w:bookmarkEnd w:id="150"/>
    <w:bookmarkEnd w:id="151"/>
    <w:bookmarkEnd w:id="152"/>
    <w:bookmarkEnd w:id="153"/>
    <w:p w14:paraId="4D39FD70">
      <w:pPr>
        <w:snapToGrid w:val="0"/>
        <w:spacing w:line="360" w:lineRule="auto"/>
        <w:ind w:firstLine="482" w:firstLineChars="200"/>
        <w:rPr>
          <w:rFonts w:hint="eastAsia" w:ascii="宋体" w:hAnsi="宋体" w:eastAsia="宋体" w:cs="宋体"/>
          <w:b/>
          <w:color w:val="auto"/>
          <w:sz w:val="24"/>
          <w:highlight w:val="none"/>
        </w:rPr>
      </w:pPr>
      <w:bookmarkStart w:id="154" w:name="_Toc427307553"/>
      <w:r>
        <w:rPr>
          <w:rFonts w:hint="eastAsia" w:ascii="宋体" w:hAnsi="宋体" w:eastAsia="宋体" w:cs="宋体"/>
          <w:b/>
          <w:color w:val="auto"/>
          <w:sz w:val="24"/>
          <w:highlight w:val="none"/>
        </w:rPr>
        <w:t>7. 工期和进度</w:t>
      </w:r>
      <w:bookmarkEnd w:id="154"/>
    </w:p>
    <w:p w14:paraId="44BC956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施工组织设计</w:t>
      </w:r>
    </w:p>
    <w:p w14:paraId="11BCFAA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7.1.1 合同当事人约定的施工组织设计应包括的其他内容：</w:t>
      </w:r>
      <w:r>
        <w:rPr>
          <w:rFonts w:hint="eastAsia" w:ascii="宋体" w:hAnsi="宋体" w:eastAsia="宋体" w:cs="宋体"/>
          <w:color w:val="auto"/>
          <w:sz w:val="24"/>
          <w:highlight w:val="none"/>
          <w:u w:val="single"/>
        </w:rPr>
        <w:t>承包人在开工前必须提交详细的施工组织设计，报发包人及总监审批，施工组织设计经发包人及监理认可后方可开工</w:t>
      </w:r>
      <w:r>
        <w:rPr>
          <w:rFonts w:hint="eastAsia" w:ascii="宋体" w:hAnsi="宋体" w:eastAsia="宋体" w:cs="宋体"/>
          <w:color w:val="auto"/>
          <w:sz w:val="24"/>
          <w:highlight w:val="none"/>
        </w:rPr>
        <w:t>。</w:t>
      </w:r>
    </w:p>
    <w:p w14:paraId="19E85E7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7.1.2 施工组织设计的提交和修改</w:t>
      </w:r>
    </w:p>
    <w:p w14:paraId="027BC80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承包人提交详细施工组织设计的期限的约定：</w:t>
      </w:r>
      <w:r>
        <w:rPr>
          <w:rFonts w:hint="eastAsia" w:ascii="宋体" w:hAnsi="宋体" w:eastAsia="宋体" w:cs="宋体"/>
          <w:color w:val="auto"/>
          <w:sz w:val="24"/>
          <w:highlight w:val="none"/>
          <w:u w:val="single"/>
        </w:rPr>
        <w:t>开工通知载明的开工日期前3天提交，逾期未提交，承包人按每延期1天向发包人支付违约金1万元</w:t>
      </w:r>
      <w:r>
        <w:rPr>
          <w:rFonts w:hint="eastAsia" w:ascii="宋体" w:hAnsi="宋体" w:eastAsia="宋体" w:cs="宋体"/>
          <w:color w:val="auto"/>
          <w:sz w:val="24"/>
          <w:highlight w:val="none"/>
        </w:rPr>
        <w:t>。</w:t>
      </w:r>
    </w:p>
    <w:p w14:paraId="61B4959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发包人委托的监理人在收到详细的施工组织设计后确认或提出修改意见的期限：</w:t>
      </w:r>
      <w:r>
        <w:rPr>
          <w:rFonts w:hint="eastAsia" w:ascii="宋体" w:hAnsi="宋体" w:eastAsia="宋体" w:cs="宋体"/>
          <w:color w:val="auto"/>
          <w:sz w:val="24"/>
          <w:highlight w:val="none"/>
          <w:u w:val="single"/>
        </w:rPr>
        <w:t>收到上述完整的、符合要求的文件后3个工作日内予以确认或提出修改意见，逾期视为已确认。</w:t>
      </w:r>
    </w:p>
    <w:p w14:paraId="67DCC4A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施工进度计划</w:t>
      </w:r>
    </w:p>
    <w:p w14:paraId="1B7083D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7.2.2 施工进度计划的修订</w:t>
      </w:r>
    </w:p>
    <w:p w14:paraId="467DEAA0">
      <w:pPr>
        <w:snapToGrid w:val="0"/>
        <w:spacing w:line="360" w:lineRule="auto"/>
        <w:ind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发包人委托的监理人在收到修订的施工进度计划后确认或提出修改意见的期限：</w:t>
      </w:r>
      <w:r>
        <w:rPr>
          <w:rFonts w:hint="eastAsia" w:ascii="宋体" w:hAnsi="宋体" w:eastAsia="宋体" w:cs="宋体"/>
          <w:color w:val="auto"/>
          <w:sz w:val="24"/>
          <w:highlight w:val="none"/>
          <w:u w:val="single"/>
        </w:rPr>
        <w:t>收到施工组织设计（施工方案）和进度计划后3日内予以确认或提出修改意见，逾期视为已确认。</w:t>
      </w:r>
    </w:p>
    <w:p w14:paraId="679EE61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开工</w:t>
      </w:r>
    </w:p>
    <w:p w14:paraId="55ED3A9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7.3.1 开工准备</w:t>
      </w:r>
    </w:p>
    <w:p w14:paraId="08EDD54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关于承包人提交工程开工报审表的期限：</w:t>
      </w:r>
      <w:r>
        <w:rPr>
          <w:rFonts w:hint="eastAsia" w:ascii="宋体" w:hAnsi="宋体" w:eastAsia="宋体" w:cs="宋体"/>
          <w:color w:val="auto"/>
          <w:sz w:val="24"/>
          <w:highlight w:val="none"/>
          <w:u w:val="single"/>
        </w:rPr>
        <w:t xml:space="preserve"> 合同签订后3天内 </w:t>
      </w:r>
      <w:r>
        <w:rPr>
          <w:rFonts w:hint="eastAsia" w:ascii="宋体" w:hAnsi="宋体" w:eastAsia="宋体" w:cs="宋体"/>
          <w:color w:val="auto"/>
          <w:sz w:val="24"/>
          <w:highlight w:val="none"/>
        </w:rPr>
        <w:t>。</w:t>
      </w:r>
    </w:p>
    <w:p w14:paraId="271CBD0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关于发包人应完成的其他开工准备工作及期限：</w:t>
      </w:r>
      <w:r>
        <w:rPr>
          <w:rFonts w:hint="eastAsia" w:ascii="宋体" w:hAnsi="宋体" w:eastAsia="宋体" w:cs="宋体"/>
          <w:color w:val="auto"/>
          <w:sz w:val="24"/>
          <w:highlight w:val="none"/>
          <w:u w:val="single"/>
        </w:rPr>
        <w:t>组织图纸会审和管线交底</w:t>
      </w:r>
      <w:r>
        <w:rPr>
          <w:rFonts w:hint="eastAsia" w:ascii="宋体" w:hAnsi="宋体" w:eastAsia="宋体" w:cs="宋体"/>
          <w:color w:val="auto"/>
          <w:sz w:val="24"/>
          <w:highlight w:val="none"/>
        </w:rPr>
        <w:t>。</w:t>
      </w:r>
    </w:p>
    <w:p w14:paraId="148C3EB0">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关于承包人应完成的其他开工准备工作及期限：</w:t>
      </w:r>
      <w:r>
        <w:rPr>
          <w:rFonts w:hint="eastAsia" w:ascii="宋体" w:hAnsi="宋体" w:eastAsia="宋体" w:cs="宋体"/>
          <w:color w:val="auto"/>
          <w:sz w:val="24"/>
          <w:highlight w:val="none"/>
          <w:u w:val="single"/>
        </w:rPr>
        <w:t>遵守政府有关主管部门对施工场地交通、施工噪音、环境保护和安全生产（包含但不限于）等的管理规定，按规定办理有关手续，并以书面形式通知发包人。</w:t>
      </w:r>
    </w:p>
    <w:p w14:paraId="634D9F8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7.3.2开工通知</w:t>
      </w:r>
    </w:p>
    <w:p w14:paraId="33EEFE9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因发包人原因造成承包人未能在计划开工日期之日起</w:t>
      </w:r>
      <w:r>
        <w:rPr>
          <w:rFonts w:hint="eastAsia" w:ascii="宋体" w:hAnsi="宋体" w:eastAsia="宋体" w:cs="宋体"/>
          <w:bCs/>
          <w:color w:val="auto"/>
          <w:sz w:val="24"/>
          <w:highlight w:val="none"/>
          <w:u w:val="single"/>
        </w:rPr>
        <w:t>另行协商</w:t>
      </w:r>
      <w:r>
        <w:rPr>
          <w:rFonts w:hint="eastAsia" w:ascii="宋体" w:hAnsi="宋体" w:eastAsia="宋体" w:cs="宋体"/>
          <w:color w:val="auto"/>
          <w:sz w:val="24"/>
          <w:highlight w:val="none"/>
        </w:rPr>
        <w:t>天内发出开工通知的，承包人有权提出价格调整要求，或者解除合同。</w:t>
      </w:r>
    </w:p>
    <w:p w14:paraId="72A92E2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 测量放线</w:t>
      </w:r>
    </w:p>
    <w:p w14:paraId="5F5BBB4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7.4.1发包人通过监理人向承包人提供测量基准点、基准线和水准点及其书面资料的期限</w:t>
      </w:r>
      <w:r>
        <w:rPr>
          <w:rFonts w:hint="eastAsia" w:ascii="宋体" w:hAnsi="宋体" w:eastAsia="宋体" w:cs="宋体"/>
          <w:color w:val="auto"/>
          <w:sz w:val="24"/>
          <w:highlight w:val="none"/>
          <w:u w:val="single"/>
        </w:rPr>
        <w:t>以书面形式交给承包人，并于开工前进行现场交验</w:t>
      </w:r>
      <w:r>
        <w:rPr>
          <w:rFonts w:hint="eastAsia" w:ascii="宋体" w:hAnsi="宋体" w:eastAsia="宋体" w:cs="宋体"/>
          <w:color w:val="auto"/>
          <w:sz w:val="24"/>
          <w:highlight w:val="none"/>
        </w:rPr>
        <w:t>。</w:t>
      </w:r>
    </w:p>
    <w:p w14:paraId="5D2D30A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 工期延误</w:t>
      </w:r>
    </w:p>
    <w:p w14:paraId="29B0023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7.5.1 因发包人原因导致工期延误</w:t>
      </w:r>
    </w:p>
    <w:p w14:paraId="6051840B">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A.因发包人未在开工前提供施工场地，提供图纸；</w:t>
      </w:r>
    </w:p>
    <w:p w14:paraId="32437D34">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B.因发包人原因造成工程延期开工、停建、缓建、暂停施工（不含勒令停工）；</w:t>
      </w:r>
    </w:p>
    <w:p w14:paraId="6226FA3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C.因发包人原因提出的单次设计变更导致工程量增加超过合同总价的8%以上的；</w:t>
      </w:r>
    </w:p>
    <w:p w14:paraId="0C5B323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D.由市级以上有关部门正式发布和认定的自然灾害。</w:t>
      </w:r>
    </w:p>
    <w:p w14:paraId="21A2D821">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7F4A2388">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因发包人原因导致工期延误，不论工期是否顺延，承包人不得向发包人主张相应的误工、窝工等费用赔偿。</w:t>
      </w:r>
    </w:p>
    <w:p w14:paraId="5A4205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7.5.2 因承包人原因导致工期延误</w:t>
      </w:r>
    </w:p>
    <w:p w14:paraId="31D70B8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因承包人原因造成工期延误，逾期竣工违约金的计算方法为：</w:t>
      </w:r>
    </w:p>
    <w:p w14:paraId="21E2073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773BCCA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 不利物质条件</w:t>
      </w:r>
    </w:p>
    <w:p w14:paraId="4C261BC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不利物质条件的其他情形和有关约定</w:t>
      </w:r>
      <w:r>
        <w:rPr>
          <w:rFonts w:hint="eastAsia" w:ascii="宋体" w:hAnsi="宋体" w:eastAsia="宋体" w:cs="宋体"/>
          <w:color w:val="auto"/>
          <w:sz w:val="24"/>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6D053CBF">
      <w:pPr>
        <w:numPr>
          <w:ilvl w:val="0"/>
          <w:numId w:val="8"/>
        </w:numPr>
        <w:snapToGrid w:val="0"/>
        <w:spacing w:line="360" w:lineRule="auto"/>
        <w:ind w:firstLine="482" w:firstLineChars="200"/>
        <w:rPr>
          <w:rFonts w:hint="eastAsia" w:ascii="宋体" w:hAnsi="宋体" w:eastAsia="宋体" w:cs="宋体"/>
          <w:color w:val="auto"/>
          <w:sz w:val="24"/>
          <w:highlight w:val="none"/>
        </w:rPr>
      </w:pPr>
      <w:bookmarkStart w:id="155" w:name="_Toc427307554"/>
      <w:r>
        <w:rPr>
          <w:rFonts w:hint="eastAsia" w:ascii="宋体" w:hAnsi="宋体" w:eastAsia="宋体" w:cs="宋体"/>
          <w:b/>
          <w:color w:val="auto"/>
          <w:sz w:val="24"/>
          <w:highlight w:val="none"/>
        </w:rPr>
        <w:t>材料与设备</w:t>
      </w:r>
      <w:bookmarkEnd w:id="155"/>
    </w:p>
    <w:bookmarkEnd w:id="136"/>
    <w:bookmarkEnd w:id="137"/>
    <w:bookmarkEnd w:id="138"/>
    <w:bookmarkEnd w:id="139"/>
    <w:bookmarkEnd w:id="140"/>
    <w:bookmarkEnd w:id="141"/>
    <w:bookmarkEnd w:id="142"/>
    <w:bookmarkEnd w:id="143"/>
    <w:bookmarkEnd w:id="144"/>
    <w:bookmarkEnd w:id="145"/>
    <w:p w14:paraId="7CF84AD8">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8.1 发包人供应材料与工程设备：</w:t>
      </w:r>
      <w:r>
        <w:rPr>
          <w:rFonts w:hint="eastAsia" w:ascii="宋体" w:hAnsi="宋体" w:eastAsia="宋体" w:cs="宋体"/>
          <w:color w:val="auto"/>
          <w:sz w:val="24"/>
          <w:highlight w:val="none"/>
          <w:u w:val="single"/>
        </w:rPr>
        <w:t>无。如有时，承包人应编制材料供应计划。合同生效后一般材料承包人应提前15天向发包人按实提交所需材料品种、数量、型号、规格、质量等级，如有误差造成的损失由承包人承担。</w:t>
      </w:r>
    </w:p>
    <w:p w14:paraId="5C5C2A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发包人供应材料设备的结算方法：</w:t>
      </w:r>
      <w:r>
        <w:rPr>
          <w:rFonts w:hint="eastAsia" w:ascii="宋体" w:hAnsi="宋体" w:eastAsia="宋体" w:cs="宋体"/>
          <w:color w:val="auto"/>
          <w:sz w:val="24"/>
          <w:highlight w:val="none"/>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56CB7F0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8.2承包人采购材料与工程设备</w:t>
      </w:r>
    </w:p>
    <w:p w14:paraId="57D51897">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251D4C0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6FFA3C9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6DF493A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5AD22DA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4C2F8AAF">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56E83BE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265009E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6799BB9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0FBE5850">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（10）材料质量必须严格按照国家规范及江苏省、南通市相应地方规范、招标文件、材料厂家的技术规范的有关要求执行。</w:t>
      </w:r>
    </w:p>
    <w:p w14:paraId="144EC15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2C5BFD0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8.4材料与工程设备的保管与使用</w:t>
      </w:r>
    </w:p>
    <w:p w14:paraId="6005AD0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8.4.1发包人供应的材料设备的保管费用的承担：</w:t>
      </w:r>
      <w:r>
        <w:rPr>
          <w:rFonts w:hint="eastAsia" w:ascii="宋体" w:hAnsi="宋体" w:eastAsia="宋体" w:cs="宋体"/>
          <w:color w:val="auto"/>
          <w:sz w:val="24"/>
          <w:highlight w:val="none"/>
          <w:u w:val="single"/>
        </w:rPr>
        <w:t xml:space="preserve">含在合同价中 </w:t>
      </w:r>
      <w:r>
        <w:rPr>
          <w:rFonts w:hint="eastAsia" w:ascii="宋体" w:hAnsi="宋体" w:eastAsia="宋体" w:cs="宋体"/>
          <w:color w:val="auto"/>
          <w:sz w:val="24"/>
          <w:highlight w:val="none"/>
        </w:rPr>
        <w:t>。</w:t>
      </w:r>
    </w:p>
    <w:p w14:paraId="54CC096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8.6 样品</w:t>
      </w:r>
    </w:p>
    <w:p w14:paraId="3291E48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样品的报送与封存</w:t>
      </w:r>
    </w:p>
    <w:p w14:paraId="21F7D6C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需要承包人报送样品的材料或工程设备，样品的种类、名称、规格、数量要求：</w:t>
      </w:r>
      <w:r>
        <w:rPr>
          <w:rFonts w:hint="eastAsia" w:ascii="宋体" w:hAnsi="宋体" w:eastAsia="宋体" w:cs="宋体"/>
          <w:color w:val="auto"/>
          <w:sz w:val="24"/>
          <w:highlight w:val="none"/>
          <w:u w:val="single"/>
        </w:rPr>
        <w:t>承包人应对所有进场材料和设备按有关规定进行严格把关，如因材料和设备出现的质量和安全事故由承包人负全责，并赔偿相应损失。</w:t>
      </w:r>
    </w:p>
    <w:p w14:paraId="3BF810D9">
      <w:pPr>
        <w:snapToGrid w:val="0"/>
        <w:spacing w:line="360" w:lineRule="auto"/>
        <w:ind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发包人和工程监理有权对承包人提供的材料和设备进行抽检，对不符合设计要求及验收规范的材料和设备，有权终止使用，发生的一切损失和费用由承包人承担。</w:t>
      </w:r>
    </w:p>
    <w:p w14:paraId="36AB2C4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它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5FCE524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8.8 施工设备和临时设施</w:t>
      </w:r>
    </w:p>
    <w:p w14:paraId="0937F16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8.8.1 承包人提供的施工设备和临时设施</w:t>
      </w:r>
    </w:p>
    <w:p w14:paraId="42357E7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关于修建临时设施费用承担的约定：</w:t>
      </w:r>
      <w:r>
        <w:rPr>
          <w:rFonts w:hint="eastAsia" w:ascii="宋体" w:hAnsi="宋体" w:eastAsia="宋体" w:cs="宋体"/>
          <w:color w:val="auto"/>
          <w:sz w:val="24"/>
          <w:highlight w:val="none"/>
          <w:u w:val="single"/>
        </w:rPr>
        <w:t>由承包人自行修建，费用已在合同价中</w:t>
      </w:r>
      <w:r>
        <w:rPr>
          <w:rFonts w:hint="eastAsia" w:ascii="宋体" w:hAnsi="宋体" w:eastAsia="宋体" w:cs="宋体"/>
          <w:color w:val="auto"/>
          <w:sz w:val="24"/>
          <w:highlight w:val="none"/>
        </w:rPr>
        <w:t>。</w:t>
      </w:r>
      <w:bookmarkStart w:id="156" w:name="_Toc304295562"/>
      <w:bookmarkStart w:id="157" w:name="_Toc318581174"/>
      <w:bookmarkStart w:id="158" w:name="_Toc297123536"/>
      <w:bookmarkStart w:id="159" w:name="_Toc297216195"/>
      <w:bookmarkStart w:id="160" w:name="_Toc303539142"/>
      <w:bookmarkStart w:id="161" w:name="_Toc312678024"/>
      <w:bookmarkStart w:id="162" w:name="_Toc300934985"/>
      <w:bookmarkStart w:id="163" w:name="_Toc312677498"/>
      <w:bookmarkStart w:id="164" w:name="_Toc297120473"/>
      <w:bookmarkStart w:id="165" w:name="_Toc297048359"/>
      <w:bookmarkStart w:id="166" w:name="_Toc296891213"/>
      <w:bookmarkStart w:id="167" w:name="_Toc292559883"/>
      <w:bookmarkStart w:id="168" w:name="_Toc296347172"/>
      <w:bookmarkStart w:id="169" w:name="_Toc296944512"/>
      <w:bookmarkStart w:id="170" w:name="_Toc296891001"/>
      <w:bookmarkStart w:id="171" w:name="_Toc267251427"/>
      <w:bookmarkStart w:id="172" w:name="_Toc267251428"/>
      <w:bookmarkStart w:id="173" w:name="_Toc292559378"/>
      <w:bookmarkStart w:id="174" w:name="_Toc296503173"/>
      <w:bookmarkStart w:id="175" w:name="_Toc296346674"/>
    </w:p>
    <w:bookmarkEnd w:id="156"/>
    <w:bookmarkEnd w:id="157"/>
    <w:bookmarkEnd w:id="158"/>
    <w:bookmarkEnd w:id="159"/>
    <w:bookmarkEnd w:id="160"/>
    <w:bookmarkEnd w:id="161"/>
    <w:bookmarkEnd w:id="162"/>
    <w:bookmarkEnd w:id="163"/>
    <w:p w14:paraId="1941B151">
      <w:pPr>
        <w:snapToGrid w:val="0"/>
        <w:spacing w:line="360" w:lineRule="auto"/>
        <w:ind w:firstLine="482" w:firstLineChars="200"/>
        <w:rPr>
          <w:rFonts w:hint="eastAsia" w:ascii="宋体" w:hAnsi="宋体" w:eastAsia="宋体" w:cs="宋体"/>
          <w:b/>
          <w:color w:val="auto"/>
          <w:sz w:val="24"/>
          <w:highlight w:val="none"/>
        </w:rPr>
      </w:pPr>
      <w:bookmarkStart w:id="176" w:name="_Toc427307556"/>
      <w:r>
        <w:rPr>
          <w:rFonts w:hint="eastAsia" w:ascii="宋体" w:hAnsi="宋体" w:eastAsia="宋体" w:cs="宋体"/>
          <w:b/>
          <w:color w:val="auto"/>
          <w:sz w:val="24"/>
          <w:highlight w:val="none"/>
        </w:rPr>
        <w:t>1</w:t>
      </w:r>
      <w:bookmarkEnd w:id="164"/>
      <w:bookmarkEnd w:id="165"/>
      <w:bookmarkEnd w:id="166"/>
      <w:bookmarkEnd w:id="167"/>
      <w:bookmarkEnd w:id="168"/>
      <w:bookmarkEnd w:id="169"/>
      <w:bookmarkEnd w:id="170"/>
      <w:bookmarkEnd w:id="171"/>
      <w:bookmarkEnd w:id="172"/>
      <w:bookmarkEnd w:id="173"/>
      <w:bookmarkEnd w:id="174"/>
      <w:bookmarkEnd w:id="175"/>
      <w:bookmarkStart w:id="177" w:name="_Toc297120493"/>
      <w:bookmarkStart w:id="178" w:name="_Toc296891233"/>
      <w:bookmarkStart w:id="179" w:name="_Toc296944532"/>
      <w:bookmarkStart w:id="180" w:name="_Toc303539146"/>
      <w:bookmarkStart w:id="181" w:name="_Toc297123540"/>
      <w:bookmarkStart w:id="182" w:name="_Toc296346694"/>
      <w:bookmarkStart w:id="183" w:name="_Toc297216199"/>
      <w:bookmarkStart w:id="184" w:name="_Toc296347192"/>
      <w:bookmarkStart w:id="185" w:name="_Toc304295566"/>
      <w:bookmarkStart w:id="186" w:name="_Toc296503193"/>
      <w:bookmarkStart w:id="187" w:name="_Toc297048379"/>
      <w:bookmarkStart w:id="188" w:name="_Toc300934989"/>
      <w:bookmarkStart w:id="189" w:name="_Toc292559903"/>
      <w:bookmarkStart w:id="190" w:name="_Toc292559398"/>
      <w:bookmarkStart w:id="191" w:name="_Toc296891021"/>
      <w:bookmarkStart w:id="192" w:name="_Toc312677499"/>
      <w:bookmarkStart w:id="193" w:name="_Toc312678025"/>
      <w:bookmarkStart w:id="194" w:name="_Toc267251435"/>
      <w:bookmarkStart w:id="195" w:name="_Toc267251437"/>
      <w:bookmarkStart w:id="196" w:name="_Toc267251440"/>
      <w:bookmarkStart w:id="197" w:name="_Toc267251441"/>
      <w:bookmarkStart w:id="198" w:name="_Toc267251439"/>
      <w:bookmarkStart w:id="199" w:name="_Toc267251442"/>
      <w:bookmarkStart w:id="200" w:name="_Toc267251433"/>
      <w:r>
        <w:rPr>
          <w:rFonts w:hint="eastAsia" w:ascii="宋体" w:hAnsi="宋体" w:eastAsia="宋体" w:cs="宋体"/>
          <w:b/>
          <w:color w:val="auto"/>
          <w:sz w:val="24"/>
          <w:highlight w:val="none"/>
        </w:rPr>
        <w:t>0. 变更</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bookmarkEnd w:id="192"/>
    <w:bookmarkEnd w:id="193"/>
    <w:p w14:paraId="083C1D3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10.1变更的范围</w:t>
      </w:r>
    </w:p>
    <w:p w14:paraId="053A521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关于变更的范围的约定：</w:t>
      </w:r>
      <w:r>
        <w:rPr>
          <w:rFonts w:hint="eastAsia" w:ascii="宋体" w:hAnsi="宋体" w:eastAsia="宋体" w:cs="宋体"/>
          <w:color w:val="auto"/>
          <w:sz w:val="24"/>
          <w:highlight w:val="none"/>
          <w:u w:val="single"/>
        </w:rPr>
        <w:t>按通用条款约定。</w:t>
      </w:r>
    </w:p>
    <w:p w14:paraId="296C77FA">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10.2变更权</w:t>
      </w:r>
    </w:p>
    <w:p w14:paraId="41438511">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5654AF72">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09DB93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10.4变更估价</w:t>
      </w:r>
    </w:p>
    <w:p w14:paraId="47AA6C0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10.4.1 变更估价原则</w:t>
      </w:r>
    </w:p>
    <w:p w14:paraId="70004A3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（1）变更合同价款按下列方式进行：</w:t>
      </w:r>
      <w:r>
        <w:rPr>
          <w:rFonts w:hint="eastAsia" w:ascii="宋体" w:hAnsi="宋体" w:eastAsia="宋体" w:cs="宋体"/>
          <w:color w:val="auto"/>
          <w:sz w:val="24"/>
          <w:highlight w:val="none"/>
          <w:u w:val="single"/>
        </w:rPr>
        <w:t>按本合同条款中第12.1相应条款执行。</w:t>
      </w:r>
    </w:p>
    <w:p w14:paraId="562B5CB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10.7 暂估价：</w:t>
      </w:r>
    </w:p>
    <w:p w14:paraId="588FEE4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201" w:name="_Toc312678035"/>
      <w:bookmarkStart w:id="202" w:name="_Toc318581177"/>
      <w:bookmarkStart w:id="203" w:name="_Toc312677509"/>
      <w:r>
        <w:rPr>
          <w:rFonts w:hint="eastAsia" w:ascii="宋体" w:hAnsi="宋体" w:eastAsia="宋体" w:cs="宋体"/>
          <w:color w:val="auto"/>
          <w:sz w:val="24"/>
          <w:highlight w:val="none"/>
        </w:rPr>
        <w:t>0.7.1 依法必须招标的暂估价项目</w:t>
      </w:r>
    </w:p>
    <w:bookmarkEnd w:id="201"/>
    <w:bookmarkEnd w:id="202"/>
    <w:bookmarkEnd w:id="203"/>
    <w:p w14:paraId="24B617C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对于依法必须招标的暂估价项目的确认和批准采取第</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种方式确定。</w:t>
      </w:r>
    </w:p>
    <w:p w14:paraId="78BB074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10.7.2 不属于依法必须招标的暂估价项目</w:t>
      </w:r>
    </w:p>
    <w:p w14:paraId="3A1334C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对于不属于依法必须招标的暂估价项目的确认和批准采取第</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种方式确定。</w:t>
      </w:r>
    </w:p>
    <w:p w14:paraId="0DDC145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第3种方式：承包人直接实施的暂估价项目</w:t>
      </w:r>
    </w:p>
    <w:p w14:paraId="4F058FAB">
      <w:pPr>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承包人直接实施的暂估价项目的约定：</w:t>
      </w:r>
      <w:r>
        <w:rPr>
          <w:rFonts w:hint="eastAsia" w:ascii="宋体" w:hAnsi="宋体" w:eastAsia="宋体" w:cs="宋体"/>
          <w:color w:val="auto"/>
          <w:sz w:val="24"/>
          <w:highlight w:val="none"/>
          <w:u w:val="single"/>
        </w:rPr>
        <w:t>按通用条款。</w:t>
      </w:r>
    </w:p>
    <w:p w14:paraId="23657E32">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工程招标时暂估价材料竣工结算办法：</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w:t>
      </w:r>
    </w:p>
    <w:p w14:paraId="07A70D4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10.8 暂列金额：</w:t>
      </w:r>
      <w:r>
        <w:rPr>
          <w:rFonts w:hint="eastAsia" w:ascii="宋体" w:hAnsi="宋体" w:eastAsia="宋体" w:cs="宋体"/>
          <w:b/>
          <w:bCs/>
          <w:color w:val="auto"/>
          <w:sz w:val="24"/>
          <w:highlight w:val="none"/>
          <w:u w:val="single"/>
        </w:rPr>
        <w:t>8000.00元</w:t>
      </w:r>
      <w:r>
        <w:rPr>
          <w:rFonts w:hint="eastAsia" w:ascii="宋体" w:hAnsi="宋体" w:eastAsia="宋体" w:cs="宋体"/>
          <w:color w:val="auto"/>
          <w:sz w:val="24"/>
          <w:highlight w:val="none"/>
        </w:rPr>
        <w:t>。</w:t>
      </w:r>
    </w:p>
    <w:p w14:paraId="2EB5DAE0">
      <w:pPr>
        <w:snapToGrid w:val="0"/>
        <w:spacing w:line="360" w:lineRule="auto"/>
        <w:ind w:firstLine="480" w:firstLineChars="200"/>
        <w:rPr>
          <w:rFonts w:hint="eastAsia" w:ascii="宋体" w:hAnsi="宋体" w:eastAsia="宋体" w:cs="宋体"/>
          <w:b/>
          <w:bCs/>
          <w:snapToGrid/>
          <w:color w:val="auto"/>
          <w:sz w:val="24"/>
          <w:highlight w:val="none"/>
          <w:u w:val="single"/>
        </w:rPr>
      </w:pPr>
      <w:r>
        <w:rPr>
          <w:rFonts w:hint="eastAsia" w:ascii="宋体" w:hAnsi="宋体" w:eastAsia="宋体" w:cs="宋体"/>
          <w:snapToGrid/>
          <w:color w:val="auto"/>
          <w:sz w:val="24"/>
          <w:highlight w:val="none"/>
        </w:rPr>
        <w:t>合同当事人关于暂列金额使用的约定：</w:t>
      </w:r>
      <w:r>
        <w:rPr>
          <w:rFonts w:hint="eastAsia" w:ascii="宋体" w:hAnsi="宋体" w:eastAsia="宋体" w:cs="宋体"/>
          <w:b/>
          <w:color w:val="auto"/>
          <w:sz w:val="24"/>
          <w:highlight w:val="none"/>
          <w:u w:val="single"/>
        </w:rPr>
        <w:t>暂列金额是发包人自行确定设立的，使用权归发包人，承包人无权使用此笔费用。此费用按实际发生经发包人签证后确定全部使用、部分使用或不使用。暂列金额不计入工程款付款的基数。</w:t>
      </w:r>
    </w:p>
    <w:p w14:paraId="119A9B0B">
      <w:pPr>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价格调整</w:t>
      </w:r>
    </w:p>
    <w:bookmarkEnd w:id="194"/>
    <w:bookmarkEnd w:id="195"/>
    <w:bookmarkEnd w:id="196"/>
    <w:bookmarkEnd w:id="197"/>
    <w:bookmarkEnd w:id="198"/>
    <w:bookmarkEnd w:id="199"/>
    <w:bookmarkEnd w:id="200"/>
    <w:p w14:paraId="733ABC6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 市场价格波动引起的调整</w:t>
      </w:r>
    </w:p>
    <w:p w14:paraId="2F5A993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市场价格波动是否调整合同价格的约定：</w:t>
      </w:r>
    </w:p>
    <w:p w14:paraId="41B52FCB">
      <w:pPr>
        <w:autoSpaceDE w:val="0"/>
        <w:autoSpaceDN w:val="0"/>
        <w:adjustRightInd w:val="0"/>
        <w:spacing w:line="360" w:lineRule="auto"/>
        <w:ind w:firstLine="482" w:firstLineChars="200"/>
        <w:rPr>
          <w:rFonts w:hint="eastAsia" w:ascii="宋体" w:hAnsi="宋体" w:eastAsia="宋体" w:cs="宋体"/>
          <w:b/>
          <w:bCs/>
          <w:snapToGrid/>
          <w:color w:val="auto"/>
          <w:sz w:val="24"/>
          <w:highlight w:val="none"/>
          <w:u w:val="single"/>
        </w:rPr>
      </w:pPr>
      <w:r>
        <w:rPr>
          <w:rFonts w:hint="eastAsia" w:ascii="宋体" w:hAnsi="宋体" w:eastAsia="宋体" w:cs="宋体"/>
          <w:b/>
          <w:bCs/>
          <w:snapToGrid/>
          <w:color w:val="auto"/>
          <w:sz w:val="24"/>
          <w:highlight w:val="none"/>
        </w:rPr>
        <w:t>（1）材料价格均不可调整，承包人在报价时已充分考虑施工期间各类建材的市场风险，竣工结算时不得调整。</w:t>
      </w:r>
    </w:p>
    <w:p w14:paraId="5EF763E6">
      <w:pPr>
        <w:autoSpaceDE w:val="0"/>
        <w:autoSpaceDN w:val="0"/>
        <w:adjustRightInd w:val="0"/>
        <w:spacing w:line="360" w:lineRule="auto"/>
        <w:ind w:firstLine="482" w:firstLineChars="200"/>
        <w:rPr>
          <w:rFonts w:hint="eastAsia" w:ascii="宋体" w:hAnsi="宋体" w:eastAsia="宋体" w:cs="宋体"/>
          <w:b/>
          <w:bCs/>
          <w:snapToGrid/>
          <w:color w:val="auto"/>
          <w:sz w:val="24"/>
          <w:highlight w:val="none"/>
        </w:rPr>
      </w:pPr>
      <w:r>
        <w:rPr>
          <w:rFonts w:hint="eastAsia" w:ascii="宋体" w:hAnsi="宋体" w:eastAsia="宋体" w:cs="宋体"/>
          <w:b/>
          <w:bCs/>
          <w:snapToGrid/>
          <w:color w:val="auto"/>
          <w:sz w:val="24"/>
          <w:highlight w:val="none"/>
        </w:rPr>
        <w:t>（2）</w:t>
      </w:r>
      <w:r>
        <w:rPr>
          <w:rFonts w:hint="eastAsia" w:ascii="宋体" w:hAnsi="宋体" w:eastAsia="宋体" w:cs="宋体"/>
          <w:b/>
          <w:bCs/>
          <w:snapToGrid/>
          <w:color w:val="auto"/>
          <w:sz w:val="24"/>
          <w:highlight w:val="none"/>
          <w:lang w:val="zh-CN"/>
        </w:rPr>
        <w:t>人工费价格不可调整，</w:t>
      </w:r>
      <w:r>
        <w:rPr>
          <w:rFonts w:hint="eastAsia" w:ascii="宋体" w:hAnsi="宋体" w:eastAsia="宋体" w:cs="宋体"/>
          <w:b/>
          <w:bCs/>
          <w:snapToGrid/>
          <w:color w:val="auto"/>
          <w:sz w:val="24"/>
          <w:highlight w:val="none"/>
        </w:rPr>
        <w:t>承包人在报价时已充分考虑施工期间的市场风险及政策性调整风险，竣工结算时不得调整</w:t>
      </w:r>
      <w:r>
        <w:rPr>
          <w:rFonts w:ascii="宋体" w:hAnsi="宋体" w:eastAsia="宋体" w:cs="宋体"/>
          <w:b/>
          <w:bCs/>
          <w:snapToGrid/>
          <w:color w:val="auto"/>
          <w:sz w:val="24"/>
          <w:highlight w:val="none"/>
        </w:rPr>
        <w:t>。</w:t>
      </w:r>
    </w:p>
    <w:p w14:paraId="53C050A3">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合同价格、计量与支付</w:t>
      </w:r>
    </w:p>
    <w:p w14:paraId="13E24E2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12.1单价合同。</w:t>
      </w:r>
    </w:p>
    <w:p w14:paraId="6BDC7525">
      <w:pPr>
        <w:autoSpaceDE w:val="0"/>
        <w:autoSpaceDN w:val="0"/>
        <w:adjustRightInd w:val="0"/>
        <w:snapToGrid w:val="0"/>
        <w:spacing w:line="360" w:lineRule="auto"/>
        <w:ind w:firstLine="480"/>
        <w:rPr>
          <w:rFonts w:hint="eastAsia" w:ascii="宋体" w:hAnsi="宋体" w:eastAsia="宋体" w:cs="宋体"/>
          <w:b/>
          <w:color w:val="auto"/>
          <w:spacing w:val="-2"/>
          <w:sz w:val="24"/>
          <w:highlight w:val="none"/>
        </w:rPr>
      </w:pPr>
      <w:r>
        <w:rPr>
          <w:rFonts w:hint="eastAsia" w:ascii="宋体" w:hAnsi="宋体" w:eastAsia="宋体" w:cs="宋体"/>
          <w:color w:val="auto"/>
          <w:sz w:val="24"/>
          <w:highlight w:val="none"/>
        </w:rPr>
        <w:t>综合单价包含的风险范围：</w:t>
      </w:r>
      <w:r>
        <w:rPr>
          <w:rFonts w:hint="eastAsia" w:ascii="宋体" w:hAnsi="宋体" w:eastAsia="宋体" w:cs="宋体"/>
          <w:b/>
          <w:color w:val="auto"/>
          <w:spacing w:val="-2"/>
          <w:sz w:val="24"/>
          <w:highlight w:val="none"/>
        </w:rPr>
        <w:t>除下述风险范围内容可调整外，其余不可调整。</w:t>
      </w:r>
    </w:p>
    <w:p w14:paraId="038703E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（1）工程量偏差；</w:t>
      </w:r>
    </w:p>
    <w:p w14:paraId="6DAC96E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（2）与招标清单项目特征描述不符；</w:t>
      </w:r>
    </w:p>
    <w:p w14:paraId="1125A5F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（3）工程量清单缺、漏项； </w:t>
      </w:r>
    </w:p>
    <w:p w14:paraId="6C5C8F0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（4）工程变更；</w:t>
      </w:r>
    </w:p>
    <w:p w14:paraId="35E7F66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（5）现场签证；</w:t>
      </w:r>
    </w:p>
    <w:p w14:paraId="1EE3C46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（6）暂列金额及暂估价；</w:t>
      </w:r>
    </w:p>
    <w:p w14:paraId="22F1684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（7）发承包人双方约定的其他调整事项。</w:t>
      </w:r>
    </w:p>
    <w:p w14:paraId="22391CC5">
      <w:pPr>
        <w:autoSpaceDE w:val="0"/>
        <w:autoSpaceDN w:val="0"/>
        <w:adjustRightInd w:val="0"/>
        <w:snapToGrid w:val="0"/>
        <w:spacing w:line="360" w:lineRule="auto"/>
        <w:ind w:firstLine="48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风险费用的计算方法：</w:t>
      </w:r>
      <w:r>
        <w:rPr>
          <w:rFonts w:hint="eastAsia" w:ascii="宋体" w:hAnsi="宋体" w:eastAsia="宋体" w:cs="宋体"/>
          <w:bCs/>
          <w:color w:val="auto"/>
          <w:sz w:val="24"/>
          <w:highlight w:val="none"/>
          <w:u w:val="single"/>
        </w:rPr>
        <w:t>承包人在磋商响应报价时已经充分考虑，竣工结算时风险范围以内不作任何调整</w:t>
      </w:r>
      <w:r>
        <w:rPr>
          <w:rFonts w:hint="eastAsia" w:ascii="宋体" w:hAnsi="宋体" w:eastAsia="宋体" w:cs="宋体"/>
          <w:b/>
          <w:bCs/>
          <w:color w:val="auto"/>
          <w:sz w:val="24"/>
          <w:highlight w:val="none"/>
          <w:u w:val="single"/>
        </w:rPr>
        <w:t>。</w:t>
      </w:r>
    </w:p>
    <w:p w14:paraId="041169E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风险范围以外合同价款调整范围及方法：</w:t>
      </w:r>
    </w:p>
    <w:p w14:paraId="2B19004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（1）因非承包人原因引起原有工程量清单项目的工程量增减，即发包人提供的工程量清单漏项或缺项，或因设计变更及发包人要求变动的按照以下的计价办法结算：</w:t>
      </w:r>
    </w:p>
    <w:p w14:paraId="792BE46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23E629FF">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B、变更引起工程量增减</w:t>
      </w:r>
    </w:p>
    <w:p w14:paraId="4FE5E8BD">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a.当变更引起工程量增减在15%以内（含15%），</w:t>
      </w:r>
      <w:r>
        <w:rPr>
          <w:rFonts w:hint="eastAsia" w:ascii="宋体" w:hAnsi="宋体" w:eastAsia="宋体" w:cs="宋体"/>
          <w:b/>
          <w:color w:val="auto"/>
          <w:sz w:val="24"/>
          <w:highlight w:val="none"/>
        </w:rPr>
        <w:t>S= N2* Q1；</w:t>
      </w:r>
    </w:p>
    <w:p w14:paraId="421E70FA">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b.工程量增加在15%以上时， </w:t>
      </w:r>
    </w:p>
    <w:p w14:paraId="24E10A41">
      <w:pPr>
        <w:snapToGrid w:val="0"/>
        <w:spacing w:line="360" w:lineRule="auto"/>
        <w:ind w:firstLine="718" w:firstLineChars="2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当Q1&lt;Q2,S= N2* Q1</w:t>
      </w:r>
    </w:p>
    <w:p w14:paraId="68531483">
      <w:pPr>
        <w:snapToGrid w:val="0"/>
        <w:spacing w:line="360" w:lineRule="auto"/>
        <w:ind w:firstLine="718" w:firstLineChars="2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当Q1&gt;Q2,S= 1.15N1*Q1+（N2-1.15N1）* Q2</w:t>
      </w:r>
    </w:p>
    <w:p w14:paraId="5646C892">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c.工程量减少在15%以上时， </w:t>
      </w:r>
    </w:p>
    <w:p w14:paraId="748960DA">
      <w:pPr>
        <w:snapToGrid w:val="0"/>
        <w:spacing w:line="360" w:lineRule="auto"/>
        <w:ind w:firstLine="836" w:firstLineChars="3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当Q1&gt;Q2，S=N2*Q1</w:t>
      </w:r>
    </w:p>
    <w:p w14:paraId="555586E7">
      <w:pPr>
        <w:snapToGrid w:val="0"/>
        <w:spacing w:line="360" w:lineRule="auto"/>
        <w:ind w:firstLine="836" w:firstLineChars="347"/>
        <w:rPr>
          <w:rFonts w:hint="eastAsia" w:ascii="宋体" w:hAnsi="宋体" w:eastAsia="宋体" w:cs="宋体"/>
          <w:color w:val="auto"/>
          <w:sz w:val="24"/>
          <w:highlight w:val="none"/>
        </w:rPr>
      </w:pPr>
      <w:r>
        <w:rPr>
          <w:rFonts w:hint="eastAsia" w:ascii="宋体" w:hAnsi="宋体" w:eastAsia="宋体" w:cs="宋体"/>
          <w:b/>
          <w:color w:val="auto"/>
          <w:sz w:val="24"/>
          <w:highlight w:val="none"/>
        </w:rPr>
        <w:t>当Q1&lt; Q2，S=N2*Q1+N2*（Q2-Q1）*30%，若该项投标价为不平衡报价的，则S= N2*Q1</w:t>
      </w:r>
    </w:p>
    <w:p w14:paraId="4D25218F">
      <w:pPr>
        <w:snapToGrid w:val="0"/>
        <w:spacing w:line="360" w:lineRule="auto"/>
        <w:ind w:firstLine="718" w:firstLineChars="298"/>
        <w:rPr>
          <w:rFonts w:hint="eastAsia" w:ascii="宋体" w:hAnsi="宋体" w:eastAsia="宋体" w:cs="宋体"/>
          <w:color w:val="auto"/>
          <w:sz w:val="24"/>
          <w:highlight w:val="none"/>
        </w:rPr>
      </w:pPr>
      <w:r>
        <w:rPr>
          <w:rFonts w:hint="eastAsia" w:ascii="宋体" w:hAnsi="宋体" w:eastAsia="宋体" w:cs="宋体"/>
          <w:b/>
          <w:color w:val="auto"/>
          <w:sz w:val="24"/>
          <w:highlight w:val="none"/>
        </w:rPr>
        <w:t>注：审定价S、标底量N1、审定量N2、投标价Q1、按上述A原则组价下浮价Q2</w:t>
      </w:r>
    </w:p>
    <w:p w14:paraId="24855C65">
      <w:pPr>
        <w:spacing w:line="360" w:lineRule="auto"/>
        <w:ind w:firstLine="480" w:firstLineChars="200"/>
        <w:rPr>
          <w:rFonts w:hint="eastAsia" w:ascii="宋体" w:hAnsi="宋体" w:eastAsia="宋体"/>
          <w:b/>
          <w:snapToGrid/>
          <w:color w:val="auto"/>
          <w:kern w:val="2"/>
          <w:sz w:val="24"/>
          <w:highlight w:val="none"/>
          <w:u w:val="single"/>
        </w:rPr>
      </w:pPr>
      <w:r>
        <w:rPr>
          <w:rFonts w:hint="eastAsia" w:ascii="宋体" w:hAnsi="宋体" w:eastAsia="宋体" w:cs="宋体"/>
          <w:color w:val="auto"/>
          <w:sz w:val="24"/>
          <w:highlight w:val="none"/>
        </w:rPr>
        <w:t>（2）</w:t>
      </w:r>
      <w:r>
        <w:rPr>
          <w:rFonts w:hint="eastAsia" w:ascii="宋体" w:hAnsi="宋体" w:eastAsia="宋体"/>
          <w:b/>
          <w:snapToGrid/>
          <w:color w:val="auto"/>
          <w:kern w:val="2"/>
          <w:sz w:val="24"/>
          <w:highlight w:val="none"/>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2B36425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（3）暂列金额及暂估价详见合同相关条款。</w:t>
      </w:r>
    </w:p>
    <w:p w14:paraId="5B9AFD0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2、总价合同。</w:t>
      </w:r>
    </w:p>
    <w:p w14:paraId="63EA136A">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总价包含的风险范围：</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5F7BED9">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风险费用的计算方法：</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C614F8B">
      <w:pPr>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风险范围以外合同价格的调整方法：</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C3550A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3、其他价格方式：</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62EEC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预付款</w:t>
      </w:r>
    </w:p>
    <w:p w14:paraId="326E39C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12.2.1 预付款的支付</w:t>
      </w:r>
    </w:p>
    <w:p w14:paraId="49AB751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预付款支付比例或金额：</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w:t>
      </w:r>
    </w:p>
    <w:p w14:paraId="51B6C49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BA1F17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预付款扣回的方式：</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EBA0733">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01B311C3">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承包人提交预付款担保的期限：</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BD1E5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预付款担保的形式为：</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B41A16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计量</w:t>
      </w:r>
    </w:p>
    <w:p w14:paraId="4FDB082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12.3.1 计量原则</w:t>
      </w:r>
    </w:p>
    <w:p w14:paraId="20D47824">
      <w:pPr>
        <w:autoSpaceDE w:val="0"/>
        <w:autoSpaceDN w:val="0"/>
        <w:adjustRightInd w:val="0"/>
        <w:snapToGrid w:val="0"/>
        <w:spacing w:line="360" w:lineRule="auto"/>
        <w:ind w:firstLine="480" w:firstLineChars="200"/>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工程量计算规则：</w:t>
      </w:r>
      <w:r>
        <w:rPr>
          <w:rFonts w:hint="eastAsia" w:ascii="宋体" w:hAnsi="宋体" w:eastAsia="宋体" w:cs="宋体"/>
          <w:bCs/>
          <w:color w:val="auto"/>
          <w:sz w:val="24"/>
          <w:highlight w:val="none"/>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1211CADB">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12.3.2 计量周期</w:t>
      </w:r>
    </w:p>
    <w:p w14:paraId="4F9FFBD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关于计量周期的约定：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w:t>
      </w:r>
    </w:p>
    <w:p w14:paraId="478E31F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12.3.3 单价合同的计量  </w:t>
      </w:r>
    </w:p>
    <w:p w14:paraId="3520958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关于单价合同计量的约定：</w:t>
      </w:r>
      <w:r>
        <w:rPr>
          <w:rFonts w:hint="eastAsia" w:ascii="宋体" w:hAnsi="宋体" w:eastAsia="宋体" w:cs="宋体"/>
          <w:bCs/>
          <w:color w:val="auto"/>
          <w:sz w:val="24"/>
          <w:highlight w:val="none"/>
          <w:u w:val="single"/>
        </w:rPr>
        <w:t>竣工结算的工程量按发承包双方在合同中约定应予计量且实际完成的工程量确定，完成发包人要求的合同以外的零星工作或发生非承包人责任事件的工程量按现场签证确定。</w:t>
      </w:r>
    </w:p>
    <w:p w14:paraId="3E15DF2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 工程进度款支付</w:t>
      </w:r>
    </w:p>
    <w:p w14:paraId="681E6CA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12.4.1 付款周期</w:t>
      </w:r>
    </w:p>
    <w:p w14:paraId="723A1C5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关于付款周期的约定</w:t>
      </w:r>
    </w:p>
    <w:p w14:paraId="3A5D9310">
      <w:pPr>
        <w:snapToGrid w:val="0"/>
        <w:spacing w:line="360" w:lineRule="auto"/>
        <w:ind w:firstLine="480" w:firstLineChars="200"/>
        <w:rPr>
          <w:rFonts w:hint="eastAsia" w:ascii="宋体" w:hAnsi="宋体" w:eastAsia="宋体" w:cs="宋体"/>
          <w:bCs/>
          <w:color w:val="auto"/>
          <w:sz w:val="24"/>
          <w:highlight w:val="none"/>
        </w:rPr>
      </w:pPr>
      <w:bookmarkStart w:id="204" w:name="OLE_LINK5"/>
      <w:r>
        <w:rPr>
          <w:rFonts w:hint="eastAsia" w:ascii="宋体" w:hAnsi="宋体" w:eastAsia="宋体" w:cs="宋体"/>
          <w:bCs/>
          <w:color w:val="auto"/>
          <w:sz w:val="24"/>
          <w:highlight w:val="none"/>
        </w:rPr>
        <w:t>(1)</w:t>
      </w:r>
      <w:bookmarkEnd w:id="204"/>
      <w:r>
        <w:rPr>
          <w:rFonts w:hint="eastAsia" w:ascii="宋体" w:hAnsi="宋体" w:eastAsia="宋体" w:cs="宋体"/>
          <w:bCs/>
          <w:color w:val="auto"/>
          <w:sz w:val="24"/>
          <w:highlight w:val="none"/>
        </w:rPr>
        <w:t>本项目履约保证金为合同总价的10%，承包人须在合同签订前缴纳，验收合格后无息返还。</w:t>
      </w:r>
    </w:p>
    <w:p w14:paraId="32DFB0D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合同签订生效后、材料及设备进场且经采购人确认后支付合同价（扣除暂列金）的30%；工程竣工验收合格并经审计结束后(收到审计报告及成交供应商正式合法有效税务发票)付至审定价的97%；余款3%作为质量保修金，质保期满3年且无质量问题并经甲方书面确认后15日内无息返还。</w:t>
      </w:r>
    </w:p>
    <w:p w14:paraId="4A9014C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color w:val="auto"/>
          <w:kern w:val="2"/>
          <w:sz w:val="24"/>
          <w:highlight w:val="none"/>
        </w:rPr>
        <w:t>核减额=初审核减额+终审核减额。</w:t>
      </w:r>
    </w:p>
    <w:p w14:paraId="1478F22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snapToGrid/>
          <w:color w:val="auto"/>
          <w:sz w:val="24"/>
          <w:highlight w:val="none"/>
        </w:rPr>
        <w:t>(4)</w:t>
      </w:r>
      <w:r>
        <w:rPr>
          <w:rFonts w:hint="eastAsia" w:ascii="宋体" w:hAnsi="宋体" w:eastAsia="宋体" w:cs="宋体"/>
          <w:bCs/>
          <w:color w:val="auto"/>
          <w:sz w:val="24"/>
          <w:highlight w:val="none"/>
        </w:rPr>
        <w:t>所有款项由采购人按相关财务支付规定办理支付手续，不得故意拖延支付时间。</w:t>
      </w:r>
    </w:p>
    <w:p w14:paraId="7EED906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7ACAF838">
      <w:pPr>
        <w:snapToGrid w:val="0"/>
        <w:spacing w:line="360" w:lineRule="auto"/>
        <w:ind w:firstLine="480" w:firstLineChars="200"/>
        <w:rPr>
          <w:rFonts w:hint="eastAsia" w:ascii="宋体" w:hAnsi="宋体" w:eastAsia="宋体" w:cs="宋体"/>
          <w:bCs/>
          <w:color w:val="auto"/>
          <w:sz w:val="24"/>
          <w:highlight w:val="none"/>
          <w:u w:val="single"/>
        </w:rPr>
      </w:pPr>
      <w:bookmarkStart w:id="205" w:name="OLE_LINK6"/>
      <w:r>
        <w:rPr>
          <w:rFonts w:hint="eastAsia" w:ascii="宋体" w:hAnsi="宋体" w:eastAsia="宋体" w:cs="宋体"/>
          <w:bCs/>
          <w:color w:val="auto"/>
          <w:sz w:val="24"/>
          <w:highlight w:val="none"/>
        </w:rPr>
        <w:t>①</w:t>
      </w:r>
      <w:bookmarkEnd w:id="205"/>
      <w:r>
        <w:rPr>
          <w:rFonts w:hint="eastAsia" w:ascii="宋体" w:hAnsi="宋体" w:eastAsia="宋体" w:cs="宋体"/>
          <w:bCs/>
          <w:color w:val="auto"/>
          <w:sz w:val="24"/>
          <w:highlight w:val="none"/>
        </w:rPr>
        <w:t>履</w:t>
      </w:r>
      <w:r>
        <w:rPr>
          <w:rFonts w:hint="eastAsia" w:ascii="宋体" w:hAnsi="宋体" w:eastAsia="宋体" w:cs="宋体"/>
          <w:bCs/>
          <w:color w:val="auto"/>
          <w:sz w:val="24"/>
          <w:highlight w:val="none"/>
          <w:u w:val="single"/>
        </w:rPr>
        <w:t>约保证金在工程竣工验收合格后退还（无息）。承包人不得因工程造价低，造成质量、停工等问题，如有发生，该保证金不退。</w:t>
      </w:r>
    </w:p>
    <w:p w14:paraId="57A16CF6">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②承包人不得因拖欠材料商、分包商等工程款而影响工程进度和质量，否则承包人除承担违约责任外，还需承担发包人对其罚款，金额为拖欠款的 20%。</w:t>
      </w:r>
    </w:p>
    <w:p w14:paraId="66DDF381">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③发包人有权直接扣除按合同规定对承包人的各项违约金，并以工程联系单或罚款单的形式发放给承包人。</w:t>
      </w:r>
    </w:p>
    <w:p w14:paraId="6BD38968">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④所有工程付款必须经总监理工程师和发包方项目负责人签发付款证书后发包人才予以支付。</w:t>
      </w:r>
    </w:p>
    <w:p w14:paraId="2D4B4A0D">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⑤实际完成工作量小于合同价时，以实际工作量为付款基数。</w:t>
      </w:r>
    </w:p>
    <w:p w14:paraId="3C64A486">
      <w:pPr>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⑥本工程以发包方指定的审价单位的审计结果作为工程款结算和支付依据，如相关政府部门或审计部门在检查或审计过程中发现审价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7C086D5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12.4.2 进度付款申请单的编制</w:t>
      </w:r>
    </w:p>
    <w:p w14:paraId="6A567E96">
      <w:pPr>
        <w:snapToGrid w:val="0"/>
        <w:spacing w:line="360" w:lineRule="auto"/>
        <w:ind w:firstLine="46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关于进度付款申请单编制的约定：</w:t>
      </w:r>
      <w:r>
        <w:rPr>
          <w:rFonts w:hint="eastAsia" w:ascii="宋体" w:hAnsi="宋体" w:eastAsia="宋体" w:cs="宋体"/>
          <w:bCs/>
          <w:color w:val="auto"/>
          <w:sz w:val="24"/>
          <w:highlight w:val="none"/>
          <w:u w:val="single"/>
        </w:rPr>
        <w:t>/</w:t>
      </w:r>
    </w:p>
    <w:p w14:paraId="1343295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12.4.2 进度付款申请单的编制</w:t>
      </w:r>
    </w:p>
    <w:p w14:paraId="1294E6B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关于进度付款申请单编制的约定：</w:t>
      </w:r>
      <w:r>
        <w:rPr>
          <w:rFonts w:hint="eastAsia" w:ascii="宋体" w:hAnsi="宋体" w:eastAsia="宋体" w:cs="宋体"/>
          <w:bCs/>
          <w:color w:val="auto"/>
          <w:sz w:val="24"/>
          <w:highlight w:val="none"/>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7562B4BE">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验收和工程试车</w:t>
      </w:r>
    </w:p>
    <w:p w14:paraId="66BCCFD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13.1 分部分项工程验收</w:t>
      </w:r>
    </w:p>
    <w:p w14:paraId="747D42E3">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13.1.2监理人不能按时进行验收时，应提前</w:t>
      </w:r>
      <w:r>
        <w:rPr>
          <w:rFonts w:hint="eastAsia" w:ascii="宋体" w:hAnsi="宋体" w:eastAsia="宋体" w:cs="宋体"/>
          <w:bCs/>
          <w:color w:val="auto"/>
          <w:sz w:val="24"/>
          <w:highlight w:val="none"/>
          <w:u w:val="single"/>
        </w:rPr>
        <w:t xml:space="preserve"> 12 </w:t>
      </w:r>
      <w:r>
        <w:rPr>
          <w:rFonts w:hint="eastAsia" w:ascii="宋体" w:hAnsi="宋体" w:eastAsia="宋体" w:cs="宋体"/>
          <w:bCs/>
          <w:color w:val="auto"/>
          <w:sz w:val="24"/>
          <w:highlight w:val="none"/>
        </w:rPr>
        <w:t>小时提交书面延期要求。</w:t>
      </w:r>
    </w:p>
    <w:p w14:paraId="047C06FD">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关于延期最长不得超过：</w:t>
      </w:r>
      <w:r>
        <w:rPr>
          <w:rFonts w:hint="eastAsia" w:ascii="宋体" w:hAnsi="宋体" w:eastAsia="宋体" w:cs="宋体"/>
          <w:bCs/>
          <w:color w:val="auto"/>
          <w:sz w:val="24"/>
          <w:highlight w:val="none"/>
          <w:u w:val="single"/>
        </w:rPr>
        <w:t xml:space="preserve">24 </w:t>
      </w:r>
      <w:r>
        <w:rPr>
          <w:rFonts w:hint="eastAsia" w:ascii="宋体" w:hAnsi="宋体" w:eastAsia="宋体" w:cs="宋体"/>
          <w:bCs/>
          <w:color w:val="auto"/>
          <w:sz w:val="24"/>
          <w:highlight w:val="none"/>
        </w:rPr>
        <w:t>小时。</w:t>
      </w:r>
    </w:p>
    <w:p w14:paraId="2524C99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13.2 竣工验收</w:t>
      </w:r>
    </w:p>
    <w:p w14:paraId="0F5669B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13.2.2竣工验收程序</w:t>
      </w:r>
    </w:p>
    <w:p w14:paraId="0123673C">
      <w:pPr>
        <w:snapToGrid w:val="0"/>
        <w:spacing w:line="360" w:lineRule="auto"/>
        <w:ind w:left="4799" w:leftChars="228" w:hanging="4320" w:hangingChars="18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关于竣工验收程序的约定：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463C07A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发包人不按照本项约定组织竣工验收、颁发工程接收证书的违约金的计算方法：</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07FEFEA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13.2.5移交、接收全部与部分工程</w:t>
      </w:r>
    </w:p>
    <w:p w14:paraId="5C7CB95D">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承包人向发包人移交工程的期限：</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37E01D6C">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发包人未按本合同约定接收全部或部分工程的，违约金的计算方法为：</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2BD57CA5">
      <w:pPr>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承包人未按时移交工程的，违约金的计算方法为：</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381B999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13.6 竣工退场</w:t>
      </w:r>
    </w:p>
    <w:p w14:paraId="15DEF81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13.6.1 竣工退场</w:t>
      </w:r>
    </w:p>
    <w:p w14:paraId="25DF53FB">
      <w:pPr>
        <w:snapToGrid w:val="0"/>
        <w:spacing w:line="360" w:lineRule="auto"/>
        <w:ind w:firstLine="46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承包人完成竣工退场的期限：</w:t>
      </w:r>
      <w:r>
        <w:rPr>
          <w:rFonts w:hint="eastAsia" w:ascii="宋体" w:hAnsi="宋体" w:eastAsia="宋体" w:cs="宋体"/>
          <w:bCs/>
          <w:color w:val="auto"/>
          <w:sz w:val="24"/>
          <w:highlight w:val="none"/>
          <w:u w:val="single"/>
          <w:lang w:eastAsia="zh-TW"/>
        </w:rPr>
        <w:t>承包人在竣工验收合格后七天内拆除现场所有临时设施，包括所有的机械设备、</w:t>
      </w:r>
      <w:r>
        <w:rPr>
          <w:rFonts w:hint="eastAsia" w:ascii="宋体" w:hAnsi="宋体" w:eastAsia="宋体" w:cs="宋体"/>
          <w:bCs/>
          <w:color w:val="auto"/>
          <w:sz w:val="24"/>
          <w:highlight w:val="none"/>
          <w:u w:val="single"/>
        </w:rPr>
        <w:t>剩余</w:t>
      </w:r>
      <w:r>
        <w:rPr>
          <w:rFonts w:hint="eastAsia" w:ascii="宋体" w:hAnsi="宋体" w:eastAsia="宋体" w:cs="宋体"/>
          <w:bCs/>
          <w:color w:val="auto"/>
          <w:sz w:val="24"/>
          <w:highlight w:val="none"/>
          <w:u w:val="single"/>
          <w:lang w:eastAsia="zh-TW"/>
        </w:rPr>
        <w:t>材料、建筑垃圾全部清运出现场，清理标准应征得发包人认可。否则如发生相关费用由发包人</w:t>
      </w:r>
      <w:r>
        <w:rPr>
          <w:rFonts w:hint="eastAsia" w:ascii="宋体" w:hAnsi="宋体" w:eastAsia="宋体" w:cs="宋体"/>
          <w:bCs/>
          <w:color w:val="auto"/>
          <w:sz w:val="24"/>
          <w:highlight w:val="none"/>
          <w:u w:val="single"/>
        </w:rPr>
        <w:t>按实际发生费用的2倍及以上在工程结算价款中扣除</w:t>
      </w:r>
      <w:r>
        <w:rPr>
          <w:rFonts w:hint="eastAsia" w:ascii="宋体" w:hAnsi="宋体" w:eastAsia="宋体" w:cs="宋体"/>
          <w:bCs/>
          <w:color w:val="auto"/>
          <w:sz w:val="24"/>
          <w:highlight w:val="none"/>
          <w:u w:val="single"/>
          <w:lang w:eastAsia="zh-TW"/>
        </w:rPr>
        <w:t>。</w:t>
      </w:r>
    </w:p>
    <w:p w14:paraId="03A599AE">
      <w:pPr>
        <w:snapToGrid w:val="0"/>
        <w:spacing w:line="360" w:lineRule="auto"/>
        <w:ind w:firstLine="46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竣工日期以验收合格当日的竣工验收报告日期为准，工程竣工验收人员全部撤离现场后仍然有配合监理和审计工作的义务，并能及时处理现场事务。</w:t>
      </w:r>
    </w:p>
    <w:p w14:paraId="0305655B">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竣工结算</w:t>
      </w:r>
    </w:p>
    <w:p w14:paraId="010E0FE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14.1 竣工付款申请</w:t>
      </w:r>
    </w:p>
    <w:p w14:paraId="1385D5F6">
      <w:pPr>
        <w:snapToGrid w:val="0"/>
        <w:spacing w:line="360" w:lineRule="auto"/>
        <w:ind w:firstLine="460"/>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color w:val="auto"/>
          <w:sz w:val="24"/>
          <w:highlight w:val="none"/>
          <w:lang w:bidi="ar"/>
        </w:rPr>
        <w:t xml:space="preserve"> </w:t>
      </w:r>
    </w:p>
    <w:p w14:paraId="106E073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14.2 竣工结算审核</w:t>
      </w:r>
    </w:p>
    <w:p w14:paraId="6816BEC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发包人审批竣工付款申请单的期限：</w:t>
      </w:r>
      <w:r>
        <w:rPr>
          <w:rFonts w:hint="eastAsia" w:ascii="宋体" w:hAnsi="宋体" w:eastAsia="宋体" w:cs="宋体"/>
          <w:bCs/>
          <w:color w:val="auto"/>
          <w:sz w:val="24"/>
          <w:highlight w:val="none"/>
          <w:u w:val="single"/>
        </w:rPr>
        <w:t xml:space="preserve"> 审计结束后30天内　</w:t>
      </w:r>
      <w:r>
        <w:rPr>
          <w:rFonts w:hint="eastAsia" w:ascii="宋体" w:hAnsi="宋体" w:eastAsia="宋体" w:cs="宋体"/>
          <w:bCs/>
          <w:color w:val="auto"/>
          <w:sz w:val="24"/>
          <w:highlight w:val="none"/>
        </w:rPr>
        <w:t>。</w:t>
      </w:r>
    </w:p>
    <w:p w14:paraId="4BA25588">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发包人完成竣工付款的期限：</w:t>
      </w:r>
      <w:r>
        <w:rPr>
          <w:rFonts w:hint="eastAsia" w:ascii="宋体" w:hAnsi="宋体" w:eastAsia="宋体" w:cs="宋体"/>
          <w:bCs/>
          <w:color w:val="auto"/>
          <w:sz w:val="24"/>
          <w:highlight w:val="none"/>
          <w:u w:val="single"/>
        </w:rPr>
        <w:t>发包人在签发竣工付款证书后30天内。</w:t>
      </w:r>
    </w:p>
    <w:p w14:paraId="2DB82204">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关于竣工付款证书异议部分复核的方式和程序：</w:t>
      </w:r>
      <w:r>
        <w:rPr>
          <w:rFonts w:hint="eastAsia" w:ascii="宋体" w:hAnsi="宋体" w:eastAsia="宋体" w:cs="宋体"/>
          <w:bCs/>
          <w:color w:val="auto"/>
          <w:sz w:val="24"/>
          <w:highlight w:val="none"/>
          <w:u w:val="single"/>
        </w:rPr>
        <w:t>由双方协商</w:t>
      </w:r>
      <w:r>
        <w:rPr>
          <w:rFonts w:hint="eastAsia" w:ascii="宋体" w:hAnsi="宋体" w:eastAsia="宋体" w:cs="宋体"/>
          <w:bCs/>
          <w:color w:val="auto"/>
          <w:sz w:val="24"/>
          <w:highlight w:val="none"/>
        </w:rPr>
        <w:t>。</w:t>
      </w:r>
    </w:p>
    <w:p w14:paraId="0BFDC49B">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 最终结清</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216C16E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14.4.1 最终结清申请单</w:t>
      </w:r>
    </w:p>
    <w:p w14:paraId="4AB8207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承包人提交最终结清申请单的份数：</w:t>
      </w:r>
      <w:r>
        <w:rPr>
          <w:rFonts w:hint="eastAsia" w:ascii="宋体" w:hAnsi="宋体" w:eastAsia="宋体" w:cs="宋体"/>
          <w:bCs/>
          <w:color w:val="auto"/>
          <w:sz w:val="24"/>
          <w:highlight w:val="none"/>
          <w:u w:val="single"/>
        </w:rPr>
        <w:t>按发包人最终要求</w:t>
      </w:r>
      <w:r>
        <w:rPr>
          <w:rFonts w:hint="eastAsia" w:ascii="宋体" w:hAnsi="宋体" w:eastAsia="宋体" w:cs="宋体"/>
          <w:bCs/>
          <w:color w:val="auto"/>
          <w:sz w:val="24"/>
          <w:highlight w:val="none"/>
        </w:rPr>
        <w:t>。</w:t>
      </w:r>
    </w:p>
    <w:p w14:paraId="14C17E8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承包人提交最终结算申请单的期限：</w:t>
      </w:r>
      <w:r>
        <w:rPr>
          <w:rFonts w:hint="eastAsia" w:ascii="宋体" w:hAnsi="宋体" w:eastAsia="宋体" w:cs="宋体"/>
          <w:bCs/>
          <w:color w:val="auto"/>
          <w:sz w:val="24"/>
          <w:highlight w:val="none"/>
          <w:u w:val="single"/>
        </w:rPr>
        <w:t>按通用条款</w:t>
      </w:r>
      <w:r>
        <w:rPr>
          <w:rFonts w:hint="eastAsia" w:ascii="宋体" w:hAnsi="宋体" w:eastAsia="宋体" w:cs="宋体"/>
          <w:bCs/>
          <w:color w:val="auto"/>
          <w:sz w:val="24"/>
          <w:highlight w:val="none"/>
        </w:rPr>
        <w:t xml:space="preserve">。 </w:t>
      </w:r>
    </w:p>
    <w:p w14:paraId="5E207F2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14.4.2 最终结清证书和支付</w:t>
      </w:r>
    </w:p>
    <w:p w14:paraId="1FB9C64B">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（1）发包人完成最终结清申请单的审批并颁发最终结清证书的期限：</w:t>
      </w:r>
      <w:r>
        <w:rPr>
          <w:rFonts w:hint="eastAsia" w:ascii="宋体" w:hAnsi="宋体" w:eastAsia="宋体" w:cs="宋体"/>
          <w:bCs/>
          <w:color w:val="auto"/>
          <w:sz w:val="24"/>
          <w:highlight w:val="none"/>
          <w:u w:val="single"/>
        </w:rPr>
        <w:t xml:space="preserve"> 收到承包人 </w:t>
      </w:r>
    </w:p>
    <w:p w14:paraId="34F8F2A7">
      <w:pPr>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提交的最终结清申请单后 30 天内　</w:t>
      </w:r>
      <w:r>
        <w:rPr>
          <w:rFonts w:hint="eastAsia" w:ascii="宋体" w:hAnsi="宋体" w:eastAsia="宋体" w:cs="宋体"/>
          <w:bCs/>
          <w:color w:val="auto"/>
          <w:sz w:val="24"/>
          <w:highlight w:val="none"/>
        </w:rPr>
        <w:t xml:space="preserve"> 。</w:t>
      </w:r>
    </w:p>
    <w:p w14:paraId="4D81CE7A">
      <w:pPr>
        <w:widowControl/>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（2）发包人完成支付的期限：</w:t>
      </w:r>
      <w:r>
        <w:rPr>
          <w:rFonts w:hint="eastAsia" w:ascii="宋体" w:hAnsi="宋体" w:eastAsia="宋体" w:cs="宋体"/>
          <w:bCs/>
          <w:color w:val="auto"/>
          <w:sz w:val="24"/>
          <w:highlight w:val="none"/>
          <w:u w:val="single"/>
        </w:rPr>
        <w:t xml:space="preserve"> 颁发最终结清证书后 30 天内　</w:t>
      </w:r>
      <w:r>
        <w:rPr>
          <w:rFonts w:hint="eastAsia" w:ascii="宋体" w:hAnsi="宋体" w:eastAsia="宋体" w:cs="宋体"/>
          <w:bCs/>
          <w:color w:val="auto"/>
          <w:sz w:val="24"/>
          <w:highlight w:val="none"/>
        </w:rPr>
        <w:t>。</w:t>
      </w:r>
    </w:p>
    <w:p w14:paraId="07DB080C">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缺陷责任期与保修</w:t>
      </w:r>
    </w:p>
    <w:p w14:paraId="78D0732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15.2缺陷责任期</w:t>
      </w:r>
    </w:p>
    <w:p w14:paraId="6FDE5AE2">
      <w:pPr>
        <w:widowControl/>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缺陷责任期的具体期限：</w:t>
      </w:r>
      <w:r>
        <w:rPr>
          <w:rFonts w:hint="eastAsia" w:ascii="宋体" w:hAnsi="宋体" w:eastAsia="宋体" w:cs="宋体"/>
          <w:bCs/>
          <w:color w:val="auto"/>
          <w:sz w:val="24"/>
          <w:highlight w:val="none"/>
          <w:u w:val="single"/>
        </w:rPr>
        <w:t xml:space="preserve"> 详见质量保修书</w:t>
      </w:r>
      <w:r>
        <w:rPr>
          <w:rFonts w:hint="eastAsia" w:ascii="宋体" w:hAnsi="宋体" w:eastAsia="宋体" w:cs="宋体"/>
          <w:bCs/>
          <w:color w:val="auto"/>
          <w:sz w:val="24"/>
          <w:highlight w:val="none"/>
        </w:rPr>
        <w:t xml:space="preserve"> 。</w:t>
      </w:r>
    </w:p>
    <w:p w14:paraId="4051877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15.3 质量保修金</w:t>
      </w:r>
    </w:p>
    <w:p w14:paraId="12C6A15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关于是否扣留质量保修金的约定：</w:t>
      </w:r>
      <w:r>
        <w:rPr>
          <w:rFonts w:hint="eastAsia" w:ascii="宋体" w:hAnsi="宋体" w:eastAsia="宋体" w:cs="宋体"/>
          <w:bCs/>
          <w:color w:val="auto"/>
          <w:sz w:val="24"/>
          <w:highlight w:val="none"/>
          <w:u w:val="single"/>
        </w:rPr>
        <w:t>扣留</w:t>
      </w:r>
      <w:r>
        <w:rPr>
          <w:rFonts w:hint="eastAsia" w:ascii="宋体" w:hAnsi="宋体" w:eastAsia="宋体" w:cs="宋体"/>
          <w:bCs/>
          <w:color w:val="auto"/>
          <w:sz w:val="24"/>
          <w:highlight w:val="none"/>
        </w:rPr>
        <w:t>。</w:t>
      </w:r>
    </w:p>
    <w:p w14:paraId="692880E3">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15.3.1 承包人提供质量保修金的方式</w:t>
      </w:r>
    </w:p>
    <w:p w14:paraId="51E56F16">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质量保修金采用以下第</w:t>
      </w:r>
      <w:r>
        <w:rPr>
          <w:rFonts w:hint="eastAsia" w:ascii="宋体" w:hAnsi="宋体" w:eastAsia="宋体" w:cs="宋体"/>
          <w:bCs/>
          <w:color w:val="auto"/>
          <w:sz w:val="24"/>
          <w:highlight w:val="none"/>
          <w:u w:val="single"/>
        </w:rPr>
        <w:t>（2）</w:t>
      </w:r>
      <w:r>
        <w:rPr>
          <w:rFonts w:hint="eastAsia" w:ascii="宋体" w:hAnsi="宋体" w:eastAsia="宋体" w:cs="宋体"/>
          <w:bCs/>
          <w:color w:val="auto"/>
          <w:sz w:val="24"/>
          <w:highlight w:val="none"/>
        </w:rPr>
        <w:t>种方式：</w:t>
      </w:r>
    </w:p>
    <w:p w14:paraId="69E38B09">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（1）质量保修金保函，保证金额为：</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 xml:space="preserve">； </w:t>
      </w:r>
    </w:p>
    <w:p w14:paraId="5959D5A0">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
          <w:color w:val="auto"/>
          <w:sz w:val="24"/>
          <w:highlight w:val="none"/>
          <w:u w:val="single"/>
        </w:rPr>
        <w:t xml:space="preserve"> 3</w:t>
      </w:r>
      <w:r>
        <w:rPr>
          <w:rFonts w:hint="eastAsia" w:ascii="宋体" w:hAnsi="宋体" w:eastAsia="宋体" w:cs="宋体"/>
          <w:b/>
          <w:color w:val="auto"/>
          <w:sz w:val="24"/>
          <w:highlight w:val="none"/>
        </w:rPr>
        <w:t>%</w:t>
      </w:r>
      <w:r>
        <w:rPr>
          <w:rFonts w:hint="eastAsia" w:ascii="宋体" w:hAnsi="宋体" w:eastAsia="宋体" w:cs="宋体"/>
          <w:bCs/>
          <w:color w:val="auto"/>
          <w:sz w:val="24"/>
          <w:highlight w:val="none"/>
        </w:rPr>
        <w:t>的工程总价（审计后）；</w:t>
      </w:r>
    </w:p>
    <w:p w14:paraId="6665308B">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（3）其他方式:</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53042108">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15.3.2 质量保修金的扣留 </w:t>
      </w:r>
    </w:p>
    <w:p w14:paraId="6074164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质量保修金的扣留采取以下第</w:t>
      </w:r>
      <w:r>
        <w:rPr>
          <w:rFonts w:hint="eastAsia" w:ascii="宋体" w:hAnsi="宋体" w:eastAsia="宋体" w:cs="宋体"/>
          <w:bCs/>
          <w:color w:val="auto"/>
          <w:sz w:val="24"/>
          <w:highlight w:val="none"/>
          <w:u w:val="single"/>
        </w:rPr>
        <w:t>（2）</w:t>
      </w:r>
      <w:r>
        <w:rPr>
          <w:rFonts w:hint="eastAsia" w:ascii="宋体" w:hAnsi="宋体" w:eastAsia="宋体" w:cs="宋体"/>
          <w:bCs/>
          <w:color w:val="auto"/>
          <w:sz w:val="24"/>
          <w:highlight w:val="none"/>
        </w:rPr>
        <w:t>种方式：</w:t>
      </w:r>
    </w:p>
    <w:p w14:paraId="6086C076">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（1）在支付工程进度款时逐次扣留，在此情形下，质量保修金的计算基数不包括预付款的支付、扣回以及价格调整的金额；</w:t>
      </w:r>
    </w:p>
    <w:p w14:paraId="2C924A95">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（2）工程竣工结算时一次性扣留质量保修金；</w:t>
      </w:r>
    </w:p>
    <w:p w14:paraId="0343F632">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（3）其他扣留方式:</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61489B4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关于质量保修金的补充约定：</w:t>
      </w:r>
      <w:r>
        <w:rPr>
          <w:rFonts w:hint="eastAsia" w:ascii="宋体" w:hAnsi="宋体" w:eastAsia="宋体" w:cs="宋体"/>
          <w:bCs/>
          <w:color w:val="auto"/>
          <w:sz w:val="24"/>
          <w:highlight w:val="none"/>
          <w:u w:val="single"/>
        </w:rPr>
        <w:t xml:space="preserve">待保修期满无质量问题后无息返还 </w:t>
      </w:r>
      <w:r>
        <w:rPr>
          <w:rFonts w:hint="eastAsia" w:ascii="宋体" w:hAnsi="宋体" w:eastAsia="宋体" w:cs="宋体"/>
          <w:bCs/>
          <w:color w:val="auto"/>
          <w:sz w:val="24"/>
          <w:highlight w:val="none"/>
        </w:rPr>
        <w:t>。</w:t>
      </w:r>
    </w:p>
    <w:p w14:paraId="3978E435">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15.4保修</w:t>
      </w:r>
    </w:p>
    <w:p w14:paraId="6DD79CB1">
      <w:pPr>
        <w:snapToGrid w:val="0"/>
        <w:spacing w:line="360" w:lineRule="auto"/>
        <w:ind w:firstLine="468" w:firstLineChars="19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15.4.1 保修责任</w:t>
      </w:r>
    </w:p>
    <w:p w14:paraId="03A33188">
      <w:pPr>
        <w:snapToGrid w:val="0"/>
        <w:spacing w:line="360" w:lineRule="auto"/>
        <w:ind w:firstLine="600" w:firstLineChars="25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工程保修期为：</w:t>
      </w:r>
      <w:r>
        <w:rPr>
          <w:rFonts w:hint="eastAsia" w:ascii="宋体" w:hAnsi="宋体" w:eastAsia="宋体" w:cs="宋体"/>
          <w:bCs/>
          <w:color w:val="auto"/>
          <w:sz w:val="24"/>
          <w:highlight w:val="none"/>
          <w:u w:val="single"/>
        </w:rPr>
        <w:t xml:space="preserve">见工程质量保修书 </w:t>
      </w:r>
      <w:r>
        <w:rPr>
          <w:rFonts w:hint="eastAsia" w:ascii="宋体" w:hAnsi="宋体" w:eastAsia="宋体" w:cs="宋体"/>
          <w:bCs/>
          <w:color w:val="auto"/>
          <w:sz w:val="24"/>
          <w:highlight w:val="none"/>
        </w:rPr>
        <w:t>。</w:t>
      </w:r>
    </w:p>
    <w:p w14:paraId="26AFF25E">
      <w:pPr>
        <w:snapToGrid w:val="0"/>
        <w:spacing w:line="360" w:lineRule="auto"/>
        <w:ind w:firstLine="468" w:firstLineChars="19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15.4.3 修复通知</w:t>
      </w:r>
    </w:p>
    <w:p w14:paraId="46F1D05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承包人收到保修通知并到达工程现场的合理时间：</w:t>
      </w:r>
      <w:r>
        <w:rPr>
          <w:rFonts w:hint="eastAsia" w:ascii="宋体" w:hAnsi="宋体" w:eastAsia="宋体" w:cs="宋体"/>
          <w:bCs/>
          <w:color w:val="auto"/>
          <w:sz w:val="24"/>
          <w:highlight w:val="none"/>
          <w:u w:val="single"/>
        </w:rPr>
        <w:t xml:space="preserve">收到通知后1小时内 </w:t>
      </w:r>
      <w:r>
        <w:rPr>
          <w:rFonts w:hint="eastAsia" w:ascii="宋体" w:hAnsi="宋体" w:eastAsia="宋体" w:cs="宋体"/>
          <w:bCs/>
          <w:color w:val="auto"/>
          <w:sz w:val="24"/>
          <w:highlight w:val="none"/>
        </w:rPr>
        <w:t>。</w:t>
      </w:r>
    </w:p>
    <w:p w14:paraId="45D1C144">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违约</w:t>
      </w:r>
    </w:p>
    <w:p w14:paraId="1AF021A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16.1 发包人违约</w:t>
      </w:r>
    </w:p>
    <w:p w14:paraId="0946BB63">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16.1.1发包人违约的情形</w:t>
      </w:r>
    </w:p>
    <w:p w14:paraId="798F8AA5">
      <w:pPr>
        <w:snapToGrid w:val="0"/>
        <w:spacing w:line="360" w:lineRule="auto"/>
        <w:ind w:left="1199" w:leftChars="228" w:hanging="720" w:hangingChars="3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发包人违约的其他情形：</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12C6D94D">
      <w:pPr>
        <w:snapToGrid w:val="0"/>
        <w:spacing w:line="360" w:lineRule="auto"/>
        <w:ind w:left="1200" w:hanging="1200" w:hangingChars="5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16.1.2 发包人违约的责任</w:t>
      </w:r>
    </w:p>
    <w:p w14:paraId="718B0E1A">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发包人违约责任的承担方式和计算方法：</w:t>
      </w:r>
    </w:p>
    <w:p w14:paraId="7EA8DEF2">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（1）因发包人原因未能在计划开工日期前7天内下达开工通知的违约责任：</w:t>
      </w:r>
      <w:r>
        <w:rPr>
          <w:rFonts w:hint="eastAsia" w:ascii="宋体" w:hAnsi="宋体" w:eastAsia="宋体" w:cs="宋体"/>
          <w:bCs/>
          <w:color w:val="auto"/>
          <w:sz w:val="24"/>
          <w:highlight w:val="none"/>
          <w:u w:val="single"/>
        </w:rPr>
        <w:t xml:space="preserve">双方另行协商 </w:t>
      </w:r>
      <w:r>
        <w:rPr>
          <w:rFonts w:hint="eastAsia" w:ascii="宋体" w:hAnsi="宋体" w:eastAsia="宋体" w:cs="宋体"/>
          <w:bCs/>
          <w:color w:val="auto"/>
          <w:sz w:val="24"/>
          <w:highlight w:val="none"/>
        </w:rPr>
        <w:t>。</w:t>
      </w:r>
    </w:p>
    <w:p w14:paraId="2F7DF282">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（2）因发包人原因未能按合同约定支付合同价款的违约责任：</w:t>
      </w:r>
      <w:r>
        <w:rPr>
          <w:rFonts w:hint="eastAsia" w:ascii="宋体" w:hAnsi="宋体" w:eastAsia="宋体" w:cs="宋体"/>
          <w:bCs/>
          <w:color w:val="auto"/>
          <w:sz w:val="24"/>
          <w:highlight w:val="none"/>
          <w:u w:val="single"/>
        </w:rPr>
        <w:t xml:space="preserve"> 双方另行协商</w:t>
      </w:r>
      <w:r>
        <w:rPr>
          <w:rFonts w:hint="eastAsia" w:ascii="宋体" w:hAnsi="宋体" w:eastAsia="宋体" w:cs="宋体"/>
          <w:bCs/>
          <w:color w:val="auto"/>
          <w:sz w:val="24"/>
          <w:highlight w:val="none"/>
        </w:rPr>
        <w:t>。</w:t>
      </w:r>
    </w:p>
    <w:p w14:paraId="0DCD442A">
      <w:pPr>
        <w:snapToGrid w:val="0"/>
        <w:spacing w:line="360" w:lineRule="auto"/>
        <w:ind w:firstLine="420" w:firstLineChars="17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（3）发包人违反第10.1款〔变更的范围〕第（2）项约定，自行实施被取消的工作或转由他人实施的违约责任：</w:t>
      </w:r>
      <w:r>
        <w:rPr>
          <w:rFonts w:hint="eastAsia" w:ascii="宋体" w:hAnsi="宋体" w:eastAsia="宋体" w:cs="宋体"/>
          <w:bCs/>
          <w:color w:val="auto"/>
          <w:sz w:val="24"/>
          <w:highlight w:val="none"/>
          <w:u w:val="single"/>
        </w:rPr>
        <w:t xml:space="preserve"> 双方另行协商 </w:t>
      </w:r>
      <w:r>
        <w:rPr>
          <w:rFonts w:hint="eastAsia" w:ascii="宋体" w:hAnsi="宋体" w:eastAsia="宋体" w:cs="宋体"/>
          <w:bCs/>
          <w:color w:val="auto"/>
          <w:sz w:val="24"/>
          <w:highlight w:val="none"/>
        </w:rPr>
        <w:t>。</w:t>
      </w:r>
    </w:p>
    <w:p w14:paraId="16BCB80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bCs/>
          <w:color w:val="auto"/>
          <w:sz w:val="24"/>
          <w:highlight w:val="none"/>
          <w:u w:val="single"/>
        </w:rPr>
        <w:t xml:space="preserve">双方另行协商 </w:t>
      </w:r>
      <w:r>
        <w:rPr>
          <w:rFonts w:hint="eastAsia" w:ascii="宋体" w:hAnsi="宋体" w:eastAsia="宋体" w:cs="宋体"/>
          <w:bCs/>
          <w:color w:val="auto"/>
          <w:sz w:val="24"/>
          <w:highlight w:val="none"/>
        </w:rPr>
        <w:t>。</w:t>
      </w:r>
    </w:p>
    <w:p w14:paraId="60EDBEC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（5）因发包人违反合同约定造成暂停施工的违约责任：</w:t>
      </w:r>
      <w:r>
        <w:rPr>
          <w:rFonts w:hint="eastAsia" w:ascii="宋体" w:hAnsi="宋体" w:eastAsia="宋体" w:cs="宋体"/>
          <w:bCs/>
          <w:color w:val="auto"/>
          <w:sz w:val="24"/>
          <w:highlight w:val="none"/>
          <w:u w:val="single"/>
        </w:rPr>
        <w:t xml:space="preserve">双方另行协商  </w:t>
      </w:r>
      <w:r>
        <w:rPr>
          <w:rFonts w:hint="eastAsia" w:ascii="宋体" w:hAnsi="宋体" w:eastAsia="宋体" w:cs="宋体"/>
          <w:bCs/>
          <w:color w:val="auto"/>
          <w:sz w:val="24"/>
          <w:highlight w:val="none"/>
        </w:rPr>
        <w:t>。</w:t>
      </w:r>
    </w:p>
    <w:p w14:paraId="1BBD0CB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（6）发包人无正当理由没有在约定期限内发出复工指示，导致承包人无法复工的违约责任：</w:t>
      </w:r>
      <w:r>
        <w:rPr>
          <w:rFonts w:hint="eastAsia" w:ascii="宋体" w:hAnsi="宋体" w:eastAsia="宋体" w:cs="宋体"/>
          <w:bCs/>
          <w:color w:val="auto"/>
          <w:sz w:val="24"/>
          <w:highlight w:val="none"/>
          <w:u w:val="single"/>
        </w:rPr>
        <w:t xml:space="preserve"> 双方另行协商  </w:t>
      </w:r>
      <w:r>
        <w:rPr>
          <w:rFonts w:hint="eastAsia" w:ascii="宋体" w:hAnsi="宋体" w:eastAsia="宋体" w:cs="宋体"/>
          <w:bCs/>
          <w:color w:val="auto"/>
          <w:sz w:val="24"/>
          <w:highlight w:val="none"/>
        </w:rPr>
        <w:t>。</w:t>
      </w:r>
    </w:p>
    <w:p w14:paraId="3E9DD7A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（7）其他：</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48679961">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16.1.3 因发包人违约解除合同</w:t>
      </w:r>
    </w:p>
    <w:p w14:paraId="49740B69">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承包人按16.1.1项〔发包人违约的情形〕约定暂停施工满</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天后发包人仍不纠正其违约行为并致使合同目的不能实现的，承包人有权解除合同。</w:t>
      </w:r>
    </w:p>
    <w:p w14:paraId="03E6879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 承包人违约</w:t>
      </w:r>
    </w:p>
    <w:p w14:paraId="3DEBD05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16.2.1 承包人违约的情形</w:t>
      </w:r>
    </w:p>
    <w:p w14:paraId="1AA5884F">
      <w:pPr>
        <w:adjustRightInd w:val="0"/>
        <w:snapToGrid w:val="0"/>
        <w:spacing w:line="360" w:lineRule="auto"/>
        <w:ind w:left="-2"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承包人违约的其他情形：</w:t>
      </w:r>
    </w:p>
    <w:p w14:paraId="5B6AF03A">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308EBD62">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6F042A0C">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0DCDF936">
      <w:pPr>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31DE40FE">
      <w:pPr>
        <w:pStyle w:val="2"/>
        <w:snapToGrid w:val="0"/>
        <w:spacing w:before="0" w:after="0"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367028D7">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16.2.2承包人违约的责任</w:t>
      </w:r>
    </w:p>
    <w:p w14:paraId="07DB8E69">
      <w:pPr>
        <w:snapToGrid w:val="0"/>
        <w:spacing w:line="360" w:lineRule="auto"/>
        <w:ind w:left="2" w:firstLine="477" w:firstLineChars="199"/>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承包人违约责任的承担方式和计算方法：</w:t>
      </w:r>
      <w:r>
        <w:rPr>
          <w:rFonts w:hint="eastAsia" w:ascii="宋体" w:hAnsi="宋体" w:eastAsia="宋体" w:cs="宋体"/>
          <w:bCs/>
          <w:color w:val="auto"/>
          <w:sz w:val="24"/>
          <w:highlight w:val="none"/>
          <w:u w:val="single"/>
        </w:rPr>
        <w:t>由承包人按本协议约定支付违约金或赔偿发包人全部经济损失并承担相关法律责任。</w:t>
      </w:r>
    </w:p>
    <w:p w14:paraId="0CF2FE81">
      <w:pPr>
        <w:snapToGrid w:val="0"/>
        <w:spacing w:line="360" w:lineRule="auto"/>
        <w:ind w:left="2" w:firstLine="477" w:firstLineChars="199"/>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16.2.3 因承包人违约解除合同</w:t>
      </w:r>
    </w:p>
    <w:p w14:paraId="611A62B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关于承包人违约解除合同的特别约定：</w:t>
      </w:r>
      <w:r>
        <w:rPr>
          <w:rFonts w:hint="eastAsia" w:ascii="宋体" w:hAnsi="宋体" w:eastAsia="宋体" w:cs="宋体"/>
          <w:bCs/>
          <w:color w:val="auto"/>
          <w:sz w:val="24"/>
          <w:highlight w:val="none"/>
          <w:u w:val="single"/>
        </w:rPr>
        <w:t>通用条款执行</w:t>
      </w:r>
      <w:r>
        <w:rPr>
          <w:rFonts w:hint="eastAsia" w:ascii="宋体" w:hAnsi="宋体" w:eastAsia="宋体" w:cs="宋体"/>
          <w:bCs/>
          <w:color w:val="auto"/>
          <w:sz w:val="24"/>
          <w:highlight w:val="none"/>
        </w:rPr>
        <w:t>。</w:t>
      </w:r>
    </w:p>
    <w:p w14:paraId="4C4A0E1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bCs/>
          <w:color w:val="auto"/>
          <w:sz w:val="24"/>
          <w:highlight w:val="none"/>
          <w:u w:val="single"/>
        </w:rPr>
        <w:t>：另行协商</w:t>
      </w:r>
      <w:r>
        <w:rPr>
          <w:rFonts w:hint="eastAsia" w:ascii="宋体" w:hAnsi="宋体" w:eastAsia="宋体" w:cs="宋体"/>
          <w:bCs/>
          <w:color w:val="auto"/>
          <w:sz w:val="24"/>
          <w:highlight w:val="none"/>
        </w:rPr>
        <w:t>。</w:t>
      </w:r>
    </w:p>
    <w:p w14:paraId="500BCC71">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17. 不可抗力 </w:t>
      </w:r>
    </w:p>
    <w:p w14:paraId="6FAEF27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17.1 不可抗力的确认</w:t>
      </w:r>
    </w:p>
    <w:p w14:paraId="25981918">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除通用合同条款约定的不可抗力事件之外，视为不可抗力的其他情形：</w:t>
      </w:r>
      <w:r>
        <w:rPr>
          <w:rFonts w:hint="eastAsia" w:ascii="宋体" w:hAnsi="宋体" w:eastAsia="宋体" w:cs="宋体"/>
          <w:bCs/>
          <w:color w:val="auto"/>
          <w:sz w:val="24"/>
          <w:highlight w:val="none"/>
          <w:u w:val="single"/>
        </w:rPr>
        <w:t xml:space="preserve"> 无 </w:t>
      </w:r>
      <w:r>
        <w:rPr>
          <w:rFonts w:hint="eastAsia" w:ascii="宋体" w:hAnsi="宋体" w:eastAsia="宋体" w:cs="宋体"/>
          <w:bCs/>
          <w:color w:val="auto"/>
          <w:sz w:val="24"/>
          <w:highlight w:val="none"/>
        </w:rPr>
        <w:t>。</w:t>
      </w:r>
    </w:p>
    <w:p w14:paraId="5707762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17.4 因不可抗力解除合同</w:t>
      </w:r>
    </w:p>
    <w:p w14:paraId="544D68A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合同解除后，发包人应在商定或确定发包人应支付款项后</w:t>
      </w:r>
      <w:r>
        <w:rPr>
          <w:rFonts w:hint="eastAsia" w:ascii="宋体" w:hAnsi="宋体" w:eastAsia="宋体" w:cs="宋体"/>
          <w:bCs/>
          <w:color w:val="auto"/>
          <w:sz w:val="24"/>
          <w:highlight w:val="none"/>
          <w:u w:val="single"/>
        </w:rPr>
        <w:t xml:space="preserve">  按通用条款  </w:t>
      </w:r>
      <w:r>
        <w:rPr>
          <w:rFonts w:hint="eastAsia" w:ascii="宋体" w:hAnsi="宋体" w:eastAsia="宋体" w:cs="宋体"/>
          <w:bCs/>
          <w:color w:val="auto"/>
          <w:sz w:val="24"/>
          <w:highlight w:val="none"/>
        </w:rPr>
        <w:t>天内完成款项的支付。</w:t>
      </w:r>
    </w:p>
    <w:p w14:paraId="38B39885">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 保险</w:t>
      </w:r>
    </w:p>
    <w:p w14:paraId="5CEEEA5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18.1 工程保险</w:t>
      </w:r>
    </w:p>
    <w:p w14:paraId="54A155D6">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关于工程保险的特别约定：</w:t>
      </w:r>
    </w:p>
    <w:p w14:paraId="4C66D619">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color w:val="auto"/>
          <w:sz w:val="24"/>
          <w:highlight w:val="none"/>
        </w:rPr>
        <w:t>。</w:t>
      </w:r>
    </w:p>
    <w:p w14:paraId="2030516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18.3 其他保险</w:t>
      </w:r>
    </w:p>
    <w:p w14:paraId="78AEB6F9">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关于其他保险的约定：</w:t>
      </w:r>
      <w:r>
        <w:rPr>
          <w:rFonts w:hint="eastAsia" w:ascii="宋体" w:hAnsi="宋体" w:eastAsia="宋体" w:cs="宋体"/>
          <w:bCs/>
          <w:color w:val="auto"/>
          <w:sz w:val="24"/>
          <w:highlight w:val="none"/>
          <w:u w:val="single"/>
        </w:rPr>
        <w:t xml:space="preserve"> 承包人必须按规定办理由承包人投保的一切保险（包括但不限于工程施工期间的工程一切险、工程第三方责任险、人身意外险等）。如不办理，一切责任由承包人自行负责  </w:t>
      </w:r>
      <w:r>
        <w:rPr>
          <w:rFonts w:hint="eastAsia" w:ascii="宋体" w:hAnsi="宋体" w:eastAsia="宋体" w:cs="宋体"/>
          <w:bCs/>
          <w:color w:val="auto"/>
          <w:sz w:val="24"/>
          <w:highlight w:val="none"/>
        </w:rPr>
        <w:t>。</w:t>
      </w:r>
    </w:p>
    <w:p w14:paraId="61AE6C43">
      <w:pPr>
        <w:snapToGrid w:val="0"/>
        <w:spacing w:line="360" w:lineRule="auto"/>
        <w:ind w:firstLine="360" w:firstLineChars="15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承包人是否应为其施工设备等办理财产保险：</w:t>
      </w:r>
      <w:r>
        <w:rPr>
          <w:rFonts w:hint="eastAsia" w:ascii="宋体" w:hAnsi="宋体" w:eastAsia="宋体" w:cs="宋体"/>
          <w:bCs/>
          <w:color w:val="auto"/>
          <w:sz w:val="24"/>
          <w:highlight w:val="none"/>
          <w:u w:val="single"/>
        </w:rPr>
        <w:t>是</w:t>
      </w:r>
      <w:r>
        <w:rPr>
          <w:rFonts w:hint="eastAsia" w:ascii="宋体" w:hAnsi="宋体" w:eastAsia="宋体" w:cs="宋体"/>
          <w:bCs/>
          <w:color w:val="auto"/>
          <w:sz w:val="24"/>
          <w:highlight w:val="none"/>
        </w:rPr>
        <w:t>。</w:t>
      </w:r>
    </w:p>
    <w:p w14:paraId="7B7C1F4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18.7 通知义务</w:t>
      </w:r>
    </w:p>
    <w:p w14:paraId="63C8D7EF">
      <w:pPr>
        <w:snapToGrid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关于变更保险合同时的通知义务的约定：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2B10D074">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 争议解决</w:t>
      </w:r>
    </w:p>
    <w:p w14:paraId="3F19C9C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20.3 争议评审</w:t>
      </w:r>
    </w:p>
    <w:p w14:paraId="5B5FD19B">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合同当事人是否同意将工程争议提交争议评审小组决定：</w:t>
      </w:r>
      <w:r>
        <w:rPr>
          <w:rFonts w:hint="eastAsia" w:ascii="宋体" w:hAnsi="宋体" w:eastAsia="宋体" w:cs="宋体"/>
          <w:bCs/>
          <w:color w:val="auto"/>
          <w:sz w:val="24"/>
          <w:highlight w:val="none"/>
          <w:u w:val="single"/>
        </w:rPr>
        <w:t>同意</w:t>
      </w:r>
      <w:r>
        <w:rPr>
          <w:rFonts w:hint="eastAsia" w:ascii="宋体" w:hAnsi="宋体" w:eastAsia="宋体" w:cs="宋体"/>
          <w:bCs/>
          <w:color w:val="auto"/>
          <w:sz w:val="24"/>
          <w:highlight w:val="none"/>
        </w:rPr>
        <w:t xml:space="preserve">。  </w:t>
      </w:r>
    </w:p>
    <w:p w14:paraId="05F9051F">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20.3.1 争议评审小组的确定</w:t>
      </w:r>
    </w:p>
    <w:p w14:paraId="3D46399F">
      <w:pPr>
        <w:snapToGri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争议评审小组成员的确定：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4A1D6DEA">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选定争议评审员的期限：</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660E8C16">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争议评审小组成员的报酬承担方式：</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57211F47">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其他事项的约定：</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w:t>
      </w:r>
    </w:p>
    <w:p w14:paraId="2CB9C73A">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20.3.2 争议评审小组的决定</w:t>
      </w:r>
    </w:p>
    <w:p w14:paraId="6E1CCD24">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合同当事人关于本项的约定：</w:t>
      </w:r>
      <w:r>
        <w:rPr>
          <w:rFonts w:hint="eastAsia" w:ascii="宋体" w:hAnsi="宋体" w:eastAsia="宋体" w:cs="宋体"/>
          <w:bCs/>
          <w:color w:val="auto"/>
          <w:sz w:val="24"/>
          <w:highlight w:val="none"/>
          <w:u w:val="single"/>
        </w:rPr>
        <w:t>按通用条款执行</w:t>
      </w:r>
      <w:r>
        <w:rPr>
          <w:rFonts w:hint="eastAsia" w:ascii="宋体" w:hAnsi="宋体" w:eastAsia="宋体" w:cs="宋体"/>
          <w:bCs/>
          <w:color w:val="auto"/>
          <w:sz w:val="24"/>
          <w:highlight w:val="none"/>
        </w:rPr>
        <w:t>。</w:t>
      </w:r>
    </w:p>
    <w:p w14:paraId="61F6CC7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20.4仲裁或诉讼</w:t>
      </w:r>
    </w:p>
    <w:p w14:paraId="540E20A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因合同及合同有关事项发生的争议，按下列第</w:t>
      </w:r>
      <w:r>
        <w:rPr>
          <w:rFonts w:hint="eastAsia" w:ascii="宋体" w:hAnsi="宋体" w:eastAsia="宋体" w:cs="宋体"/>
          <w:bCs/>
          <w:color w:val="auto"/>
          <w:sz w:val="24"/>
          <w:highlight w:val="none"/>
          <w:u w:val="single"/>
        </w:rPr>
        <w:t>（1）</w:t>
      </w:r>
      <w:r>
        <w:rPr>
          <w:rFonts w:hint="eastAsia" w:ascii="宋体" w:hAnsi="宋体" w:eastAsia="宋体" w:cs="宋体"/>
          <w:bCs/>
          <w:color w:val="auto"/>
          <w:sz w:val="24"/>
          <w:highlight w:val="none"/>
        </w:rPr>
        <w:t>种方式解决：</w:t>
      </w:r>
    </w:p>
    <w:p w14:paraId="3D08A94C">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（1）向</w:t>
      </w:r>
      <w:r>
        <w:rPr>
          <w:rFonts w:hint="eastAsia" w:ascii="宋体" w:hAnsi="宋体" w:eastAsia="宋体" w:cs="宋体"/>
          <w:bCs/>
          <w:color w:val="auto"/>
          <w:sz w:val="24"/>
          <w:highlight w:val="none"/>
          <w:u w:val="single"/>
        </w:rPr>
        <w:t>南通</w:t>
      </w:r>
      <w:r>
        <w:rPr>
          <w:rFonts w:hint="eastAsia" w:ascii="宋体" w:hAnsi="宋体" w:eastAsia="宋体" w:cs="宋体"/>
          <w:bCs/>
          <w:color w:val="auto"/>
          <w:sz w:val="24"/>
          <w:highlight w:val="none"/>
        </w:rPr>
        <w:t>仲裁委员会申请仲裁；</w:t>
      </w:r>
    </w:p>
    <w:p w14:paraId="1053ACA4">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（2）向</w:t>
      </w:r>
      <w:r>
        <w:rPr>
          <w:rFonts w:hint="eastAsia" w:ascii="宋体" w:hAnsi="宋体" w:eastAsia="宋体" w:cs="宋体"/>
          <w:bCs/>
          <w:color w:val="auto"/>
          <w:sz w:val="24"/>
          <w:highlight w:val="none"/>
          <w:u w:val="single"/>
        </w:rPr>
        <w:t>工程所在地</w:t>
      </w:r>
      <w:r>
        <w:rPr>
          <w:rFonts w:hint="eastAsia" w:ascii="宋体" w:hAnsi="宋体" w:eastAsia="宋体" w:cs="宋体"/>
          <w:bCs/>
          <w:color w:val="auto"/>
          <w:sz w:val="24"/>
          <w:highlight w:val="none"/>
        </w:rPr>
        <w:t>人民法院起诉。</w:t>
      </w:r>
    </w:p>
    <w:p w14:paraId="7512D5DC">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21.补充条款</w:t>
      </w:r>
    </w:p>
    <w:p w14:paraId="6EA3414B">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21.1承包人根据施工现场情况及现行规定，自行根据可行的施工方案确定报价，结算时一律不作调整。</w:t>
      </w:r>
    </w:p>
    <w:p w14:paraId="080CDB80">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704D7DB6">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67DCA281">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21.4如承包人发生上述情况而拒交违约金的，发包人有权从工程款中或履约担保金中双倍扣除。</w:t>
      </w:r>
    </w:p>
    <w:p w14:paraId="16532494">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21.5施工过程中，因承包人施工原因，而造成煤气、自来水管道、雨污分流管等受到破坏的，除承包人须按规定修复外，发包人可对承包人收取5000元/次的违约金。</w:t>
      </w:r>
    </w:p>
    <w:p w14:paraId="0EAF02F5">
      <w:pPr>
        <w:snapToGrid w:val="0"/>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21.6承包人应如实报送工程竣工结算，</w:t>
      </w:r>
      <w:r>
        <w:rPr>
          <w:rFonts w:ascii="宋体" w:hAnsi="宋体" w:eastAsia="宋体" w:cs="宋体"/>
          <w:bCs/>
          <w:color w:val="auto"/>
          <w:sz w:val="24"/>
          <w:highlight w:val="none"/>
          <w:u w:val="single"/>
        </w:rPr>
        <w:t>结算审计核减额超过送审数额的5%以外部分的审计费用由成交供应商承担，超额部分按核减额的6%计取。</w:t>
      </w:r>
      <w:r>
        <w:rPr>
          <w:rFonts w:hint="eastAsia" w:ascii="宋体" w:hAnsi="宋体" w:eastAsia="宋体" w:cs="宋体"/>
          <w:bCs/>
          <w:color w:val="auto"/>
          <w:sz w:val="24"/>
          <w:highlight w:val="none"/>
        </w:rPr>
        <w:t>核减额=初审核减额+终审核减额。</w:t>
      </w:r>
    </w:p>
    <w:p w14:paraId="6B11258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0BD9928C">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21.8 承包人已充分考虑并为主做好工程实施范围内外的单位、个人和其他可能出现的阻挠施工的情况，并承担所发生的费用，发包人不再承担此类费用（行政性停工除外）。</w:t>
      </w:r>
    </w:p>
    <w:p w14:paraId="34D7CAE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21.9 承包人承诺在本工程施工过程中，保证做到文明、安全施工。</w:t>
      </w:r>
    </w:p>
    <w:p w14:paraId="55906CD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21.10 承包人应仔细踏勘现场，所涉及的垃圾清运等相关的费用已包含在磋商响应总价中，结算时不再调整。</w:t>
      </w:r>
    </w:p>
    <w:p w14:paraId="20AC5B49">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21.11 因施工场地狭小发生的一切费用由供应商自行考虑，所有费用包含在磋商响应报价中，竣工结算时一律不作调整。</w:t>
      </w:r>
    </w:p>
    <w:p w14:paraId="0F36B792">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21.12 赶工措施费、按质论价费、二次搬运费、特殊条件下施工增加费、冬雨季施工增加费、夜间施工增加费、临时设施费、已完工程及设备保护费等措施费一次性包定，结算时一律不作调整。</w:t>
      </w:r>
    </w:p>
    <w:p w14:paraId="412D0A6C">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77F5956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21.14 本工程承包人应做好与其他专业工程的配合协调，相互做好成品保护工作。 </w:t>
      </w:r>
    </w:p>
    <w:p w14:paraId="23720EF4">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21.15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69B45B76">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21.16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p>
    <w:p w14:paraId="4725C03E">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21.17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E4CE67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21.18 若承包人在磋商响应报价时擅自改变招标文件及清单内容，评审时未被发现，实际施工时均按招标文件及清单内容执行，结算时不予调整。</w:t>
      </w:r>
    </w:p>
    <w:p w14:paraId="373211D6">
      <w:pPr>
        <w:tabs>
          <w:tab w:val="left" w:pos="595"/>
        </w:tabs>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21.19 按相关管理部门的质量、安全要求施工，同时做好协调工作。</w:t>
      </w:r>
    </w:p>
    <w:p w14:paraId="16E317D6">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21161F19">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21.21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68B3B7F4">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21.22 无论发包人是否给予了批准或同意，承包人应对现场作业、施工方法及所施工工程的完备性、稳定性和安全性承担全部责任，负责完成对工程的稳定、完整、安全、可靠及有效运行所必需的全部工作。</w:t>
      </w:r>
    </w:p>
    <w:p w14:paraId="51A4FC7B">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欠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4176E9A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09EE85E3">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21.25 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发包人有权在工程款中直接扣除。</w:t>
      </w:r>
    </w:p>
    <w:p w14:paraId="1E92FD41">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21.26 在履行合同过程中，承包人不得转包，一经发现，取消承包资格，上报有关主管部门，全额履约保证金不予退还，并且已完成的工程量不予结算，所造成的责任与损失均由承包人负责。</w:t>
      </w:r>
    </w:p>
    <w:p w14:paraId="080A6B67">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21.27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12C6F828">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21.28 本工程在施工时必须采取一定的防尘措施，所涉及的费用含在磋商响应报价中。若施工过程中被环保等部门通报或处罚，则一切责任和费用由承包人承担。</w:t>
      </w:r>
    </w:p>
    <w:p w14:paraId="762AD0AC">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21.29 本工程施工中所用的水、电费用按实扣除。如私拉乱接或者故意浪费，发现一次按 5000 元计取违约金，发包人有权直接从当期工程款中扣除。</w:t>
      </w:r>
    </w:p>
    <w:p w14:paraId="639454E3">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21.30 承包人</w:t>
      </w:r>
      <w:r>
        <w:rPr>
          <w:rFonts w:hint="eastAsia" w:ascii="宋体" w:hAnsi="宋体" w:eastAsia="宋体" w:cs="宋体"/>
          <w:color w:val="auto"/>
          <w:sz w:val="24"/>
          <w:highlight w:val="none"/>
        </w:rPr>
        <w:t>的管理人员临时办公室、工人宿舍及配套生活用房须另行自理，不得设在施工场地区域内。因工程需要临时向其他单位租用场地的，由</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自行解决，工程结算时</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不为此类项目另外支付费用。</w:t>
      </w:r>
    </w:p>
    <w:p w14:paraId="4C8972C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 本工程量清单应与施工图、磋商文件（含合同条款）、技术要求、技术规范等文件结合起来阅读，除设计变更外，</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在工程量清单中未列明或项目特征描述不全，但</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为满足</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、设计图纸的要求及国家、地方规范和标准等各种文件规定而必须完成的工作，</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应计入工程量清单相应子目中，施工时不另行签证，结算时不作调整，工程结算时</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 xml:space="preserve">不为此类项目另外支付费用。 </w:t>
      </w:r>
    </w:p>
    <w:p w14:paraId="50057F8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如</w:t>
      </w:r>
      <w:r>
        <w:rPr>
          <w:rFonts w:hint="eastAsia" w:ascii="宋体" w:hAnsi="宋体" w:eastAsia="宋体" w:cs="宋体"/>
          <w:bCs/>
          <w:color w:val="auto"/>
          <w:sz w:val="24"/>
          <w:highlight w:val="none"/>
        </w:rPr>
        <w:t>承包人</w:t>
      </w:r>
      <w:r>
        <w:rPr>
          <w:rFonts w:hint="eastAsia" w:ascii="宋体" w:hAnsi="宋体" w:eastAsia="宋体" w:cs="宋体"/>
          <w:color w:val="auto"/>
          <w:sz w:val="24"/>
          <w:highlight w:val="none"/>
        </w:rPr>
        <w:t>在进场后发现施工图纸与现场不一致时，在施工前须与</w:t>
      </w:r>
      <w:r>
        <w:rPr>
          <w:rFonts w:hint="eastAsia" w:ascii="宋体" w:hAnsi="宋体" w:eastAsia="宋体" w:cs="宋体"/>
          <w:bCs/>
          <w:color w:val="auto"/>
          <w:sz w:val="24"/>
          <w:highlight w:val="none"/>
        </w:rPr>
        <w:t>发包人</w:t>
      </w:r>
      <w:r>
        <w:rPr>
          <w:rFonts w:hint="eastAsia" w:ascii="宋体" w:hAnsi="宋体" w:eastAsia="宋体" w:cs="宋体"/>
          <w:color w:val="auto"/>
          <w:sz w:val="24"/>
          <w:highlight w:val="none"/>
        </w:rPr>
        <w:t>及监理方、设计方商定一致后，并按书面会商结果进行施工。</w:t>
      </w:r>
    </w:p>
    <w:p w14:paraId="7DFB520F">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2D8803BC">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承包人施工期间应遵守南通市政务中心的有关施工管理和物业管理规定，做好每日施工场地清理、垃圾清运和保洁工作，上述费用包含在合同价中，结算不作调整。本项目物业配合费500元须由承包人支付给政务中心物业。</w:t>
      </w:r>
    </w:p>
    <w:p w14:paraId="5604078E">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21.35 若在合同履行过程中，如有领导视察等活动，承包人必须无条件配合发包人及监理方的管理。 </w:t>
      </w:r>
      <w:bookmarkStart w:id="206" w:name="_Toc267261692"/>
      <w:bookmarkStart w:id="207" w:name="_Toc296891053"/>
      <w:bookmarkStart w:id="208" w:name="_Toc296891265"/>
      <w:bookmarkStart w:id="209" w:name="_Toc296347224"/>
      <w:bookmarkStart w:id="210" w:name="_Toc296346726"/>
      <w:bookmarkStart w:id="211" w:name="_Toc296944564"/>
      <w:bookmarkStart w:id="212" w:name="_Toc296503225"/>
    </w:p>
    <w:p w14:paraId="73A2BEA1">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协议书附件：</w:t>
      </w:r>
    </w:p>
    <w:p w14:paraId="457823D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附件1：承包人承揽工程项目一览表</w:t>
      </w:r>
    </w:p>
    <w:p w14:paraId="2D03EAF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专用合同条款附件：</w:t>
      </w:r>
    </w:p>
    <w:p w14:paraId="0A59C2E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附件2：工程质量保修书</w:t>
      </w:r>
    </w:p>
    <w:p w14:paraId="3095C73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附件3：主要建设工程文件目录</w:t>
      </w:r>
    </w:p>
    <w:p w14:paraId="7D09746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附件4：承包人用于本工程施工的机械设备表</w:t>
      </w:r>
    </w:p>
    <w:p w14:paraId="6EC2ABC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附件5：承包人主要施工管理人员表</w:t>
      </w:r>
    </w:p>
    <w:p w14:paraId="3D455CA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附件6：分包人主要施工管理人员表</w:t>
      </w:r>
    </w:p>
    <w:p w14:paraId="28FFEDF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附件7：建设工程廉政责任书</w:t>
      </w:r>
      <w:bookmarkEnd w:id="206"/>
      <w:bookmarkEnd w:id="207"/>
      <w:bookmarkEnd w:id="208"/>
      <w:bookmarkEnd w:id="209"/>
      <w:bookmarkEnd w:id="210"/>
      <w:bookmarkEnd w:id="211"/>
      <w:bookmarkEnd w:id="212"/>
      <w:r>
        <w:rPr>
          <w:rFonts w:hint="eastAsia" w:ascii="宋体" w:hAnsi="宋体" w:eastAsia="宋体" w:cs="宋体"/>
          <w:bCs/>
          <w:color w:val="auto"/>
          <w:sz w:val="24"/>
          <w:highlight w:val="none"/>
        </w:rPr>
        <w:br w:type="page"/>
      </w:r>
      <w:r>
        <w:rPr>
          <w:rFonts w:hint="eastAsia" w:ascii="宋体" w:hAnsi="宋体" w:eastAsia="宋体" w:cs="宋体"/>
          <w:color w:val="auto"/>
          <w:sz w:val="24"/>
          <w:highlight w:val="none"/>
        </w:rPr>
        <w:t>附件1：</w:t>
      </w:r>
    </w:p>
    <w:p w14:paraId="7D584C1B">
      <w:pPr>
        <w:spacing w:line="460" w:lineRule="exact"/>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1048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3F6C96ED">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单位工程名称</w:t>
            </w:r>
          </w:p>
        </w:tc>
        <w:tc>
          <w:tcPr>
            <w:tcW w:w="850" w:type="dxa"/>
            <w:vAlign w:val="center"/>
          </w:tcPr>
          <w:p w14:paraId="43E6EA53">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建设</w:t>
            </w:r>
          </w:p>
          <w:p w14:paraId="0CB83F08">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规模</w:t>
            </w:r>
          </w:p>
        </w:tc>
        <w:tc>
          <w:tcPr>
            <w:tcW w:w="1005" w:type="dxa"/>
            <w:vAlign w:val="center"/>
          </w:tcPr>
          <w:p w14:paraId="1356D752">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建筑面积(㎡)</w:t>
            </w:r>
          </w:p>
        </w:tc>
        <w:tc>
          <w:tcPr>
            <w:tcW w:w="682" w:type="dxa"/>
            <w:vAlign w:val="center"/>
          </w:tcPr>
          <w:p w14:paraId="058F2E39">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结构形式</w:t>
            </w:r>
          </w:p>
        </w:tc>
        <w:tc>
          <w:tcPr>
            <w:tcW w:w="851" w:type="dxa"/>
            <w:vAlign w:val="center"/>
          </w:tcPr>
          <w:p w14:paraId="60ECF47B">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层数</w:t>
            </w:r>
          </w:p>
        </w:tc>
        <w:tc>
          <w:tcPr>
            <w:tcW w:w="1302" w:type="dxa"/>
            <w:vAlign w:val="center"/>
          </w:tcPr>
          <w:p w14:paraId="7D6C003A">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生产能力</w:t>
            </w:r>
          </w:p>
        </w:tc>
        <w:tc>
          <w:tcPr>
            <w:tcW w:w="995" w:type="dxa"/>
            <w:vAlign w:val="center"/>
          </w:tcPr>
          <w:p w14:paraId="3351A057">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设备安装内容</w:t>
            </w:r>
          </w:p>
        </w:tc>
        <w:tc>
          <w:tcPr>
            <w:tcW w:w="906" w:type="dxa"/>
            <w:vAlign w:val="center"/>
          </w:tcPr>
          <w:p w14:paraId="5D80F967">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合同价（元）</w:t>
            </w:r>
          </w:p>
        </w:tc>
        <w:tc>
          <w:tcPr>
            <w:tcW w:w="851" w:type="dxa"/>
            <w:vAlign w:val="center"/>
          </w:tcPr>
          <w:p w14:paraId="37ECCF6B">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开工</w:t>
            </w:r>
          </w:p>
          <w:p w14:paraId="12DDFE09">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日期</w:t>
            </w:r>
          </w:p>
        </w:tc>
        <w:tc>
          <w:tcPr>
            <w:tcW w:w="851" w:type="dxa"/>
            <w:vAlign w:val="center"/>
          </w:tcPr>
          <w:p w14:paraId="696761A7">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竣工</w:t>
            </w:r>
          </w:p>
          <w:p w14:paraId="3E1A4153">
            <w:pPr>
              <w:spacing w:line="46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日期</w:t>
            </w:r>
          </w:p>
        </w:tc>
      </w:tr>
      <w:tr w14:paraId="588B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59669AE">
            <w:pPr>
              <w:spacing w:line="460" w:lineRule="exact"/>
              <w:rPr>
                <w:rFonts w:hint="eastAsia" w:ascii="宋体" w:hAnsi="宋体" w:eastAsia="宋体" w:cs="宋体"/>
                <w:color w:val="auto"/>
                <w:kern w:val="2"/>
                <w:sz w:val="24"/>
                <w:highlight w:val="none"/>
              </w:rPr>
            </w:pPr>
          </w:p>
        </w:tc>
        <w:tc>
          <w:tcPr>
            <w:tcW w:w="850" w:type="dxa"/>
          </w:tcPr>
          <w:p w14:paraId="06612011">
            <w:pPr>
              <w:spacing w:line="460" w:lineRule="exact"/>
              <w:rPr>
                <w:rFonts w:hint="eastAsia" w:ascii="宋体" w:hAnsi="宋体" w:eastAsia="宋体" w:cs="宋体"/>
                <w:color w:val="auto"/>
                <w:kern w:val="2"/>
                <w:sz w:val="24"/>
                <w:highlight w:val="none"/>
              </w:rPr>
            </w:pPr>
          </w:p>
        </w:tc>
        <w:tc>
          <w:tcPr>
            <w:tcW w:w="1005" w:type="dxa"/>
          </w:tcPr>
          <w:p w14:paraId="5717D636">
            <w:pPr>
              <w:spacing w:line="460" w:lineRule="exact"/>
              <w:rPr>
                <w:rFonts w:hint="eastAsia" w:ascii="宋体" w:hAnsi="宋体" w:eastAsia="宋体" w:cs="宋体"/>
                <w:color w:val="auto"/>
                <w:kern w:val="2"/>
                <w:sz w:val="24"/>
                <w:highlight w:val="none"/>
              </w:rPr>
            </w:pPr>
          </w:p>
        </w:tc>
        <w:tc>
          <w:tcPr>
            <w:tcW w:w="682" w:type="dxa"/>
          </w:tcPr>
          <w:p w14:paraId="4881ABA2">
            <w:pPr>
              <w:spacing w:line="460" w:lineRule="exact"/>
              <w:rPr>
                <w:rFonts w:hint="eastAsia" w:ascii="宋体" w:hAnsi="宋体" w:eastAsia="宋体" w:cs="宋体"/>
                <w:color w:val="auto"/>
                <w:kern w:val="2"/>
                <w:sz w:val="24"/>
                <w:highlight w:val="none"/>
              </w:rPr>
            </w:pPr>
          </w:p>
        </w:tc>
        <w:tc>
          <w:tcPr>
            <w:tcW w:w="851" w:type="dxa"/>
          </w:tcPr>
          <w:p w14:paraId="31A253C6">
            <w:pPr>
              <w:spacing w:line="460" w:lineRule="exact"/>
              <w:rPr>
                <w:rFonts w:hint="eastAsia" w:ascii="宋体" w:hAnsi="宋体" w:eastAsia="宋体" w:cs="宋体"/>
                <w:color w:val="auto"/>
                <w:kern w:val="2"/>
                <w:sz w:val="24"/>
                <w:highlight w:val="none"/>
              </w:rPr>
            </w:pPr>
          </w:p>
        </w:tc>
        <w:tc>
          <w:tcPr>
            <w:tcW w:w="1302" w:type="dxa"/>
          </w:tcPr>
          <w:p w14:paraId="3B749850">
            <w:pPr>
              <w:spacing w:line="460" w:lineRule="exact"/>
              <w:rPr>
                <w:rFonts w:hint="eastAsia" w:ascii="宋体" w:hAnsi="宋体" w:eastAsia="宋体" w:cs="宋体"/>
                <w:color w:val="auto"/>
                <w:kern w:val="2"/>
                <w:sz w:val="24"/>
                <w:highlight w:val="none"/>
              </w:rPr>
            </w:pPr>
          </w:p>
        </w:tc>
        <w:tc>
          <w:tcPr>
            <w:tcW w:w="995" w:type="dxa"/>
          </w:tcPr>
          <w:p w14:paraId="0304168C">
            <w:pPr>
              <w:spacing w:line="460" w:lineRule="exact"/>
              <w:rPr>
                <w:rFonts w:hint="eastAsia" w:ascii="宋体" w:hAnsi="宋体" w:eastAsia="宋体" w:cs="宋体"/>
                <w:color w:val="auto"/>
                <w:kern w:val="2"/>
                <w:sz w:val="24"/>
                <w:highlight w:val="none"/>
              </w:rPr>
            </w:pPr>
          </w:p>
        </w:tc>
        <w:tc>
          <w:tcPr>
            <w:tcW w:w="906" w:type="dxa"/>
          </w:tcPr>
          <w:p w14:paraId="4EE1B866">
            <w:pPr>
              <w:spacing w:line="460" w:lineRule="exact"/>
              <w:rPr>
                <w:rFonts w:hint="eastAsia" w:ascii="宋体" w:hAnsi="宋体" w:eastAsia="宋体" w:cs="宋体"/>
                <w:color w:val="auto"/>
                <w:kern w:val="2"/>
                <w:sz w:val="24"/>
                <w:highlight w:val="none"/>
              </w:rPr>
            </w:pPr>
          </w:p>
        </w:tc>
        <w:tc>
          <w:tcPr>
            <w:tcW w:w="851" w:type="dxa"/>
          </w:tcPr>
          <w:p w14:paraId="446BFC18">
            <w:pPr>
              <w:spacing w:line="460" w:lineRule="exact"/>
              <w:rPr>
                <w:rFonts w:hint="eastAsia" w:ascii="宋体" w:hAnsi="宋体" w:eastAsia="宋体" w:cs="宋体"/>
                <w:color w:val="auto"/>
                <w:kern w:val="2"/>
                <w:sz w:val="24"/>
                <w:highlight w:val="none"/>
              </w:rPr>
            </w:pPr>
          </w:p>
        </w:tc>
        <w:tc>
          <w:tcPr>
            <w:tcW w:w="851" w:type="dxa"/>
          </w:tcPr>
          <w:p w14:paraId="7DB309CB">
            <w:pPr>
              <w:spacing w:line="460" w:lineRule="exact"/>
              <w:rPr>
                <w:rFonts w:hint="eastAsia" w:ascii="宋体" w:hAnsi="宋体" w:eastAsia="宋体" w:cs="宋体"/>
                <w:color w:val="auto"/>
                <w:kern w:val="2"/>
                <w:sz w:val="24"/>
                <w:highlight w:val="none"/>
              </w:rPr>
            </w:pPr>
          </w:p>
        </w:tc>
      </w:tr>
      <w:tr w14:paraId="0903C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24109C1">
            <w:pPr>
              <w:spacing w:line="460" w:lineRule="exact"/>
              <w:rPr>
                <w:rFonts w:hint="eastAsia" w:ascii="宋体" w:hAnsi="宋体" w:eastAsia="宋体" w:cs="宋体"/>
                <w:color w:val="auto"/>
                <w:kern w:val="2"/>
                <w:sz w:val="24"/>
                <w:highlight w:val="none"/>
              </w:rPr>
            </w:pPr>
          </w:p>
        </w:tc>
        <w:tc>
          <w:tcPr>
            <w:tcW w:w="850" w:type="dxa"/>
          </w:tcPr>
          <w:p w14:paraId="141FEAD0">
            <w:pPr>
              <w:spacing w:line="460" w:lineRule="exact"/>
              <w:rPr>
                <w:rFonts w:hint="eastAsia" w:ascii="宋体" w:hAnsi="宋体" w:eastAsia="宋体" w:cs="宋体"/>
                <w:color w:val="auto"/>
                <w:kern w:val="2"/>
                <w:sz w:val="24"/>
                <w:highlight w:val="none"/>
              </w:rPr>
            </w:pPr>
          </w:p>
        </w:tc>
        <w:tc>
          <w:tcPr>
            <w:tcW w:w="1005" w:type="dxa"/>
          </w:tcPr>
          <w:p w14:paraId="277FDBCC">
            <w:pPr>
              <w:spacing w:line="460" w:lineRule="exact"/>
              <w:rPr>
                <w:rFonts w:hint="eastAsia" w:ascii="宋体" w:hAnsi="宋体" w:eastAsia="宋体" w:cs="宋体"/>
                <w:color w:val="auto"/>
                <w:kern w:val="2"/>
                <w:sz w:val="24"/>
                <w:highlight w:val="none"/>
              </w:rPr>
            </w:pPr>
          </w:p>
        </w:tc>
        <w:tc>
          <w:tcPr>
            <w:tcW w:w="682" w:type="dxa"/>
          </w:tcPr>
          <w:p w14:paraId="6F1FEE5C">
            <w:pPr>
              <w:spacing w:line="460" w:lineRule="exact"/>
              <w:rPr>
                <w:rFonts w:hint="eastAsia" w:ascii="宋体" w:hAnsi="宋体" w:eastAsia="宋体" w:cs="宋体"/>
                <w:color w:val="auto"/>
                <w:kern w:val="2"/>
                <w:sz w:val="24"/>
                <w:highlight w:val="none"/>
              </w:rPr>
            </w:pPr>
          </w:p>
        </w:tc>
        <w:tc>
          <w:tcPr>
            <w:tcW w:w="851" w:type="dxa"/>
          </w:tcPr>
          <w:p w14:paraId="370823AD">
            <w:pPr>
              <w:spacing w:line="460" w:lineRule="exact"/>
              <w:rPr>
                <w:rFonts w:hint="eastAsia" w:ascii="宋体" w:hAnsi="宋体" w:eastAsia="宋体" w:cs="宋体"/>
                <w:color w:val="auto"/>
                <w:kern w:val="2"/>
                <w:sz w:val="24"/>
                <w:highlight w:val="none"/>
              </w:rPr>
            </w:pPr>
          </w:p>
        </w:tc>
        <w:tc>
          <w:tcPr>
            <w:tcW w:w="1302" w:type="dxa"/>
          </w:tcPr>
          <w:p w14:paraId="4E4D7F2F">
            <w:pPr>
              <w:spacing w:line="460" w:lineRule="exact"/>
              <w:rPr>
                <w:rFonts w:hint="eastAsia" w:ascii="宋体" w:hAnsi="宋体" w:eastAsia="宋体" w:cs="宋体"/>
                <w:color w:val="auto"/>
                <w:kern w:val="2"/>
                <w:sz w:val="24"/>
                <w:highlight w:val="none"/>
              </w:rPr>
            </w:pPr>
          </w:p>
        </w:tc>
        <w:tc>
          <w:tcPr>
            <w:tcW w:w="995" w:type="dxa"/>
          </w:tcPr>
          <w:p w14:paraId="0E151807">
            <w:pPr>
              <w:spacing w:line="460" w:lineRule="exact"/>
              <w:rPr>
                <w:rFonts w:hint="eastAsia" w:ascii="宋体" w:hAnsi="宋体" w:eastAsia="宋体" w:cs="宋体"/>
                <w:color w:val="auto"/>
                <w:kern w:val="2"/>
                <w:sz w:val="24"/>
                <w:highlight w:val="none"/>
              </w:rPr>
            </w:pPr>
          </w:p>
        </w:tc>
        <w:tc>
          <w:tcPr>
            <w:tcW w:w="906" w:type="dxa"/>
          </w:tcPr>
          <w:p w14:paraId="5A4771E0">
            <w:pPr>
              <w:spacing w:line="460" w:lineRule="exact"/>
              <w:rPr>
                <w:rFonts w:hint="eastAsia" w:ascii="宋体" w:hAnsi="宋体" w:eastAsia="宋体" w:cs="宋体"/>
                <w:color w:val="auto"/>
                <w:kern w:val="2"/>
                <w:sz w:val="24"/>
                <w:highlight w:val="none"/>
              </w:rPr>
            </w:pPr>
          </w:p>
        </w:tc>
        <w:tc>
          <w:tcPr>
            <w:tcW w:w="851" w:type="dxa"/>
          </w:tcPr>
          <w:p w14:paraId="01E87419">
            <w:pPr>
              <w:spacing w:line="460" w:lineRule="exact"/>
              <w:rPr>
                <w:rFonts w:hint="eastAsia" w:ascii="宋体" w:hAnsi="宋体" w:eastAsia="宋体" w:cs="宋体"/>
                <w:color w:val="auto"/>
                <w:kern w:val="2"/>
                <w:sz w:val="24"/>
                <w:highlight w:val="none"/>
              </w:rPr>
            </w:pPr>
          </w:p>
        </w:tc>
        <w:tc>
          <w:tcPr>
            <w:tcW w:w="851" w:type="dxa"/>
          </w:tcPr>
          <w:p w14:paraId="4DBA8EC4">
            <w:pPr>
              <w:spacing w:line="460" w:lineRule="exact"/>
              <w:rPr>
                <w:rFonts w:hint="eastAsia" w:ascii="宋体" w:hAnsi="宋体" w:eastAsia="宋体" w:cs="宋体"/>
                <w:color w:val="auto"/>
                <w:kern w:val="2"/>
                <w:sz w:val="24"/>
                <w:highlight w:val="none"/>
              </w:rPr>
            </w:pPr>
          </w:p>
        </w:tc>
      </w:tr>
      <w:tr w14:paraId="112C6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1926886">
            <w:pPr>
              <w:spacing w:line="460" w:lineRule="exact"/>
              <w:rPr>
                <w:rFonts w:hint="eastAsia" w:ascii="宋体" w:hAnsi="宋体" w:eastAsia="宋体" w:cs="宋体"/>
                <w:color w:val="auto"/>
                <w:kern w:val="2"/>
                <w:sz w:val="24"/>
                <w:highlight w:val="none"/>
              </w:rPr>
            </w:pPr>
          </w:p>
        </w:tc>
        <w:tc>
          <w:tcPr>
            <w:tcW w:w="850" w:type="dxa"/>
          </w:tcPr>
          <w:p w14:paraId="18C0C79B">
            <w:pPr>
              <w:spacing w:line="460" w:lineRule="exact"/>
              <w:rPr>
                <w:rFonts w:hint="eastAsia" w:ascii="宋体" w:hAnsi="宋体" w:eastAsia="宋体" w:cs="宋体"/>
                <w:color w:val="auto"/>
                <w:kern w:val="2"/>
                <w:sz w:val="24"/>
                <w:highlight w:val="none"/>
              </w:rPr>
            </w:pPr>
          </w:p>
        </w:tc>
        <w:tc>
          <w:tcPr>
            <w:tcW w:w="1005" w:type="dxa"/>
          </w:tcPr>
          <w:p w14:paraId="36B64094">
            <w:pPr>
              <w:spacing w:line="460" w:lineRule="exact"/>
              <w:rPr>
                <w:rFonts w:hint="eastAsia" w:ascii="宋体" w:hAnsi="宋体" w:eastAsia="宋体" w:cs="宋体"/>
                <w:color w:val="auto"/>
                <w:kern w:val="2"/>
                <w:sz w:val="24"/>
                <w:highlight w:val="none"/>
              </w:rPr>
            </w:pPr>
          </w:p>
        </w:tc>
        <w:tc>
          <w:tcPr>
            <w:tcW w:w="682" w:type="dxa"/>
          </w:tcPr>
          <w:p w14:paraId="08D83B3F">
            <w:pPr>
              <w:spacing w:line="460" w:lineRule="exact"/>
              <w:rPr>
                <w:rFonts w:hint="eastAsia" w:ascii="宋体" w:hAnsi="宋体" w:eastAsia="宋体" w:cs="宋体"/>
                <w:color w:val="auto"/>
                <w:kern w:val="2"/>
                <w:sz w:val="24"/>
                <w:highlight w:val="none"/>
              </w:rPr>
            </w:pPr>
          </w:p>
        </w:tc>
        <w:tc>
          <w:tcPr>
            <w:tcW w:w="851" w:type="dxa"/>
          </w:tcPr>
          <w:p w14:paraId="6A658C51">
            <w:pPr>
              <w:spacing w:line="460" w:lineRule="exact"/>
              <w:rPr>
                <w:rFonts w:hint="eastAsia" w:ascii="宋体" w:hAnsi="宋体" w:eastAsia="宋体" w:cs="宋体"/>
                <w:color w:val="auto"/>
                <w:kern w:val="2"/>
                <w:sz w:val="24"/>
                <w:highlight w:val="none"/>
              </w:rPr>
            </w:pPr>
          </w:p>
        </w:tc>
        <w:tc>
          <w:tcPr>
            <w:tcW w:w="1302" w:type="dxa"/>
          </w:tcPr>
          <w:p w14:paraId="54C4F49D">
            <w:pPr>
              <w:spacing w:line="460" w:lineRule="exact"/>
              <w:rPr>
                <w:rFonts w:hint="eastAsia" w:ascii="宋体" w:hAnsi="宋体" w:eastAsia="宋体" w:cs="宋体"/>
                <w:color w:val="auto"/>
                <w:kern w:val="2"/>
                <w:sz w:val="24"/>
                <w:highlight w:val="none"/>
              </w:rPr>
            </w:pPr>
          </w:p>
        </w:tc>
        <w:tc>
          <w:tcPr>
            <w:tcW w:w="995" w:type="dxa"/>
          </w:tcPr>
          <w:p w14:paraId="22E9082C">
            <w:pPr>
              <w:spacing w:line="460" w:lineRule="exact"/>
              <w:rPr>
                <w:rFonts w:hint="eastAsia" w:ascii="宋体" w:hAnsi="宋体" w:eastAsia="宋体" w:cs="宋体"/>
                <w:color w:val="auto"/>
                <w:kern w:val="2"/>
                <w:sz w:val="24"/>
                <w:highlight w:val="none"/>
              </w:rPr>
            </w:pPr>
          </w:p>
        </w:tc>
        <w:tc>
          <w:tcPr>
            <w:tcW w:w="906" w:type="dxa"/>
          </w:tcPr>
          <w:p w14:paraId="60EB515B">
            <w:pPr>
              <w:spacing w:line="460" w:lineRule="exact"/>
              <w:rPr>
                <w:rFonts w:hint="eastAsia" w:ascii="宋体" w:hAnsi="宋体" w:eastAsia="宋体" w:cs="宋体"/>
                <w:color w:val="auto"/>
                <w:kern w:val="2"/>
                <w:sz w:val="24"/>
                <w:highlight w:val="none"/>
              </w:rPr>
            </w:pPr>
          </w:p>
        </w:tc>
        <w:tc>
          <w:tcPr>
            <w:tcW w:w="851" w:type="dxa"/>
          </w:tcPr>
          <w:p w14:paraId="3E9CF3F0">
            <w:pPr>
              <w:spacing w:line="460" w:lineRule="exact"/>
              <w:rPr>
                <w:rFonts w:hint="eastAsia" w:ascii="宋体" w:hAnsi="宋体" w:eastAsia="宋体" w:cs="宋体"/>
                <w:color w:val="auto"/>
                <w:kern w:val="2"/>
                <w:sz w:val="24"/>
                <w:highlight w:val="none"/>
              </w:rPr>
            </w:pPr>
          </w:p>
        </w:tc>
        <w:tc>
          <w:tcPr>
            <w:tcW w:w="851" w:type="dxa"/>
          </w:tcPr>
          <w:p w14:paraId="26471CE6">
            <w:pPr>
              <w:spacing w:line="460" w:lineRule="exact"/>
              <w:rPr>
                <w:rFonts w:hint="eastAsia" w:ascii="宋体" w:hAnsi="宋体" w:eastAsia="宋体" w:cs="宋体"/>
                <w:color w:val="auto"/>
                <w:kern w:val="2"/>
                <w:sz w:val="24"/>
                <w:highlight w:val="none"/>
              </w:rPr>
            </w:pPr>
          </w:p>
        </w:tc>
      </w:tr>
      <w:tr w14:paraId="0912A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07D7843">
            <w:pPr>
              <w:spacing w:line="460" w:lineRule="exact"/>
              <w:rPr>
                <w:rFonts w:hint="eastAsia" w:ascii="宋体" w:hAnsi="宋体" w:eastAsia="宋体" w:cs="宋体"/>
                <w:color w:val="auto"/>
                <w:kern w:val="2"/>
                <w:sz w:val="24"/>
                <w:highlight w:val="none"/>
              </w:rPr>
            </w:pPr>
          </w:p>
        </w:tc>
        <w:tc>
          <w:tcPr>
            <w:tcW w:w="850" w:type="dxa"/>
          </w:tcPr>
          <w:p w14:paraId="187B88EB">
            <w:pPr>
              <w:spacing w:line="460" w:lineRule="exact"/>
              <w:rPr>
                <w:rFonts w:hint="eastAsia" w:ascii="宋体" w:hAnsi="宋体" w:eastAsia="宋体" w:cs="宋体"/>
                <w:color w:val="auto"/>
                <w:kern w:val="2"/>
                <w:sz w:val="24"/>
                <w:highlight w:val="none"/>
              </w:rPr>
            </w:pPr>
          </w:p>
        </w:tc>
        <w:tc>
          <w:tcPr>
            <w:tcW w:w="1005" w:type="dxa"/>
          </w:tcPr>
          <w:p w14:paraId="56406C79">
            <w:pPr>
              <w:spacing w:line="460" w:lineRule="exact"/>
              <w:rPr>
                <w:rFonts w:hint="eastAsia" w:ascii="宋体" w:hAnsi="宋体" w:eastAsia="宋体" w:cs="宋体"/>
                <w:color w:val="auto"/>
                <w:kern w:val="2"/>
                <w:sz w:val="24"/>
                <w:highlight w:val="none"/>
              </w:rPr>
            </w:pPr>
          </w:p>
        </w:tc>
        <w:tc>
          <w:tcPr>
            <w:tcW w:w="682" w:type="dxa"/>
          </w:tcPr>
          <w:p w14:paraId="008E3447">
            <w:pPr>
              <w:spacing w:line="460" w:lineRule="exact"/>
              <w:rPr>
                <w:rFonts w:hint="eastAsia" w:ascii="宋体" w:hAnsi="宋体" w:eastAsia="宋体" w:cs="宋体"/>
                <w:color w:val="auto"/>
                <w:kern w:val="2"/>
                <w:sz w:val="24"/>
                <w:highlight w:val="none"/>
              </w:rPr>
            </w:pPr>
          </w:p>
        </w:tc>
        <w:tc>
          <w:tcPr>
            <w:tcW w:w="851" w:type="dxa"/>
          </w:tcPr>
          <w:p w14:paraId="6A7844DB">
            <w:pPr>
              <w:spacing w:line="460" w:lineRule="exact"/>
              <w:rPr>
                <w:rFonts w:hint="eastAsia" w:ascii="宋体" w:hAnsi="宋体" w:eastAsia="宋体" w:cs="宋体"/>
                <w:color w:val="auto"/>
                <w:kern w:val="2"/>
                <w:sz w:val="24"/>
                <w:highlight w:val="none"/>
              </w:rPr>
            </w:pPr>
          </w:p>
        </w:tc>
        <w:tc>
          <w:tcPr>
            <w:tcW w:w="1302" w:type="dxa"/>
          </w:tcPr>
          <w:p w14:paraId="22F68730">
            <w:pPr>
              <w:spacing w:line="460" w:lineRule="exact"/>
              <w:rPr>
                <w:rFonts w:hint="eastAsia" w:ascii="宋体" w:hAnsi="宋体" w:eastAsia="宋体" w:cs="宋体"/>
                <w:color w:val="auto"/>
                <w:kern w:val="2"/>
                <w:sz w:val="24"/>
                <w:highlight w:val="none"/>
              </w:rPr>
            </w:pPr>
          </w:p>
        </w:tc>
        <w:tc>
          <w:tcPr>
            <w:tcW w:w="995" w:type="dxa"/>
          </w:tcPr>
          <w:p w14:paraId="66AD0484">
            <w:pPr>
              <w:spacing w:line="460" w:lineRule="exact"/>
              <w:rPr>
                <w:rFonts w:hint="eastAsia" w:ascii="宋体" w:hAnsi="宋体" w:eastAsia="宋体" w:cs="宋体"/>
                <w:color w:val="auto"/>
                <w:kern w:val="2"/>
                <w:sz w:val="24"/>
                <w:highlight w:val="none"/>
              </w:rPr>
            </w:pPr>
          </w:p>
        </w:tc>
        <w:tc>
          <w:tcPr>
            <w:tcW w:w="906" w:type="dxa"/>
          </w:tcPr>
          <w:p w14:paraId="1693321E">
            <w:pPr>
              <w:spacing w:line="460" w:lineRule="exact"/>
              <w:rPr>
                <w:rFonts w:hint="eastAsia" w:ascii="宋体" w:hAnsi="宋体" w:eastAsia="宋体" w:cs="宋体"/>
                <w:color w:val="auto"/>
                <w:kern w:val="2"/>
                <w:sz w:val="24"/>
                <w:highlight w:val="none"/>
              </w:rPr>
            </w:pPr>
          </w:p>
        </w:tc>
        <w:tc>
          <w:tcPr>
            <w:tcW w:w="851" w:type="dxa"/>
          </w:tcPr>
          <w:p w14:paraId="27F66D89">
            <w:pPr>
              <w:spacing w:line="460" w:lineRule="exact"/>
              <w:rPr>
                <w:rFonts w:hint="eastAsia" w:ascii="宋体" w:hAnsi="宋体" w:eastAsia="宋体" w:cs="宋体"/>
                <w:color w:val="auto"/>
                <w:kern w:val="2"/>
                <w:sz w:val="24"/>
                <w:highlight w:val="none"/>
              </w:rPr>
            </w:pPr>
          </w:p>
        </w:tc>
        <w:tc>
          <w:tcPr>
            <w:tcW w:w="851" w:type="dxa"/>
          </w:tcPr>
          <w:p w14:paraId="33D4E2EF">
            <w:pPr>
              <w:spacing w:line="460" w:lineRule="exact"/>
              <w:rPr>
                <w:rFonts w:hint="eastAsia" w:ascii="宋体" w:hAnsi="宋体" w:eastAsia="宋体" w:cs="宋体"/>
                <w:color w:val="auto"/>
                <w:kern w:val="2"/>
                <w:sz w:val="24"/>
                <w:highlight w:val="none"/>
              </w:rPr>
            </w:pPr>
          </w:p>
        </w:tc>
      </w:tr>
      <w:tr w14:paraId="7A18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C8BC7E9">
            <w:pPr>
              <w:spacing w:line="460" w:lineRule="exact"/>
              <w:rPr>
                <w:rFonts w:hint="eastAsia" w:ascii="宋体" w:hAnsi="宋体" w:eastAsia="宋体" w:cs="宋体"/>
                <w:color w:val="auto"/>
                <w:kern w:val="2"/>
                <w:sz w:val="24"/>
                <w:highlight w:val="none"/>
              </w:rPr>
            </w:pPr>
          </w:p>
        </w:tc>
        <w:tc>
          <w:tcPr>
            <w:tcW w:w="850" w:type="dxa"/>
          </w:tcPr>
          <w:p w14:paraId="09810094">
            <w:pPr>
              <w:spacing w:line="460" w:lineRule="exact"/>
              <w:rPr>
                <w:rFonts w:hint="eastAsia" w:ascii="宋体" w:hAnsi="宋体" w:eastAsia="宋体" w:cs="宋体"/>
                <w:color w:val="auto"/>
                <w:kern w:val="2"/>
                <w:sz w:val="24"/>
                <w:highlight w:val="none"/>
              </w:rPr>
            </w:pPr>
          </w:p>
        </w:tc>
        <w:tc>
          <w:tcPr>
            <w:tcW w:w="1005" w:type="dxa"/>
          </w:tcPr>
          <w:p w14:paraId="34FFD375">
            <w:pPr>
              <w:spacing w:line="460" w:lineRule="exact"/>
              <w:rPr>
                <w:rFonts w:hint="eastAsia" w:ascii="宋体" w:hAnsi="宋体" w:eastAsia="宋体" w:cs="宋体"/>
                <w:color w:val="auto"/>
                <w:kern w:val="2"/>
                <w:sz w:val="24"/>
                <w:highlight w:val="none"/>
              </w:rPr>
            </w:pPr>
          </w:p>
        </w:tc>
        <w:tc>
          <w:tcPr>
            <w:tcW w:w="682" w:type="dxa"/>
          </w:tcPr>
          <w:p w14:paraId="555FF0FE">
            <w:pPr>
              <w:spacing w:line="460" w:lineRule="exact"/>
              <w:rPr>
                <w:rFonts w:hint="eastAsia" w:ascii="宋体" w:hAnsi="宋体" w:eastAsia="宋体" w:cs="宋体"/>
                <w:color w:val="auto"/>
                <w:kern w:val="2"/>
                <w:sz w:val="24"/>
                <w:highlight w:val="none"/>
              </w:rPr>
            </w:pPr>
          </w:p>
        </w:tc>
        <w:tc>
          <w:tcPr>
            <w:tcW w:w="851" w:type="dxa"/>
          </w:tcPr>
          <w:p w14:paraId="5CAD10AC">
            <w:pPr>
              <w:spacing w:line="460" w:lineRule="exact"/>
              <w:rPr>
                <w:rFonts w:hint="eastAsia" w:ascii="宋体" w:hAnsi="宋体" w:eastAsia="宋体" w:cs="宋体"/>
                <w:color w:val="auto"/>
                <w:kern w:val="2"/>
                <w:sz w:val="24"/>
                <w:highlight w:val="none"/>
              </w:rPr>
            </w:pPr>
          </w:p>
        </w:tc>
        <w:tc>
          <w:tcPr>
            <w:tcW w:w="1302" w:type="dxa"/>
          </w:tcPr>
          <w:p w14:paraId="76656C80">
            <w:pPr>
              <w:spacing w:line="460" w:lineRule="exact"/>
              <w:rPr>
                <w:rFonts w:hint="eastAsia" w:ascii="宋体" w:hAnsi="宋体" w:eastAsia="宋体" w:cs="宋体"/>
                <w:color w:val="auto"/>
                <w:kern w:val="2"/>
                <w:sz w:val="24"/>
                <w:highlight w:val="none"/>
              </w:rPr>
            </w:pPr>
          </w:p>
        </w:tc>
        <w:tc>
          <w:tcPr>
            <w:tcW w:w="995" w:type="dxa"/>
          </w:tcPr>
          <w:p w14:paraId="2C00586C">
            <w:pPr>
              <w:spacing w:line="460" w:lineRule="exact"/>
              <w:rPr>
                <w:rFonts w:hint="eastAsia" w:ascii="宋体" w:hAnsi="宋体" w:eastAsia="宋体" w:cs="宋体"/>
                <w:color w:val="auto"/>
                <w:kern w:val="2"/>
                <w:sz w:val="24"/>
                <w:highlight w:val="none"/>
              </w:rPr>
            </w:pPr>
          </w:p>
        </w:tc>
        <w:tc>
          <w:tcPr>
            <w:tcW w:w="906" w:type="dxa"/>
          </w:tcPr>
          <w:p w14:paraId="244CECB2">
            <w:pPr>
              <w:spacing w:line="460" w:lineRule="exact"/>
              <w:rPr>
                <w:rFonts w:hint="eastAsia" w:ascii="宋体" w:hAnsi="宋体" w:eastAsia="宋体" w:cs="宋体"/>
                <w:color w:val="auto"/>
                <w:kern w:val="2"/>
                <w:sz w:val="24"/>
                <w:highlight w:val="none"/>
              </w:rPr>
            </w:pPr>
          </w:p>
        </w:tc>
        <w:tc>
          <w:tcPr>
            <w:tcW w:w="851" w:type="dxa"/>
          </w:tcPr>
          <w:p w14:paraId="36212AC0">
            <w:pPr>
              <w:spacing w:line="460" w:lineRule="exact"/>
              <w:rPr>
                <w:rFonts w:hint="eastAsia" w:ascii="宋体" w:hAnsi="宋体" w:eastAsia="宋体" w:cs="宋体"/>
                <w:color w:val="auto"/>
                <w:kern w:val="2"/>
                <w:sz w:val="24"/>
                <w:highlight w:val="none"/>
              </w:rPr>
            </w:pPr>
          </w:p>
        </w:tc>
        <w:tc>
          <w:tcPr>
            <w:tcW w:w="851" w:type="dxa"/>
          </w:tcPr>
          <w:p w14:paraId="3171E988">
            <w:pPr>
              <w:spacing w:line="460" w:lineRule="exact"/>
              <w:rPr>
                <w:rFonts w:hint="eastAsia" w:ascii="宋体" w:hAnsi="宋体" w:eastAsia="宋体" w:cs="宋体"/>
                <w:color w:val="auto"/>
                <w:kern w:val="2"/>
                <w:sz w:val="24"/>
                <w:highlight w:val="none"/>
              </w:rPr>
            </w:pPr>
          </w:p>
        </w:tc>
      </w:tr>
      <w:tr w14:paraId="378A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9BFFD8">
            <w:pPr>
              <w:spacing w:line="460" w:lineRule="exact"/>
              <w:rPr>
                <w:rFonts w:hint="eastAsia" w:ascii="宋体" w:hAnsi="宋体" w:eastAsia="宋体" w:cs="宋体"/>
                <w:color w:val="auto"/>
                <w:kern w:val="2"/>
                <w:sz w:val="24"/>
                <w:highlight w:val="none"/>
              </w:rPr>
            </w:pPr>
          </w:p>
        </w:tc>
        <w:tc>
          <w:tcPr>
            <w:tcW w:w="850" w:type="dxa"/>
          </w:tcPr>
          <w:p w14:paraId="26B2D11F">
            <w:pPr>
              <w:spacing w:line="460" w:lineRule="exact"/>
              <w:rPr>
                <w:rFonts w:hint="eastAsia" w:ascii="宋体" w:hAnsi="宋体" w:eastAsia="宋体" w:cs="宋体"/>
                <w:color w:val="auto"/>
                <w:kern w:val="2"/>
                <w:sz w:val="24"/>
                <w:highlight w:val="none"/>
              </w:rPr>
            </w:pPr>
          </w:p>
        </w:tc>
        <w:tc>
          <w:tcPr>
            <w:tcW w:w="1005" w:type="dxa"/>
          </w:tcPr>
          <w:p w14:paraId="350D48F6">
            <w:pPr>
              <w:spacing w:line="460" w:lineRule="exact"/>
              <w:rPr>
                <w:rFonts w:hint="eastAsia" w:ascii="宋体" w:hAnsi="宋体" w:eastAsia="宋体" w:cs="宋体"/>
                <w:color w:val="auto"/>
                <w:kern w:val="2"/>
                <w:sz w:val="24"/>
                <w:highlight w:val="none"/>
              </w:rPr>
            </w:pPr>
          </w:p>
        </w:tc>
        <w:tc>
          <w:tcPr>
            <w:tcW w:w="682" w:type="dxa"/>
          </w:tcPr>
          <w:p w14:paraId="59B4CFC5">
            <w:pPr>
              <w:spacing w:line="460" w:lineRule="exact"/>
              <w:rPr>
                <w:rFonts w:hint="eastAsia" w:ascii="宋体" w:hAnsi="宋体" w:eastAsia="宋体" w:cs="宋体"/>
                <w:color w:val="auto"/>
                <w:kern w:val="2"/>
                <w:sz w:val="24"/>
                <w:highlight w:val="none"/>
              </w:rPr>
            </w:pPr>
          </w:p>
        </w:tc>
        <w:tc>
          <w:tcPr>
            <w:tcW w:w="851" w:type="dxa"/>
          </w:tcPr>
          <w:p w14:paraId="0893A092">
            <w:pPr>
              <w:spacing w:line="460" w:lineRule="exact"/>
              <w:rPr>
                <w:rFonts w:hint="eastAsia" w:ascii="宋体" w:hAnsi="宋体" w:eastAsia="宋体" w:cs="宋体"/>
                <w:color w:val="auto"/>
                <w:kern w:val="2"/>
                <w:sz w:val="24"/>
                <w:highlight w:val="none"/>
              </w:rPr>
            </w:pPr>
          </w:p>
        </w:tc>
        <w:tc>
          <w:tcPr>
            <w:tcW w:w="1302" w:type="dxa"/>
          </w:tcPr>
          <w:p w14:paraId="2283B903">
            <w:pPr>
              <w:spacing w:line="460" w:lineRule="exact"/>
              <w:rPr>
                <w:rFonts w:hint="eastAsia" w:ascii="宋体" w:hAnsi="宋体" w:eastAsia="宋体" w:cs="宋体"/>
                <w:color w:val="auto"/>
                <w:kern w:val="2"/>
                <w:sz w:val="24"/>
                <w:highlight w:val="none"/>
              </w:rPr>
            </w:pPr>
          </w:p>
        </w:tc>
        <w:tc>
          <w:tcPr>
            <w:tcW w:w="995" w:type="dxa"/>
          </w:tcPr>
          <w:p w14:paraId="325D75DE">
            <w:pPr>
              <w:spacing w:line="460" w:lineRule="exact"/>
              <w:rPr>
                <w:rFonts w:hint="eastAsia" w:ascii="宋体" w:hAnsi="宋体" w:eastAsia="宋体" w:cs="宋体"/>
                <w:color w:val="auto"/>
                <w:kern w:val="2"/>
                <w:sz w:val="24"/>
                <w:highlight w:val="none"/>
              </w:rPr>
            </w:pPr>
          </w:p>
        </w:tc>
        <w:tc>
          <w:tcPr>
            <w:tcW w:w="906" w:type="dxa"/>
          </w:tcPr>
          <w:p w14:paraId="467F8DF4">
            <w:pPr>
              <w:spacing w:line="460" w:lineRule="exact"/>
              <w:rPr>
                <w:rFonts w:hint="eastAsia" w:ascii="宋体" w:hAnsi="宋体" w:eastAsia="宋体" w:cs="宋体"/>
                <w:color w:val="auto"/>
                <w:kern w:val="2"/>
                <w:sz w:val="24"/>
                <w:highlight w:val="none"/>
              </w:rPr>
            </w:pPr>
          </w:p>
        </w:tc>
        <w:tc>
          <w:tcPr>
            <w:tcW w:w="851" w:type="dxa"/>
          </w:tcPr>
          <w:p w14:paraId="2675AE59">
            <w:pPr>
              <w:spacing w:line="460" w:lineRule="exact"/>
              <w:rPr>
                <w:rFonts w:hint="eastAsia" w:ascii="宋体" w:hAnsi="宋体" w:eastAsia="宋体" w:cs="宋体"/>
                <w:color w:val="auto"/>
                <w:kern w:val="2"/>
                <w:sz w:val="24"/>
                <w:highlight w:val="none"/>
              </w:rPr>
            </w:pPr>
          </w:p>
        </w:tc>
        <w:tc>
          <w:tcPr>
            <w:tcW w:w="851" w:type="dxa"/>
          </w:tcPr>
          <w:p w14:paraId="0BAE449B">
            <w:pPr>
              <w:spacing w:line="460" w:lineRule="exact"/>
              <w:rPr>
                <w:rFonts w:hint="eastAsia" w:ascii="宋体" w:hAnsi="宋体" w:eastAsia="宋体" w:cs="宋体"/>
                <w:color w:val="auto"/>
                <w:kern w:val="2"/>
                <w:sz w:val="24"/>
                <w:highlight w:val="none"/>
              </w:rPr>
            </w:pPr>
          </w:p>
        </w:tc>
      </w:tr>
      <w:tr w14:paraId="44CD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ECBF267">
            <w:pPr>
              <w:spacing w:line="460" w:lineRule="exact"/>
              <w:rPr>
                <w:rFonts w:hint="eastAsia" w:ascii="宋体" w:hAnsi="宋体" w:eastAsia="宋体" w:cs="宋体"/>
                <w:color w:val="auto"/>
                <w:kern w:val="2"/>
                <w:sz w:val="24"/>
                <w:highlight w:val="none"/>
              </w:rPr>
            </w:pPr>
          </w:p>
        </w:tc>
        <w:tc>
          <w:tcPr>
            <w:tcW w:w="850" w:type="dxa"/>
          </w:tcPr>
          <w:p w14:paraId="511F3F9F">
            <w:pPr>
              <w:spacing w:line="460" w:lineRule="exact"/>
              <w:rPr>
                <w:rFonts w:hint="eastAsia" w:ascii="宋体" w:hAnsi="宋体" w:eastAsia="宋体" w:cs="宋体"/>
                <w:color w:val="auto"/>
                <w:kern w:val="2"/>
                <w:sz w:val="24"/>
                <w:highlight w:val="none"/>
              </w:rPr>
            </w:pPr>
          </w:p>
        </w:tc>
        <w:tc>
          <w:tcPr>
            <w:tcW w:w="1005" w:type="dxa"/>
          </w:tcPr>
          <w:p w14:paraId="36D8874F">
            <w:pPr>
              <w:spacing w:line="460" w:lineRule="exact"/>
              <w:rPr>
                <w:rFonts w:hint="eastAsia" w:ascii="宋体" w:hAnsi="宋体" w:eastAsia="宋体" w:cs="宋体"/>
                <w:color w:val="auto"/>
                <w:kern w:val="2"/>
                <w:sz w:val="24"/>
                <w:highlight w:val="none"/>
              </w:rPr>
            </w:pPr>
          </w:p>
        </w:tc>
        <w:tc>
          <w:tcPr>
            <w:tcW w:w="682" w:type="dxa"/>
          </w:tcPr>
          <w:p w14:paraId="2BCBC5A8">
            <w:pPr>
              <w:spacing w:line="460" w:lineRule="exact"/>
              <w:rPr>
                <w:rFonts w:hint="eastAsia" w:ascii="宋体" w:hAnsi="宋体" w:eastAsia="宋体" w:cs="宋体"/>
                <w:color w:val="auto"/>
                <w:kern w:val="2"/>
                <w:sz w:val="24"/>
                <w:highlight w:val="none"/>
              </w:rPr>
            </w:pPr>
          </w:p>
        </w:tc>
        <w:tc>
          <w:tcPr>
            <w:tcW w:w="851" w:type="dxa"/>
          </w:tcPr>
          <w:p w14:paraId="436A7D59">
            <w:pPr>
              <w:spacing w:line="460" w:lineRule="exact"/>
              <w:rPr>
                <w:rFonts w:hint="eastAsia" w:ascii="宋体" w:hAnsi="宋体" w:eastAsia="宋体" w:cs="宋体"/>
                <w:color w:val="auto"/>
                <w:kern w:val="2"/>
                <w:sz w:val="24"/>
                <w:highlight w:val="none"/>
              </w:rPr>
            </w:pPr>
          </w:p>
        </w:tc>
        <w:tc>
          <w:tcPr>
            <w:tcW w:w="1302" w:type="dxa"/>
          </w:tcPr>
          <w:p w14:paraId="67578576">
            <w:pPr>
              <w:spacing w:line="460" w:lineRule="exact"/>
              <w:rPr>
                <w:rFonts w:hint="eastAsia" w:ascii="宋体" w:hAnsi="宋体" w:eastAsia="宋体" w:cs="宋体"/>
                <w:color w:val="auto"/>
                <w:kern w:val="2"/>
                <w:sz w:val="24"/>
                <w:highlight w:val="none"/>
              </w:rPr>
            </w:pPr>
          </w:p>
        </w:tc>
        <w:tc>
          <w:tcPr>
            <w:tcW w:w="995" w:type="dxa"/>
          </w:tcPr>
          <w:p w14:paraId="23A800AC">
            <w:pPr>
              <w:spacing w:line="460" w:lineRule="exact"/>
              <w:rPr>
                <w:rFonts w:hint="eastAsia" w:ascii="宋体" w:hAnsi="宋体" w:eastAsia="宋体" w:cs="宋体"/>
                <w:color w:val="auto"/>
                <w:kern w:val="2"/>
                <w:sz w:val="24"/>
                <w:highlight w:val="none"/>
              </w:rPr>
            </w:pPr>
          </w:p>
        </w:tc>
        <w:tc>
          <w:tcPr>
            <w:tcW w:w="906" w:type="dxa"/>
          </w:tcPr>
          <w:p w14:paraId="7F2E832C">
            <w:pPr>
              <w:spacing w:line="460" w:lineRule="exact"/>
              <w:rPr>
                <w:rFonts w:hint="eastAsia" w:ascii="宋体" w:hAnsi="宋体" w:eastAsia="宋体" w:cs="宋体"/>
                <w:color w:val="auto"/>
                <w:kern w:val="2"/>
                <w:sz w:val="24"/>
                <w:highlight w:val="none"/>
              </w:rPr>
            </w:pPr>
          </w:p>
        </w:tc>
        <w:tc>
          <w:tcPr>
            <w:tcW w:w="851" w:type="dxa"/>
          </w:tcPr>
          <w:p w14:paraId="366B3422">
            <w:pPr>
              <w:spacing w:line="460" w:lineRule="exact"/>
              <w:rPr>
                <w:rFonts w:hint="eastAsia" w:ascii="宋体" w:hAnsi="宋体" w:eastAsia="宋体" w:cs="宋体"/>
                <w:color w:val="auto"/>
                <w:kern w:val="2"/>
                <w:sz w:val="24"/>
                <w:highlight w:val="none"/>
              </w:rPr>
            </w:pPr>
          </w:p>
        </w:tc>
        <w:tc>
          <w:tcPr>
            <w:tcW w:w="851" w:type="dxa"/>
          </w:tcPr>
          <w:p w14:paraId="49BBCDA6">
            <w:pPr>
              <w:spacing w:line="460" w:lineRule="exact"/>
              <w:rPr>
                <w:rFonts w:hint="eastAsia" w:ascii="宋体" w:hAnsi="宋体" w:eastAsia="宋体" w:cs="宋体"/>
                <w:color w:val="auto"/>
                <w:kern w:val="2"/>
                <w:sz w:val="24"/>
                <w:highlight w:val="none"/>
              </w:rPr>
            </w:pPr>
          </w:p>
        </w:tc>
      </w:tr>
      <w:tr w14:paraId="7E8E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FA5BED0">
            <w:pPr>
              <w:spacing w:line="460" w:lineRule="exact"/>
              <w:rPr>
                <w:rFonts w:hint="eastAsia" w:ascii="宋体" w:hAnsi="宋体" w:eastAsia="宋体" w:cs="宋体"/>
                <w:color w:val="auto"/>
                <w:kern w:val="2"/>
                <w:sz w:val="24"/>
                <w:highlight w:val="none"/>
              </w:rPr>
            </w:pPr>
          </w:p>
        </w:tc>
        <w:tc>
          <w:tcPr>
            <w:tcW w:w="850" w:type="dxa"/>
          </w:tcPr>
          <w:p w14:paraId="6495FB71">
            <w:pPr>
              <w:spacing w:line="460" w:lineRule="exact"/>
              <w:rPr>
                <w:rFonts w:hint="eastAsia" w:ascii="宋体" w:hAnsi="宋体" w:eastAsia="宋体" w:cs="宋体"/>
                <w:color w:val="auto"/>
                <w:kern w:val="2"/>
                <w:sz w:val="24"/>
                <w:highlight w:val="none"/>
              </w:rPr>
            </w:pPr>
          </w:p>
        </w:tc>
        <w:tc>
          <w:tcPr>
            <w:tcW w:w="1005" w:type="dxa"/>
          </w:tcPr>
          <w:p w14:paraId="68DBFBA2">
            <w:pPr>
              <w:spacing w:line="460" w:lineRule="exact"/>
              <w:rPr>
                <w:rFonts w:hint="eastAsia" w:ascii="宋体" w:hAnsi="宋体" w:eastAsia="宋体" w:cs="宋体"/>
                <w:color w:val="auto"/>
                <w:kern w:val="2"/>
                <w:sz w:val="24"/>
                <w:highlight w:val="none"/>
              </w:rPr>
            </w:pPr>
          </w:p>
        </w:tc>
        <w:tc>
          <w:tcPr>
            <w:tcW w:w="682" w:type="dxa"/>
          </w:tcPr>
          <w:p w14:paraId="5A517108">
            <w:pPr>
              <w:spacing w:line="460" w:lineRule="exact"/>
              <w:rPr>
                <w:rFonts w:hint="eastAsia" w:ascii="宋体" w:hAnsi="宋体" w:eastAsia="宋体" w:cs="宋体"/>
                <w:color w:val="auto"/>
                <w:kern w:val="2"/>
                <w:sz w:val="24"/>
                <w:highlight w:val="none"/>
              </w:rPr>
            </w:pPr>
          </w:p>
        </w:tc>
        <w:tc>
          <w:tcPr>
            <w:tcW w:w="851" w:type="dxa"/>
          </w:tcPr>
          <w:p w14:paraId="016A316D">
            <w:pPr>
              <w:spacing w:line="460" w:lineRule="exact"/>
              <w:rPr>
                <w:rFonts w:hint="eastAsia" w:ascii="宋体" w:hAnsi="宋体" w:eastAsia="宋体" w:cs="宋体"/>
                <w:color w:val="auto"/>
                <w:kern w:val="2"/>
                <w:sz w:val="24"/>
                <w:highlight w:val="none"/>
              </w:rPr>
            </w:pPr>
          </w:p>
        </w:tc>
        <w:tc>
          <w:tcPr>
            <w:tcW w:w="1302" w:type="dxa"/>
          </w:tcPr>
          <w:p w14:paraId="61F6DD31">
            <w:pPr>
              <w:spacing w:line="460" w:lineRule="exact"/>
              <w:rPr>
                <w:rFonts w:hint="eastAsia" w:ascii="宋体" w:hAnsi="宋体" w:eastAsia="宋体" w:cs="宋体"/>
                <w:color w:val="auto"/>
                <w:kern w:val="2"/>
                <w:sz w:val="24"/>
                <w:highlight w:val="none"/>
              </w:rPr>
            </w:pPr>
          </w:p>
        </w:tc>
        <w:tc>
          <w:tcPr>
            <w:tcW w:w="995" w:type="dxa"/>
          </w:tcPr>
          <w:p w14:paraId="56907C4A">
            <w:pPr>
              <w:spacing w:line="460" w:lineRule="exact"/>
              <w:rPr>
                <w:rFonts w:hint="eastAsia" w:ascii="宋体" w:hAnsi="宋体" w:eastAsia="宋体" w:cs="宋体"/>
                <w:color w:val="auto"/>
                <w:kern w:val="2"/>
                <w:sz w:val="24"/>
                <w:highlight w:val="none"/>
              </w:rPr>
            </w:pPr>
          </w:p>
        </w:tc>
        <w:tc>
          <w:tcPr>
            <w:tcW w:w="906" w:type="dxa"/>
          </w:tcPr>
          <w:p w14:paraId="7FFCFFDE">
            <w:pPr>
              <w:spacing w:line="460" w:lineRule="exact"/>
              <w:rPr>
                <w:rFonts w:hint="eastAsia" w:ascii="宋体" w:hAnsi="宋体" w:eastAsia="宋体" w:cs="宋体"/>
                <w:color w:val="auto"/>
                <w:kern w:val="2"/>
                <w:sz w:val="24"/>
                <w:highlight w:val="none"/>
              </w:rPr>
            </w:pPr>
          </w:p>
        </w:tc>
        <w:tc>
          <w:tcPr>
            <w:tcW w:w="851" w:type="dxa"/>
          </w:tcPr>
          <w:p w14:paraId="27F0D173">
            <w:pPr>
              <w:spacing w:line="460" w:lineRule="exact"/>
              <w:rPr>
                <w:rFonts w:hint="eastAsia" w:ascii="宋体" w:hAnsi="宋体" w:eastAsia="宋体" w:cs="宋体"/>
                <w:color w:val="auto"/>
                <w:kern w:val="2"/>
                <w:sz w:val="24"/>
                <w:highlight w:val="none"/>
              </w:rPr>
            </w:pPr>
          </w:p>
        </w:tc>
        <w:tc>
          <w:tcPr>
            <w:tcW w:w="851" w:type="dxa"/>
          </w:tcPr>
          <w:p w14:paraId="5C9FEE89">
            <w:pPr>
              <w:spacing w:line="460" w:lineRule="exact"/>
              <w:rPr>
                <w:rFonts w:hint="eastAsia" w:ascii="宋体" w:hAnsi="宋体" w:eastAsia="宋体" w:cs="宋体"/>
                <w:color w:val="auto"/>
                <w:kern w:val="2"/>
                <w:sz w:val="24"/>
                <w:highlight w:val="none"/>
              </w:rPr>
            </w:pPr>
          </w:p>
        </w:tc>
      </w:tr>
      <w:tr w14:paraId="2407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990663B">
            <w:pPr>
              <w:spacing w:line="460" w:lineRule="exact"/>
              <w:rPr>
                <w:rFonts w:hint="eastAsia" w:ascii="宋体" w:hAnsi="宋体" w:eastAsia="宋体" w:cs="宋体"/>
                <w:color w:val="auto"/>
                <w:kern w:val="2"/>
                <w:sz w:val="24"/>
                <w:highlight w:val="none"/>
              </w:rPr>
            </w:pPr>
          </w:p>
        </w:tc>
        <w:tc>
          <w:tcPr>
            <w:tcW w:w="850" w:type="dxa"/>
          </w:tcPr>
          <w:p w14:paraId="43AEC26B">
            <w:pPr>
              <w:spacing w:line="460" w:lineRule="exact"/>
              <w:rPr>
                <w:rFonts w:hint="eastAsia" w:ascii="宋体" w:hAnsi="宋体" w:eastAsia="宋体" w:cs="宋体"/>
                <w:color w:val="auto"/>
                <w:kern w:val="2"/>
                <w:sz w:val="24"/>
                <w:highlight w:val="none"/>
              </w:rPr>
            </w:pPr>
          </w:p>
        </w:tc>
        <w:tc>
          <w:tcPr>
            <w:tcW w:w="1005" w:type="dxa"/>
          </w:tcPr>
          <w:p w14:paraId="22656CAC">
            <w:pPr>
              <w:spacing w:line="460" w:lineRule="exact"/>
              <w:rPr>
                <w:rFonts w:hint="eastAsia" w:ascii="宋体" w:hAnsi="宋体" w:eastAsia="宋体" w:cs="宋体"/>
                <w:color w:val="auto"/>
                <w:kern w:val="2"/>
                <w:sz w:val="24"/>
                <w:highlight w:val="none"/>
              </w:rPr>
            </w:pPr>
          </w:p>
        </w:tc>
        <w:tc>
          <w:tcPr>
            <w:tcW w:w="682" w:type="dxa"/>
          </w:tcPr>
          <w:p w14:paraId="2806C83F">
            <w:pPr>
              <w:spacing w:line="460" w:lineRule="exact"/>
              <w:rPr>
                <w:rFonts w:hint="eastAsia" w:ascii="宋体" w:hAnsi="宋体" w:eastAsia="宋体" w:cs="宋体"/>
                <w:color w:val="auto"/>
                <w:kern w:val="2"/>
                <w:sz w:val="24"/>
                <w:highlight w:val="none"/>
              </w:rPr>
            </w:pPr>
          </w:p>
        </w:tc>
        <w:tc>
          <w:tcPr>
            <w:tcW w:w="851" w:type="dxa"/>
          </w:tcPr>
          <w:p w14:paraId="273CD07C">
            <w:pPr>
              <w:spacing w:line="460" w:lineRule="exact"/>
              <w:rPr>
                <w:rFonts w:hint="eastAsia" w:ascii="宋体" w:hAnsi="宋体" w:eastAsia="宋体" w:cs="宋体"/>
                <w:color w:val="auto"/>
                <w:kern w:val="2"/>
                <w:sz w:val="24"/>
                <w:highlight w:val="none"/>
              </w:rPr>
            </w:pPr>
          </w:p>
        </w:tc>
        <w:tc>
          <w:tcPr>
            <w:tcW w:w="1302" w:type="dxa"/>
          </w:tcPr>
          <w:p w14:paraId="6316F658">
            <w:pPr>
              <w:spacing w:line="460" w:lineRule="exact"/>
              <w:rPr>
                <w:rFonts w:hint="eastAsia" w:ascii="宋体" w:hAnsi="宋体" w:eastAsia="宋体" w:cs="宋体"/>
                <w:color w:val="auto"/>
                <w:kern w:val="2"/>
                <w:sz w:val="24"/>
                <w:highlight w:val="none"/>
              </w:rPr>
            </w:pPr>
          </w:p>
        </w:tc>
        <w:tc>
          <w:tcPr>
            <w:tcW w:w="995" w:type="dxa"/>
          </w:tcPr>
          <w:p w14:paraId="02F56AE2">
            <w:pPr>
              <w:spacing w:line="460" w:lineRule="exact"/>
              <w:rPr>
                <w:rFonts w:hint="eastAsia" w:ascii="宋体" w:hAnsi="宋体" w:eastAsia="宋体" w:cs="宋体"/>
                <w:color w:val="auto"/>
                <w:kern w:val="2"/>
                <w:sz w:val="24"/>
                <w:highlight w:val="none"/>
              </w:rPr>
            </w:pPr>
          </w:p>
        </w:tc>
        <w:tc>
          <w:tcPr>
            <w:tcW w:w="906" w:type="dxa"/>
          </w:tcPr>
          <w:p w14:paraId="1C121C92">
            <w:pPr>
              <w:spacing w:line="460" w:lineRule="exact"/>
              <w:rPr>
                <w:rFonts w:hint="eastAsia" w:ascii="宋体" w:hAnsi="宋体" w:eastAsia="宋体" w:cs="宋体"/>
                <w:color w:val="auto"/>
                <w:kern w:val="2"/>
                <w:sz w:val="24"/>
                <w:highlight w:val="none"/>
              </w:rPr>
            </w:pPr>
          </w:p>
        </w:tc>
        <w:tc>
          <w:tcPr>
            <w:tcW w:w="851" w:type="dxa"/>
          </w:tcPr>
          <w:p w14:paraId="7DDED6EB">
            <w:pPr>
              <w:spacing w:line="460" w:lineRule="exact"/>
              <w:rPr>
                <w:rFonts w:hint="eastAsia" w:ascii="宋体" w:hAnsi="宋体" w:eastAsia="宋体" w:cs="宋体"/>
                <w:color w:val="auto"/>
                <w:kern w:val="2"/>
                <w:sz w:val="24"/>
                <w:highlight w:val="none"/>
              </w:rPr>
            </w:pPr>
          </w:p>
        </w:tc>
        <w:tc>
          <w:tcPr>
            <w:tcW w:w="851" w:type="dxa"/>
          </w:tcPr>
          <w:p w14:paraId="68E7E9F5">
            <w:pPr>
              <w:spacing w:line="460" w:lineRule="exact"/>
              <w:rPr>
                <w:rFonts w:hint="eastAsia" w:ascii="宋体" w:hAnsi="宋体" w:eastAsia="宋体" w:cs="宋体"/>
                <w:color w:val="auto"/>
                <w:kern w:val="2"/>
                <w:sz w:val="24"/>
                <w:highlight w:val="none"/>
              </w:rPr>
            </w:pPr>
          </w:p>
        </w:tc>
      </w:tr>
      <w:tr w14:paraId="52C3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74CC73D">
            <w:pPr>
              <w:spacing w:line="460" w:lineRule="exact"/>
              <w:rPr>
                <w:rFonts w:hint="eastAsia" w:ascii="宋体" w:hAnsi="宋体" w:eastAsia="宋体" w:cs="宋体"/>
                <w:color w:val="auto"/>
                <w:kern w:val="2"/>
                <w:sz w:val="24"/>
                <w:highlight w:val="none"/>
              </w:rPr>
            </w:pPr>
          </w:p>
        </w:tc>
        <w:tc>
          <w:tcPr>
            <w:tcW w:w="850" w:type="dxa"/>
          </w:tcPr>
          <w:p w14:paraId="6784500A">
            <w:pPr>
              <w:spacing w:line="460" w:lineRule="exact"/>
              <w:rPr>
                <w:rFonts w:hint="eastAsia" w:ascii="宋体" w:hAnsi="宋体" w:eastAsia="宋体" w:cs="宋体"/>
                <w:color w:val="auto"/>
                <w:kern w:val="2"/>
                <w:sz w:val="24"/>
                <w:highlight w:val="none"/>
              </w:rPr>
            </w:pPr>
          </w:p>
        </w:tc>
        <w:tc>
          <w:tcPr>
            <w:tcW w:w="1005" w:type="dxa"/>
          </w:tcPr>
          <w:p w14:paraId="59FF8A84">
            <w:pPr>
              <w:spacing w:line="460" w:lineRule="exact"/>
              <w:rPr>
                <w:rFonts w:hint="eastAsia" w:ascii="宋体" w:hAnsi="宋体" w:eastAsia="宋体" w:cs="宋体"/>
                <w:color w:val="auto"/>
                <w:kern w:val="2"/>
                <w:sz w:val="24"/>
                <w:highlight w:val="none"/>
              </w:rPr>
            </w:pPr>
          </w:p>
        </w:tc>
        <w:tc>
          <w:tcPr>
            <w:tcW w:w="682" w:type="dxa"/>
          </w:tcPr>
          <w:p w14:paraId="3B71BF99">
            <w:pPr>
              <w:spacing w:line="460" w:lineRule="exact"/>
              <w:rPr>
                <w:rFonts w:hint="eastAsia" w:ascii="宋体" w:hAnsi="宋体" w:eastAsia="宋体" w:cs="宋体"/>
                <w:color w:val="auto"/>
                <w:kern w:val="2"/>
                <w:sz w:val="24"/>
                <w:highlight w:val="none"/>
              </w:rPr>
            </w:pPr>
          </w:p>
        </w:tc>
        <w:tc>
          <w:tcPr>
            <w:tcW w:w="851" w:type="dxa"/>
          </w:tcPr>
          <w:p w14:paraId="15D01BAA">
            <w:pPr>
              <w:spacing w:line="460" w:lineRule="exact"/>
              <w:rPr>
                <w:rFonts w:hint="eastAsia" w:ascii="宋体" w:hAnsi="宋体" w:eastAsia="宋体" w:cs="宋体"/>
                <w:color w:val="auto"/>
                <w:kern w:val="2"/>
                <w:sz w:val="24"/>
                <w:highlight w:val="none"/>
              </w:rPr>
            </w:pPr>
          </w:p>
        </w:tc>
        <w:tc>
          <w:tcPr>
            <w:tcW w:w="1302" w:type="dxa"/>
          </w:tcPr>
          <w:p w14:paraId="6BC1FC62">
            <w:pPr>
              <w:spacing w:line="460" w:lineRule="exact"/>
              <w:rPr>
                <w:rFonts w:hint="eastAsia" w:ascii="宋体" w:hAnsi="宋体" w:eastAsia="宋体" w:cs="宋体"/>
                <w:color w:val="auto"/>
                <w:kern w:val="2"/>
                <w:sz w:val="24"/>
                <w:highlight w:val="none"/>
              </w:rPr>
            </w:pPr>
          </w:p>
        </w:tc>
        <w:tc>
          <w:tcPr>
            <w:tcW w:w="995" w:type="dxa"/>
          </w:tcPr>
          <w:p w14:paraId="0BFC1B37">
            <w:pPr>
              <w:spacing w:line="460" w:lineRule="exact"/>
              <w:rPr>
                <w:rFonts w:hint="eastAsia" w:ascii="宋体" w:hAnsi="宋体" w:eastAsia="宋体" w:cs="宋体"/>
                <w:color w:val="auto"/>
                <w:kern w:val="2"/>
                <w:sz w:val="24"/>
                <w:highlight w:val="none"/>
              </w:rPr>
            </w:pPr>
          </w:p>
        </w:tc>
        <w:tc>
          <w:tcPr>
            <w:tcW w:w="906" w:type="dxa"/>
          </w:tcPr>
          <w:p w14:paraId="61ACB7C3">
            <w:pPr>
              <w:spacing w:line="460" w:lineRule="exact"/>
              <w:rPr>
                <w:rFonts w:hint="eastAsia" w:ascii="宋体" w:hAnsi="宋体" w:eastAsia="宋体" w:cs="宋体"/>
                <w:color w:val="auto"/>
                <w:kern w:val="2"/>
                <w:sz w:val="24"/>
                <w:highlight w:val="none"/>
              </w:rPr>
            </w:pPr>
          </w:p>
        </w:tc>
        <w:tc>
          <w:tcPr>
            <w:tcW w:w="851" w:type="dxa"/>
          </w:tcPr>
          <w:p w14:paraId="3A12A92E">
            <w:pPr>
              <w:spacing w:line="460" w:lineRule="exact"/>
              <w:rPr>
                <w:rFonts w:hint="eastAsia" w:ascii="宋体" w:hAnsi="宋体" w:eastAsia="宋体" w:cs="宋体"/>
                <w:color w:val="auto"/>
                <w:kern w:val="2"/>
                <w:sz w:val="24"/>
                <w:highlight w:val="none"/>
              </w:rPr>
            </w:pPr>
          </w:p>
        </w:tc>
        <w:tc>
          <w:tcPr>
            <w:tcW w:w="851" w:type="dxa"/>
          </w:tcPr>
          <w:p w14:paraId="78F10E6B">
            <w:pPr>
              <w:spacing w:line="460" w:lineRule="exact"/>
              <w:rPr>
                <w:rFonts w:hint="eastAsia" w:ascii="宋体" w:hAnsi="宋体" w:eastAsia="宋体" w:cs="宋体"/>
                <w:color w:val="auto"/>
                <w:kern w:val="2"/>
                <w:sz w:val="24"/>
                <w:highlight w:val="none"/>
              </w:rPr>
            </w:pPr>
          </w:p>
        </w:tc>
      </w:tr>
      <w:tr w14:paraId="0742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00AEA6B">
            <w:pPr>
              <w:spacing w:line="460" w:lineRule="exact"/>
              <w:rPr>
                <w:rFonts w:hint="eastAsia" w:ascii="宋体" w:hAnsi="宋体" w:eastAsia="宋体" w:cs="宋体"/>
                <w:color w:val="auto"/>
                <w:kern w:val="2"/>
                <w:sz w:val="24"/>
                <w:highlight w:val="none"/>
              </w:rPr>
            </w:pPr>
          </w:p>
        </w:tc>
        <w:tc>
          <w:tcPr>
            <w:tcW w:w="850" w:type="dxa"/>
          </w:tcPr>
          <w:p w14:paraId="5DCFBC2C">
            <w:pPr>
              <w:spacing w:line="460" w:lineRule="exact"/>
              <w:rPr>
                <w:rFonts w:hint="eastAsia" w:ascii="宋体" w:hAnsi="宋体" w:eastAsia="宋体" w:cs="宋体"/>
                <w:color w:val="auto"/>
                <w:kern w:val="2"/>
                <w:sz w:val="24"/>
                <w:highlight w:val="none"/>
              </w:rPr>
            </w:pPr>
          </w:p>
        </w:tc>
        <w:tc>
          <w:tcPr>
            <w:tcW w:w="1005" w:type="dxa"/>
          </w:tcPr>
          <w:p w14:paraId="0572D1C2">
            <w:pPr>
              <w:spacing w:line="460" w:lineRule="exact"/>
              <w:rPr>
                <w:rFonts w:hint="eastAsia" w:ascii="宋体" w:hAnsi="宋体" w:eastAsia="宋体" w:cs="宋体"/>
                <w:color w:val="auto"/>
                <w:kern w:val="2"/>
                <w:sz w:val="24"/>
                <w:highlight w:val="none"/>
              </w:rPr>
            </w:pPr>
          </w:p>
        </w:tc>
        <w:tc>
          <w:tcPr>
            <w:tcW w:w="682" w:type="dxa"/>
          </w:tcPr>
          <w:p w14:paraId="20E5B6ED">
            <w:pPr>
              <w:spacing w:line="460" w:lineRule="exact"/>
              <w:rPr>
                <w:rFonts w:hint="eastAsia" w:ascii="宋体" w:hAnsi="宋体" w:eastAsia="宋体" w:cs="宋体"/>
                <w:color w:val="auto"/>
                <w:kern w:val="2"/>
                <w:sz w:val="24"/>
                <w:highlight w:val="none"/>
              </w:rPr>
            </w:pPr>
          </w:p>
        </w:tc>
        <w:tc>
          <w:tcPr>
            <w:tcW w:w="851" w:type="dxa"/>
          </w:tcPr>
          <w:p w14:paraId="27A76576">
            <w:pPr>
              <w:spacing w:line="460" w:lineRule="exact"/>
              <w:rPr>
                <w:rFonts w:hint="eastAsia" w:ascii="宋体" w:hAnsi="宋体" w:eastAsia="宋体" w:cs="宋体"/>
                <w:color w:val="auto"/>
                <w:kern w:val="2"/>
                <w:sz w:val="24"/>
                <w:highlight w:val="none"/>
              </w:rPr>
            </w:pPr>
          </w:p>
        </w:tc>
        <w:tc>
          <w:tcPr>
            <w:tcW w:w="1302" w:type="dxa"/>
          </w:tcPr>
          <w:p w14:paraId="5BEC1EA8">
            <w:pPr>
              <w:spacing w:line="460" w:lineRule="exact"/>
              <w:rPr>
                <w:rFonts w:hint="eastAsia" w:ascii="宋体" w:hAnsi="宋体" w:eastAsia="宋体" w:cs="宋体"/>
                <w:color w:val="auto"/>
                <w:kern w:val="2"/>
                <w:sz w:val="24"/>
                <w:highlight w:val="none"/>
              </w:rPr>
            </w:pPr>
          </w:p>
        </w:tc>
        <w:tc>
          <w:tcPr>
            <w:tcW w:w="995" w:type="dxa"/>
          </w:tcPr>
          <w:p w14:paraId="0C60F51E">
            <w:pPr>
              <w:spacing w:line="460" w:lineRule="exact"/>
              <w:rPr>
                <w:rFonts w:hint="eastAsia" w:ascii="宋体" w:hAnsi="宋体" w:eastAsia="宋体" w:cs="宋体"/>
                <w:color w:val="auto"/>
                <w:kern w:val="2"/>
                <w:sz w:val="24"/>
                <w:highlight w:val="none"/>
              </w:rPr>
            </w:pPr>
          </w:p>
        </w:tc>
        <w:tc>
          <w:tcPr>
            <w:tcW w:w="906" w:type="dxa"/>
          </w:tcPr>
          <w:p w14:paraId="7EA82A74">
            <w:pPr>
              <w:spacing w:line="460" w:lineRule="exact"/>
              <w:rPr>
                <w:rFonts w:hint="eastAsia" w:ascii="宋体" w:hAnsi="宋体" w:eastAsia="宋体" w:cs="宋体"/>
                <w:color w:val="auto"/>
                <w:kern w:val="2"/>
                <w:sz w:val="24"/>
                <w:highlight w:val="none"/>
              </w:rPr>
            </w:pPr>
          </w:p>
        </w:tc>
        <w:tc>
          <w:tcPr>
            <w:tcW w:w="851" w:type="dxa"/>
          </w:tcPr>
          <w:p w14:paraId="1471AAF1">
            <w:pPr>
              <w:spacing w:line="460" w:lineRule="exact"/>
              <w:rPr>
                <w:rFonts w:hint="eastAsia" w:ascii="宋体" w:hAnsi="宋体" w:eastAsia="宋体" w:cs="宋体"/>
                <w:color w:val="auto"/>
                <w:kern w:val="2"/>
                <w:sz w:val="24"/>
                <w:highlight w:val="none"/>
              </w:rPr>
            </w:pPr>
          </w:p>
        </w:tc>
        <w:tc>
          <w:tcPr>
            <w:tcW w:w="851" w:type="dxa"/>
          </w:tcPr>
          <w:p w14:paraId="67B78A55">
            <w:pPr>
              <w:spacing w:line="460" w:lineRule="exact"/>
              <w:rPr>
                <w:rFonts w:hint="eastAsia" w:ascii="宋体" w:hAnsi="宋体" w:eastAsia="宋体" w:cs="宋体"/>
                <w:color w:val="auto"/>
                <w:kern w:val="2"/>
                <w:sz w:val="24"/>
                <w:highlight w:val="none"/>
              </w:rPr>
            </w:pPr>
          </w:p>
        </w:tc>
      </w:tr>
      <w:tr w14:paraId="1269D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9D42D0E">
            <w:pPr>
              <w:spacing w:line="460" w:lineRule="exact"/>
              <w:rPr>
                <w:rFonts w:hint="eastAsia" w:ascii="宋体" w:hAnsi="宋体" w:eastAsia="宋体" w:cs="宋体"/>
                <w:color w:val="auto"/>
                <w:kern w:val="2"/>
                <w:sz w:val="24"/>
                <w:highlight w:val="none"/>
              </w:rPr>
            </w:pPr>
          </w:p>
        </w:tc>
        <w:tc>
          <w:tcPr>
            <w:tcW w:w="850" w:type="dxa"/>
          </w:tcPr>
          <w:p w14:paraId="4BD13B37">
            <w:pPr>
              <w:spacing w:line="460" w:lineRule="exact"/>
              <w:rPr>
                <w:rFonts w:hint="eastAsia" w:ascii="宋体" w:hAnsi="宋体" w:eastAsia="宋体" w:cs="宋体"/>
                <w:color w:val="auto"/>
                <w:kern w:val="2"/>
                <w:sz w:val="24"/>
                <w:highlight w:val="none"/>
              </w:rPr>
            </w:pPr>
          </w:p>
        </w:tc>
        <w:tc>
          <w:tcPr>
            <w:tcW w:w="1005" w:type="dxa"/>
          </w:tcPr>
          <w:p w14:paraId="34D9919C">
            <w:pPr>
              <w:spacing w:line="460" w:lineRule="exact"/>
              <w:rPr>
                <w:rFonts w:hint="eastAsia" w:ascii="宋体" w:hAnsi="宋体" w:eastAsia="宋体" w:cs="宋体"/>
                <w:color w:val="auto"/>
                <w:kern w:val="2"/>
                <w:sz w:val="24"/>
                <w:highlight w:val="none"/>
              </w:rPr>
            </w:pPr>
          </w:p>
        </w:tc>
        <w:tc>
          <w:tcPr>
            <w:tcW w:w="682" w:type="dxa"/>
          </w:tcPr>
          <w:p w14:paraId="19B3E557">
            <w:pPr>
              <w:spacing w:line="460" w:lineRule="exact"/>
              <w:rPr>
                <w:rFonts w:hint="eastAsia" w:ascii="宋体" w:hAnsi="宋体" w:eastAsia="宋体" w:cs="宋体"/>
                <w:color w:val="auto"/>
                <w:kern w:val="2"/>
                <w:sz w:val="24"/>
                <w:highlight w:val="none"/>
              </w:rPr>
            </w:pPr>
          </w:p>
        </w:tc>
        <w:tc>
          <w:tcPr>
            <w:tcW w:w="851" w:type="dxa"/>
          </w:tcPr>
          <w:p w14:paraId="25720204">
            <w:pPr>
              <w:spacing w:line="460" w:lineRule="exact"/>
              <w:rPr>
                <w:rFonts w:hint="eastAsia" w:ascii="宋体" w:hAnsi="宋体" w:eastAsia="宋体" w:cs="宋体"/>
                <w:color w:val="auto"/>
                <w:kern w:val="2"/>
                <w:sz w:val="24"/>
                <w:highlight w:val="none"/>
              </w:rPr>
            </w:pPr>
          </w:p>
        </w:tc>
        <w:tc>
          <w:tcPr>
            <w:tcW w:w="1302" w:type="dxa"/>
          </w:tcPr>
          <w:p w14:paraId="21C40AE7">
            <w:pPr>
              <w:spacing w:line="460" w:lineRule="exact"/>
              <w:rPr>
                <w:rFonts w:hint="eastAsia" w:ascii="宋体" w:hAnsi="宋体" w:eastAsia="宋体" w:cs="宋体"/>
                <w:color w:val="auto"/>
                <w:kern w:val="2"/>
                <w:sz w:val="24"/>
                <w:highlight w:val="none"/>
              </w:rPr>
            </w:pPr>
          </w:p>
        </w:tc>
        <w:tc>
          <w:tcPr>
            <w:tcW w:w="995" w:type="dxa"/>
          </w:tcPr>
          <w:p w14:paraId="78E30346">
            <w:pPr>
              <w:spacing w:line="460" w:lineRule="exact"/>
              <w:rPr>
                <w:rFonts w:hint="eastAsia" w:ascii="宋体" w:hAnsi="宋体" w:eastAsia="宋体" w:cs="宋体"/>
                <w:color w:val="auto"/>
                <w:kern w:val="2"/>
                <w:sz w:val="24"/>
                <w:highlight w:val="none"/>
              </w:rPr>
            </w:pPr>
          </w:p>
        </w:tc>
        <w:tc>
          <w:tcPr>
            <w:tcW w:w="906" w:type="dxa"/>
          </w:tcPr>
          <w:p w14:paraId="38019FF2">
            <w:pPr>
              <w:spacing w:line="460" w:lineRule="exact"/>
              <w:rPr>
                <w:rFonts w:hint="eastAsia" w:ascii="宋体" w:hAnsi="宋体" w:eastAsia="宋体" w:cs="宋体"/>
                <w:color w:val="auto"/>
                <w:kern w:val="2"/>
                <w:sz w:val="24"/>
                <w:highlight w:val="none"/>
              </w:rPr>
            </w:pPr>
          </w:p>
        </w:tc>
        <w:tc>
          <w:tcPr>
            <w:tcW w:w="851" w:type="dxa"/>
          </w:tcPr>
          <w:p w14:paraId="3161E925">
            <w:pPr>
              <w:spacing w:line="460" w:lineRule="exact"/>
              <w:rPr>
                <w:rFonts w:hint="eastAsia" w:ascii="宋体" w:hAnsi="宋体" w:eastAsia="宋体" w:cs="宋体"/>
                <w:color w:val="auto"/>
                <w:kern w:val="2"/>
                <w:sz w:val="24"/>
                <w:highlight w:val="none"/>
              </w:rPr>
            </w:pPr>
          </w:p>
        </w:tc>
        <w:tc>
          <w:tcPr>
            <w:tcW w:w="851" w:type="dxa"/>
          </w:tcPr>
          <w:p w14:paraId="143A0F4E">
            <w:pPr>
              <w:spacing w:line="460" w:lineRule="exact"/>
              <w:rPr>
                <w:rFonts w:hint="eastAsia" w:ascii="宋体" w:hAnsi="宋体" w:eastAsia="宋体" w:cs="宋体"/>
                <w:color w:val="auto"/>
                <w:kern w:val="2"/>
                <w:sz w:val="24"/>
                <w:highlight w:val="none"/>
              </w:rPr>
            </w:pPr>
          </w:p>
        </w:tc>
      </w:tr>
      <w:tr w14:paraId="4CAB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1237E15">
            <w:pPr>
              <w:spacing w:line="460" w:lineRule="exact"/>
              <w:rPr>
                <w:rFonts w:hint="eastAsia" w:ascii="宋体" w:hAnsi="宋体" w:eastAsia="宋体" w:cs="宋体"/>
                <w:color w:val="auto"/>
                <w:kern w:val="2"/>
                <w:sz w:val="24"/>
                <w:highlight w:val="none"/>
              </w:rPr>
            </w:pPr>
          </w:p>
        </w:tc>
        <w:tc>
          <w:tcPr>
            <w:tcW w:w="850" w:type="dxa"/>
          </w:tcPr>
          <w:p w14:paraId="49A8AC97">
            <w:pPr>
              <w:spacing w:line="460" w:lineRule="exact"/>
              <w:rPr>
                <w:rFonts w:hint="eastAsia" w:ascii="宋体" w:hAnsi="宋体" w:eastAsia="宋体" w:cs="宋体"/>
                <w:color w:val="auto"/>
                <w:kern w:val="2"/>
                <w:sz w:val="24"/>
                <w:highlight w:val="none"/>
              </w:rPr>
            </w:pPr>
          </w:p>
        </w:tc>
        <w:tc>
          <w:tcPr>
            <w:tcW w:w="1005" w:type="dxa"/>
          </w:tcPr>
          <w:p w14:paraId="66F20933">
            <w:pPr>
              <w:spacing w:line="460" w:lineRule="exact"/>
              <w:rPr>
                <w:rFonts w:hint="eastAsia" w:ascii="宋体" w:hAnsi="宋体" w:eastAsia="宋体" w:cs="宋体"/>
                <w:color w:val="auto"/>
                <w:kern w:val="2"/>
                <w:sz w:val="24"/>
                <w:highlight w:val="none"/>
              </w:rPr>
            </w:pPr>
          </w:p>
        </w:tc>
        <w:tc>
          <w:tcPr>
            <w:tcW w:w="682" w:type="dxa"/>
          </w:tcPr>
          <w:p w14:paraId="6E57E7DB">
            <w:pPr>
              <w:spacing w:line="460" w:lineRule="exact"/>
              <w:rPr>
                <w:rFonts w:hint="eastAsia" w:ascii="宋体" w:hAnsi="宋体" w:eastAsia="宋体" w:cs="宋体"/>
                <w:color w:val="auto"/>
                <w:kern w:val="2"/>
                <w:sz w:val="24"/>
                <w:highlight w:val="none"/>
              </w:rPr>
            </w:pPr>
          </w:p>
        </w:tc>
        <w:tc>
          <w:tcPr>
            <w:tcW w:w="851" w:type="dxa"/>
          </w:tcPr>
          <w:p w14:paraId="3D669FD7">
            <w:pPr>
              <w:spacing w:line="460" w:lineRule="exact"/>
              <w:rPr>
                <w:rFonts w:hint="eastAsia" w:ascii="宋体" w:hAnsi="宋体" w:eastAsia="宋体" w:cs="宋体"/>
                <w:color w:val="auto"/>
                <w:kern w:val="2"/>
                <w:sz w:val="24"/>
                <w:highlight w:val="none"/>
              </w:rPr>
            </w:pPr>
          </w:p>
        </w:tc>
        <w:tc>
          <w:tcPr>
            <w:tcW w:w="1302" w:type="dxa"/>
          </w:tcPr>
          <w:p w14:paraId="250EC882">
            <w:pPr>
              <w:spacing w:line="460" w:lineRule="exact"/>
              <w:rPr>
                <w:rFonts w:hint="eastAsia" w:ascii="宋体" w:hAnsi="宋体" w:eastAsia="宋体" w:cs="宋体"/>
                <w:color w:val="auto"/>
                <w:kern w:val="2"/>
                <w:sz w:val="24"/>
                <w:highlight w:val="none"/>
              </w:rPr>
            </w:pPr>
          </w:p>
        </w:tc>
        <w:tc>
          <w:tcPr>
            <w:tcW w:w="995" w:type="dxa"/>
          </w:tcPr>
          <w:p w14:paraId="432EEF0E">
            <w:pPr>
              <w:spacing w:line="460" w:lineRule="exact"/>
              <w:rPr>
                <w:rFonts w:hint="eastAsia" w:ascii="宋体" w:hAnsi="宋体" w:eastAsia="宋体" w:cs="宋体"/>
                <w:color w:val="auto"/>
                <w:kern w:val="2"/>
                <w:sz w:val="24"/>
                <w:highlight w:val="none"/>
              </w:rPr>
            </w:pPr>
          </w:p>
        </w:tc>
        <w:tc>
          <w:tcPr>
            <w:tcW w:w="906" w:type="dxa"/>
          </w:tcPr>
          <w:p w14:paraId="7A95BF07">
            <w:pPr>
              <w:spacing w:line="460" w:lineRule="exact"/>
              <w:rPr>
                <w:rFonts w:hint="eastAsia" w:ascii="宋体" w:hAnsi="宋体" w:eastAsia="宋体" w:cs="宋体"/>
                <w:color w:val="auto"/>
                <w:kern w:val="2"/>
                <w:sz w:val="24"/>
                <w:highlight w:val="none"/>
              </w:rPr>
            </w:pPr>
          </w:p>
        </w:tc>
        <w:tc>
          <w:tcPr>
            <w:tcW w:w="851" w:type="dxa"/>
          </w:tcPr>
          <w:p w14:paraId="5DCE72AA">
            <w:pPr>
              <w:spacing w:line="460" w:lineRule="exact"/>
              <w:rPr>
                <w:rFonts w:hint="eastAsia" w:ascii="宋体" w:hAnsi="宋体" w:eastAsia="宋体" w:cs="宋体"/>
                <w:color w:val="auto"/>
                <w:kern w:val="2"/>
                <w:sz w:val="24"/>
                <w:highlight w:val="none"/>
              </w:rPr>
            </w:pPr>
          </w:p>
        </w:tc>
        <w:tc>
          <w:tcPr>
            <w:tcW w:w="851" w:type="dxa"/>
          </w:tcPr>
          <w:p w14:paraId="5411DF2A">
            <w:pPr>
              <w:spacing w:line="460" w:lineRule="exact"/>
              <w:rPr>
                <w:rFonts w:hint="eastAsia" w:ascii="宋体" w:hAnsi="宋体" w:eastAsia="宋体" w:cs="宋体"/>
                <w:color w:val="auto"/>
                <w:kern w:val="2"/>
                <w:sz w:val="24"/>
                <w:highlight w:val="none"/>
              </w:rPr>
            </w:pPr>
          </w:p>
        </w:tc>
      </w:tr>
      <w:tr w14:paraId="08EA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E1CAE05">
            <w:pPr>
              <w:spacing w:line="460" w:lineRule="exact"/>
              <w:rPr>
                <w:rFonts w:hint="eastAsia" w:ascii="宋体" w:hAnsi="宋体" w:eastAsia="宋体" w:cs="宋体"/>
                <w:color w:val="auto"/>
                <w:kern w:val="2"/>
                <w:sz w:val="24"/>
                <w:highlight w:val="none"/>
              </w:rPr>
            </w:pPr>
          </w:p>
        </w:tc>
        <w:tc>
          <w:tcPr>
            <w:tcW w:w="850" w:type="dxa"/>
          </w:tcPr>
          <w:p w14:paraId="0D4CD26E">
            <w:pPr>
              <w:spacing w:line="460" w:lineRule="exact"/>
              <w:rPr>
                <w:rFonts w:hint="eastAsia" w:ascii="宋体" w:hAnsi="宋体" w:eastAsia="宋体" w:cs="宋体"/>
                <w:color w:val="auto"/>
                <w:kern w:val="2"/>
                <w:sz w:val="24"/>
                <w:highlight w:val="none"/>
              </w:rPr>
            </w:pPr>
          </w:p>
        </w:tc>
        <w:tc>
          <w:tcPr>
            <w:tcW w:w="1005" w:type="dxa"/>
          </w:tcPr>
          <w:p w14:paraId="57318CEB">
            <w:pPr>
              <w:spacing w:line="460" w:lineRule="exact"/>
              <w:rPr>
                <w:rFonts w:hint="eastAsia" w:ascii="宋体" w:hAnsi="宋体" w:eastAsia="宋体" w:cs="宋体"/>
                <w:color w:val="auto"/>
                <w:kern w:val="2"/>
                <w:sz w:val="24"/>
                <w:highlight w:val="none"/>
              </w:rPr>
            </w:pPr>
          </w:p>
        </w:tc>
        <w:tc>
          <w:tcPr>
            <w:tcW w:w="682" w:type="dxa"/>
          </w:tcPr>
          <w:p w14:paraId="22F7EDBD">
            <w:pPr>
              <w:spacing w:line="460" w:lineRule="exact"/>
              <w:rPr>
                <w:rFonts w:hint="eastAsia" w:ascii="宋体" w:hAnsi="宋体" w:eastAsia="宋体" w:cs="宋体"/>
                <w:color w:val="auto"/>
                <w:kern w:val="2"/>
                <w:sz w:val="24"/>
                <w:highlight w:val="none"/>
              </w:rPr>
            </w:pPr>
          </w:p>
        </w:tc>
        <w:tc>
          <w:tcPr>
            <w:tcW w:w="851" w:type="dxa"/>
          </w:tcPr>
          <w:p w14:paraId="1C682163">
            <w:pPr>
              <w:spacing w:line="460" w:lineRule="exact"/>
              <w:rPr>
                <w:rFonts w:hint="eastAsia" w:ascii="宋体" w:hAnsi="宋体" w:eastAsia="宋体" w:cs="宋体"/>
                <w:color w:val="auto"/>
                <w:kern w:val="2"/>
                <w:sz w:val="24"/>
                <w:highlight w:val="none"/>
              </w:rPr>
            </w:pPr>
          </w:p>
        </w:tc>
        <w:tc>
          <w:tcPr>
            <w:tcW w:w="1302" w:type="dxa"/>
          </w:tcPr>
          <w:p w14:paraId="61D58F81">
            <w:pPr>
              <w:spacing w:line="460" w:lineRule="exact"/>
              <w:rPr>
                <w:rFonts w:hint="eastAsia" w:ascii="宋体" w:hAnsi="宋体" w:eastAsia="宋体" w:cs="宋体"/>
                <w:color w:val="auto"/>
                <w:kern w:val="2"/>
                <w:sz w:val="24"/>
                <w:highlight w:val="none"/>
              </w:rPr>
            </w:pPr>
          </w:p>
        </w:tc>
        <w:tc>
          <w:tcPr>
            <w:tcW w:w="995" w:type="dxa"/>
          </w:tcPr>
          <w:p w14:paraId="58EF3F13">
            <w:pPr>
              <w:spacing w:line="460" w:lineRule="exact"/>
              <w:rPr>
                <w:rFonts w:hint="eastAsia" w:ascii="宋体" w:hAnsi="宋体" w:eastAsia="宋体" w:cs="宋体"/>
                <w:color w:val="auto"/>
                <w:kern w:val="2"/>
                <w:sz w:val="24"/>
                <w:highlight w:val="none"/>
              </w:rPr>
            </w:pPr>
          </w:p>
        </w:tc>
        <w:tc>
          <w:tcPr>
            <w:tcW w:w="906" w:type="dxa"/>
          </w:tcPr>
          <w:p w14:paraId="6D53955D">
            <w:pPr>
              <w:spacing w:line="460" w:lineRule="exact"/>
              <w:rPr>
                <w:rFonts w:hint="eastAsia" w:ascii="宋体" w:hAnsi="宋体" w:eastAsia="宋体" w:cs="宋体"/>
                <w:color w:val="auto"/>
                <w:kern w:val="2"/>
                <w:sz w:val="24"/>
                <w:highlight w:val="none"/>
              </w:rPr>
            </w:pPr>
          </w:p>
        </w:tc>
        <w:tc>
          <w:tcPr>
            <w:tcW w:w="851" w:type="dxa"/>
          </w:tcPr>
          <w:p w14:paraId="3A960C58">
            <w:pPr>
              <w:spacing w:line="460" w:lineRule="exact"/>
              <w:rPr>
                <w:rFonts w:hint="eastAsia" w:ascii="宋体" w:hAnsi="宋体" w:eastAsia="宋体" w:cs="宋体"/>
                <w:color w:val="auto"/>
                <w:kern w:val="2"/>
                <w:sz w:val="24"/>
                <w:highlight w:val="none"/>
              </w:rPr>
            </w:pPr>
          </w:p>
        </w:tc>
        <w:tc>
          <w:tcPr>
            <w:tcW w:w="851" w:type="dxa"/>
          </w:tcPr>
          <w:p w14:paraId="296453AD">
            <w:pPr>
              <w:spacing w:line="460" w:lineRule="exact"/>
              <w:rPr>
                <w:rFonts w:hint="eastAsia" w:ascii="宋体" w:hAnsi="宋体" w:eastAsia="宋体" w:cs="宋体"/>
                <w:color w:val="auto"/>
                <w:kern w:val="2"/>
                <w:sz w:val="24"/>
                <w:highlight w:val="none"/>
              </w:rPr>
            </w:pPr>
          </w:p>
        </w:tc>
      </w:tr>
      <w:tr w14:paraId="5F4E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6B335DD">
            <w:pPr>
              <w:spacing w:line="460" w:lineRule="exact"/>
              <w:rPr>
                <w:rFonts w:hint="eastAsia" w:ascii="宋体" w:hAnsi="宋体" w:eastAsia="宋体" w:cs="宋体"/>
                <w:color w:val="auto"/>
                <w:kern w:val="2"/>
                <w:sz w:val="24"/>
                <w:highlight w:val="none"/>
              </w:rPr>
            </w:pPr>
          </w:p>
        </w:tc>
        <w:tc>
          <w:tcPr>
            <w:tcW w:w="850" w:type="dxa"/>
          </w:tcPr>
          <w:p w14:paraId="14261F94">
            <w:pPr>
              <w:spacing w:line="460" w:lineRule="exact"/>
              <w:rPr>
                <w:rFonts w:hint="eastAsia" w:ascii="宋体" w:hAnsi="宋体" w:eastAsia="宋体" w:cs="宋体"/>
                <w:color w:val="auto"/>
                <w:kern w:val="2"/>
                <w:sz w:val="24"/>
                <w:highlight w:val="none"/>
              </w:rPr>
            </w:pPr>
          </w:p>
        </w:tc>
        <w:tc>
          <w:tcPr>
            <w:tcW w:w="1005" w:type="dxa"/>
          </w:tcPr>
          <w:p w14:paraId="15961E66">
            <w:pPr>
              <w:spacing w:line="460" w:lineRule="exact"/>
              <w:rPr>
                <w:rFonts w:hint="eastAsia" w:ascii="宋体" w:hAnsi="宋体" w:eastAsia="宋体" w:cs="宋体"/>
                <w:color w:val="auto"/>
                <w:kern w:val="2"/>
                <w:sz w:val="24"/>
                <w:highlight w:val="none"/>
              </w:rPr>
            </w:pPr>
          </w:p>
        </w:tc>
        <w:tc>
          <w:tcPr>
            <w:tcW w:w="682" w:type="dxa"/>
          </w:tcPr>
          <w:p w14:paraId="3B18FA49">
            <w:pPr>
              <w:spacing w:line="460" w:lineRule="exact"/>
              <w:rPr>
                <w:rFonts w:hint="eastAsia" w:ascii="宋体" w:hAnsi="宋体" w:eastAsia="宋体" w:cs="宋体"/>
                <w:color w:val="auto"/>
                <w:kern w:val="2"/>
                <w:sz w:val="24"/>
                <w:highlight w:val="none"/>
              </w:rPr>
            </w:pPr>
          </w:p>
        </w:tc>
        <w:tc>
          <w:tcPr>
            <w:tcW w:w="851" w:type="dxa"/>
          </w:tcPr>
          <w:p w14:paraId="48468415">
            <w:pPr>
              <w:spacing w:line="460" w:lineRule="exact"/>
              <w:rPr>
                <w:rFonts w:hint="eastAsia" w:ascii="宋体" w:hAnsi="宋体" w:eastAsia="宋体" w:cs="宋体"/>
                <w:color w:val="auto"/>
                <w:kern w:val="2"/>
                <w:sz w:val="24"/>
                <w:highlight w:val="none"/>
              </w:rPr>
            </w:pPr>
          </w:p>
        </w:tc>
        <w:tc>
          <w:tcPr>
            <w:tcW w:w="1302" w:type="dxa"/>
          </w:tcPr>
          <w:p w14:paraId="5445F0FF">
            <w:pPr>
              <w:spacing w:line="460" w:lineRule="exact"/>
              <w:rPr>
                <w:rFonts w:hint="eastAsia" w:ascii="宋体" w:hAnsi="宋体" w:eastAsia="宋体" w:cs="宋体"/>
                <w:color w:val="auto"/>
                <w:kern w:val="2"/>
                <w:sz w:val="24"/>
                <w:highlight w:val="none"/>
              </w:rPr>
            </w:pPr>
          </w:p>
        </w:tc>
        <w:tc>
          <w:tcPr>
            <w:tcW w:w="995" w:type="dxa"/>
          </w:tcPr>
          <w:p w14:paraId="1A3B3889">
            <w:pPr>
              <w:spacing w:line="460" w:lineRule="exact"/>
              <w:rPr>
                <w:rFonts w:hint="eastAsia" w:ascii="宋体" w:hAnsi="宋体" w:eastAsia="宋体" w:cs="宋体"/>
                <w:color w:val="auto"/>
                <w:kern w:val="2"/>
                <w:sz w:val="24"/>
                <w:highlight w:val="none"/>
              </w:rPr>
            </w:pPr>
          </w:p>
        </w:tc>
        <w:tc>
          <w:tcPr>
            <w:tcW w:w="906" w:type="dxa"/>
          </w:tcPr>
          <w:p w14:paraId="6CF4A7B3">
            <w:pPr>
              <w:spacing w:line="460" w:lineRule="exact"/>
              <w:rPr>
                <w:rFonts w:hint="eastAsia" w:ascii="宋体" w:hAnsi="宋体" w:eastAsia="宋体" w:cs="宋体"/>
                <w:color w:val="auto"/>
                <w:kern w:val="2"/>
                <w:sz w:val="24"/>
                <w:highlight w:val="none"/>
              </w:rPr>
            </w:pPr>
          </w:p>
        </w:tc>
        <w:tc>
          <w:tcPr>
            <w:tcW w:w="851" w:type="dxa"/>
          </w:tcPr>
          <w:p w14:paraId="00D26642">
            <w:pPr>
              <w:spacing w:line="460" w:lineRule="exact"/>
              <w:rPr>
                <w:rFonts w:hint="eastAsia" w:ascii="宋体" w:hAnsi="宋体" w:eastAsia="宋体" w:cs="宋体"/>
                <w:color w:val="auto"/>
                <w:kern w:val="2"/>
                <w:sz w:val="24"/>
                <w:highlight w:val="none"/>
              </w:rPr>
            </w:pPr>
          </w:p>
        </w:tc>
        <w:tc>
          <w:tcPr>
            <w:tcW w:w="851" w:type="dxa"/>
          </w:tcPr>
          <w:p w14:paraId="22A99891">
            <w:pPr>
              <w:spacing w:line="460" w:lineRule="exact"/>
              <w:rPr>
                <w:rFonts w:hint="eastAsia" w:ascii="宋体" w:hAnsi="宋体" w:eastAsia="宋体" w:cs="宋体"/>
                <w:color w:val="auto"/>
                <w:kern w:val="2"/>
                <w:sz w:val="24"/>
                <w:highlight w:val="none"/>
              </w:rPr>
            </w:pPr>
          </w:p>
        </w:tc>
      </w:tr>
      <w:tr w14:paraId="4F0C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A6AFF42">
            <w:pPr>
              <w:spacing w:line="460" w:lineRule="exact"/>
              <w:rPr>
                <w:rFonts w:hint="eastAsia" w:ascii="宋体" w:hAnsi="宋体" w:eastAsia="宋体" w:cs="宋体"/>
                <w:color w:val="auto"/>
                <w:kern w:val="2"/>
                <w:sz w:val="24"/>
                <w:highlight w:val="none"/>
              </w:rPr>
            </w:pPr>
          </w:p>
        </w:tc>
        <w:tc>
          <w:tcPr>
            <w:tcW w:w="850" w:type="dxa"/>
          </w:tcPr>
          <w:p w14:paraId="25CF702E">
            <w:pPr>
              <w:spacing w:line="460" w:lineRule="exact"/>
              <w:rPr>
                <w:rFonts w:hint="eastAsia" w:ascii="宋体" w:hAnsi="宋体" w:eastAsia="宋体" w:cs="宋体"/>
                <w:color w:val="auto"/>
                <w:kern w:val="2"/>
                <w:sz w:val="24"/>
                <w:highlight w:val="none"/>
              </w:rPr>
            </w:pPr>
          </w:p>
        </w:tc>
        <w:tc>
          <w:tcPr>
            <w:tcW w:w="1005" w:type="dxa"/>
          </w:tcPr>
          <w:p w14:paraId="220F4917">
            <w:pPr>
              <w:spacing w:line="460" w:lineRule="exact"/>
              <w:rPr>
                <w:rFonts w:hint="eastAsia" w:ascii="宋体" w:hAnsi="宋体" w:eastAsia="宋体" w:cs="宋体"/>
                <w:color w:val="auto"/>
                <w:kern w:val="2"/>
                <w:sz w:val="24"/>
                <w:highlight w:val="none"/>
              </w:rPr>
            </w:pPr>
          </w:p>
        </w:tc>
        <w:tc>
          <w:tcPr>
            <w:tcW w:w="682" w:type="dxa"/>
          </w:tcPr>
          <w:p w14:paraId="3F73A98F">
            <w:pPr>
              <w:spacing w:line="460" w:lineRule="exact"/>
              <w:rPr>
                <w:rFonts w:hint="eastAsia" w:ascii="宋体" w:hAnsi="宋体" w:eastAsia="宋体" w:cs="宋体"/>
                <w:color w:val="auto"/>
                <w:kern w:val="2"/>
                <w:sz w:val="24"/>
                <w:highlight w:val="none"/>
              </w:rPr>
            </w:pPr>
          </w:p>
        </w:tc>
        <w:tc>
          <w:tcPr>
            <w:tcW w:w="851" w:type="dxa"/>
          </w:tcPr>
          <w:p w14:paraId="533CA140">
            <w:pPr>
              <w:spacing w:line="460" w:lineRule="exact"/>
              <w:rPr>
                <w:rFonts w:hint="eastAsia" w:ascii="宋体" w:hAnsi="宋体" w:eastAsia="宋体" w:cs="宋体"/>
                <w:color w:val="auto"/>
                <w:kern w:val="2"/>
                <w:sz w:val="24"/>
                <w:highlight w:val="none"/>
              </w:rPr>
            </w:pPr>
          </w:p>
        </w:tc>
        <w:tc>
          <w:tcPr>
            <w:tcW w:w="1302" w:type="dxa"/>
          </w:tcPr>
          <w:p w14:paraId="5802E6F8">
            <w:pPr>
              <w:spacing w:line="460" w:lineRule="exact"/>
              <w:rPr>
                <w:rFonts w:hint="eastAsia" w:ascii="宋体" w:hAnsi="宋体" w:eastAsia="宋体" w:cs="宋体"/>
                <w:color w:val="auto"/>
                <w:kern w:val="2"/>
                <w:sz w:val="24"/>
                <w:highlight w:val="none"/>
              </w:rPr>
            </w:pPr>
          </w:p>
        </w:tc>
        <w:tc>
          <w:tcPr>
            <w:tcW w:w="995" w:type="dxa"/>
          </w:tcPr>
          <w:p w14:paraId="0263A651">
            <w:pPr>
              <w:spacing w:line="460" w:lineRule="exact"/>
              <w:rPr>
                <w:rFonts w:hint="eastAsia" w:ascii="宋体" w:hAnsi="宋体" w:eastAsia="宋体" w:cs="宋体"/>
                <w:color w:val="auto"/>
                <w:kern w:val="2"/>
                <w:sz w:val="24"/>
                <w:highlight w:val="none"/>
              </w:rPr>
            </w:pPr>
          </w:p>
        </w:tc>
        <w:tc>
          <w:tcPr>
            <w:tcW w:w="906" w:type="dxa"/>
          </w:tcPr>
          <w:p w14:paraId="43F02C52">
            <w:pPr>
              <w:spacing w:line="460" w:lineRule="exact"/>
              <w:rPr>
                <w:rFonts w:hint="eastAsia" w:ascii="宋体" w:hAnsi="宋体" w:eastAsia="宋体" w:cs="宋体"/>
                <w:color w:val="auto"/>
                <w:kern w:val="2"/>
                <w:sz w:val="24"/>
                <w:highlight w:val="none"/>
              </w:rPr>
            </w:pPr>
          </w:p>
        </w:tc>
        <w:tc>
          <w:tcPr>
            <w:tcW w:w="851" w:type="dxa"/>
          </w:tcPr>
          <w:p w14:paraId="6FE116C9">
            <w:pPr>
              <w:spacing w:line="460" w:lineRule="exact"/>
              <w:rPr>
                <w:rFonts w:hint="eastAsia" w:ascii="宋体" w:hAnsi="宋体" w:eastAsia="宋体" w:cs="宋体"/>
                <w:color w:val="auto"/>
                <w:kern w:val="2"/>
                <w:sz w:val="24"/>
                <w:highlight w:val="none"/>
              </w:rPr>
            </w:pPr>
          </w:p>
        </w:tc>
        <w:tc>
          <w:tcPr>
            <w:tcW w:w="851" w:type="dxa"/>
          </w:tcPr>
          <w:p w14:paraId="29341B6D">
            <w:pPr>
              <w:spacing w:line="460" w:lineRule="exact"/>
              <w:rPr>
                <w:rFonts w:hint="eastAsia" w:ascii="宋体" w:hAnsi="宋体" w:eastAsia="宋体" w:cs="宋体"/>
                <w:color w:val="auto"/>
                <w:kern w:val="2"/>
                <w:sz w:val="24"/>
                <w:highlight w:val="none"/>
              </w:rPr>
            </w:pPr>
          </w:p>
        </w:tc>
      </w:tr>
      <w:tr w14:paraId="307D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D42861F">
            <w:pPr>
              <w:spacing w:line="460" w:lineRule="exact"/>
              <w:rPr>
                <w:rFonts w:hint="eastAsia" w:ascii="宋体" w:hAnsi="宋体" w:eastAsia="宋体" w:cs="宋体"/>
                <w:color w:val="auto"/>
                <w:kern w:val="2"/>
                <w:sz w:val="24"/>
                <w:highlight w:val="none"/>
              </w:rPr>
            </w:pPr>
          </w:p>
        </w:tc>
        <w:tc>
          <w:tcPr>
            <w:tcW w:w="850" w:type="dxa"/>
          </w:tcPr>
          <w:p w14:paraId="3C203ABD">
            <w:pPr>
              <w:spacing w:line="460" w:lineRule="exact"/>
              <w:rPr>
                <w:rFonts w:hint="eastAsia" w:ascii="宋体" w:hAnsi="宋体" w:eastAsia="宋体" w:cs="宋体"/>
                <w:color w:val="auto"/>
                <w:kern w:val="2"/>
                <w:sz w:val="24"/>
                <w:highlight w:val="none"/>
              </w:rPr>
            </w:pPr>
          </w:p>
        </w:tc>
        <w:tc>
          <w:tcPr>
            <w:tcW w:w="1005" w:type="dxa"/>
          </w:tcPr>
          <w:p w14:paraId="3B7A3895">
            <w:pPr>
              <w:spacing w:line="460" w:lineRule="exact"/>
              <w:rPr>
                <w:rFonts w:hint="eastAsia" w:ascii="宋体" w:hAnsi="宋体" w:eastAsia="宋体" w:cs="宋体"/>
                <w:color w:val="auto"/>
                <w:kern w:val="2"/>
                <w:sz w:val="24"/>
                <w:highlight w:val="none"/>
              </w:rPr>
            </w:pPr>
          </w:p>
        </w:tc>
        <w:tc>
          <w:tcPr>
            <w:tcW w:w="682" w:type="dxa"/>
          </w:tcPr>
          <w:p w14:paraId="5AD97063">
            <w:pPr>
              <w:spacing w:line="460" w:lineRule="exact"/>
              <w:rPr>
                <w:rFonts w:hint="eastAsia" w:ascii="宋体" w:hAnsi="宋体" w:eastAsia="宋体" w:cs="宋体"/>
                <w:color w:val="auto"/>
                <w:kern w:val="2"/>
                <w:sz w:val="24"/>
                <w:highlight w:val="none"/>
              </w:rPr>
            </w:pPr>
          </w:p>
        </w:tc>
        <w:tc>
          <w:tcPr>
            <w:tcW w:w="851" w:type="dxa"/>
          </w:tcPr>
          <w:p w14:paraId="62B97202">
            <w:pPr>
              <w:spacing w:line="460" w:lineRule="exact"/>
              <w:rPr>
                <w:rFonts w:hint="eastAsia" w:ascii="宋体" w:hAnsi="宋体" w:eastAsia="宋体" w:cs="宋体"/>
                <w:color w:val="auto"/>
                <w:kern w:val="2"/>
                <w:sz w:val="24"/>
                <w:highlight w:val="none"/>
              </w:rPr>
            </w:pPr>
          </w:p>
        </w:tc>
        <w:tc>
          <w:tcPr>
            <w:tcW w:w="1302" w:type="dxa"/>
          </w:tcPr>
          <w:p w14:paraId="7F57B414">
            <w:pPr>
              <w:spacing w:line="460" w:lineRule="exact"/>
              <w:rPr>
                <w:rFonts w:hint="eastAsia" w:ascii="宋体" w:hAnsi="宋体" w:eastAsia="宋体" w:cs="宋体"/>
                <w:color w:val="auto"/>
                <w:kern w:val="2"/>
                <w:sz w:val="24"/>
                <w:highlight w:val="none"/>
              </w:rPr>
            </w:pPr>
          </w:p>
        </w:tc>
        <w:tc>
          <w:tcPr>
            <w:tcW w:w="995" w:type="dxa"/>
          </w:tcPr>
          <w:p w14:paraId="62A45F0C">
            <w:pPr>
              <w:spacing w:line="460" w:lineRule="exact"/>
              <w:rPr>
                <w:rFonts w:hint="eastAsia" w:ascii="宋体" w:hAnsi="宋体" w:eastAsia="宋体" w:cs="宋体"/>
                <w:color w:val="auto"/>
                <w:kern w:val="2"/>
                <w:sz w:val="24"/>
                <w:highlight w:val="none"/>
              </w:rPr>
            </w:pPr>
          </w:p>
        </w:tc>
        <w:tc>
          <w:tcPr>
            <w:tcW w:w="906" w:type="dxa"/>
          </w:tcPr>
          <w:p w14:paraId="56DF2BE5">
            <w:pPr>
              <w:spacing w:line="460" w:lineRule="exact"/>
              <w:rPr>
                <w:rFonts w:hint="eastAsia" w:ascii="宋体" w:hAnsi="宋体" w:eastAsia="宋体" w:cs="宋体"/>
                <w:color w:val="auto"/>
                <w:kern w:val="2"/>
                <w:sz w:val="24"/>
                <w:highlight w:val="none"/>
              </w:rPr>
            </w:pPr>
          </w:p>
        </w:tc>
        <w:tc>
          <w:tcPr>
            <w:tcW w:w="851" w:type="dxa"/>
          </w:tcPr>
          <w:p w14:paraId="4AA3D68B">
            <w:pPr>
              <w:spacing w:line="460" w:lineRule="exact"/>
              <w:rPr>
                <w:rFonts w:hint="eastAsia" w:ascii="宋体" w:hAnsi="宋体" w:eastAsia="宋体" w:cs="宋体"/>
                <w:color w:val="auto"/>
                <w:kern w:val="2"/>
                <w:sz w:val="24"/>
                <w:highlight w:val="none"/>
              </w:rPr>
            </w:pPr>
          </w:p>
        </w:tc>
        <w:tc>
          <w:tcPr>
            <w:tcW w:w="851" w:type="dxa"/>
          </w:tcPr>
          <w:p w14:paraId="0A6A70FC">
            <w:pPr>
              <w:spacing w:line="460" w:lineRule="exact"/>
              <w:rPr>
                <w:rFonts w:hint="eastAsia" w:ascii="宋体" w:hAnsi="宋体" w:eastAsia="宋体" w:cs="宋体"/>
                <w:color w:val="auto"/>
                <w:kern w:val="2"/>
                <w:sz w:val="24"/>
                <w:highlight w:val="none"/>
              </w:rPr>
            </w:pPr>
          </w:p>
        </w:tc>
      </w:tr>
      <w:tr w14:paraId="10D5B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C96BF9E">
            <w:pPr>
              <w:spacing w:line="460" w:lineRule="exact"/>
              <w:rPr>
                <w:rFonts w:hint="eastAsia" w:ascii="宋体" w:hAnsi="宋体" w:eastAsia="宋体" w:cs="宋体"/>
                <w:color w:val="auto"/>
                <w:kern w:val="2"/>
                <w:sz w:val="24"/>
                <w:highlight w:val="none"/>
              </w:rPr>
            </w:pPr>
          </w:p>
        </w:tc>
        <w:tc>
          <w:tcPr>
            <w:tcW w:w="850" w:type="dxa"/>
          </w:tcPr>
          <w:p w14:paraId="4E41F5DA">
            <w:pPr>
              <w:spacing w:line="460" w:lineRule="exact"/>
              <w:rPr>
                <w:rFonts w:hint="eastAsia" w:ascii="宋体" w:hAnsi="宋体" w:eastAsia="宋体" w:cs="宋体"/>
                <w:color w:val="auto"/>
                <w:kern w:val="2"/>
                <w:sz w:val="24"/>
                <w:highlight w:val="none"/>
              </w:rPr>
            </w:pPr>
          </w:p>
        </w:tc>
        <w:tc>
          <w:tcPr>
            <w:tcW w:w="1005" w:type="dxa"/>
          </w:tcPr>
          <w:p w14:paraId="538183C9">
            <w:pPr>
              <w:spacing w:line="460" w:lineRule="exact"/>
              <w:rPr>
                <w:rFonts w:hint="eastAsia" w:ascii="宋体" w:hAnsi="宋体" w:eastAsia="宋体" w:cs="宋体"/>
                <w:color w:val="auto"/>
                <w:kern w:val="2"/>
                <w:sz w:val="24"/>
                <w:highlight w:val="none"/>
              </w:rPr>
            </w:pPr>
          </w:p>
        </w:tc>
        <w:tc>
          <w:tcPr>
            <w:tcW w:w="682" w:type="dxa"/>
          </w:tcPr>
          <w:p w14:paraId="2AA99CD3">
            <w:pPr>
              <w:spacing w:line="460" w:lineRule="exact"/>
              <w:rPr>
                <w:rFonts w:hint="eastAsia" w:ascii="宋体" w:hAnsi="宋体" w:eastAsia="宋体" w:cs="宋体"/>
                <w:color w:val="auto"/>
                <w:kern w:val="2"/>
                <w:sz w:val="24"/>
                <w:highlight w:val="none"/>
              </w:rPr>
            </w:pPr>
          </w:p>
        </w:tc>
        <w:tc>
          <w:tcPr>
            <w:tcW w:w="851" w:type="dxa"/>
          </w:tcPr>
          <w:p w14:paraId="47F20638">
            <w:pPr>
              <w:spacing w:line="460" w:lineRule="exact"/>
              <w:rPr>
                <w:rFonts w:hint="eastAsia" w:ascii="宋体" w:hAnsi="宋体" w:eastAsia="宋体" w:cs="宋体"/>
                <w:color w:val="auto"/>
                <w:kern w:val="2"/>
                <w:sz w:val="24"/>
                <w:highlight w:val="none"/>
              </w:rPr>
            </w:pPr>
          </w:p>
        </w:tc>
        <w:tc>
          <w:tcPr>
            <w:tcW w:w="1302" w:type="dxa"/>
          </w:tcPr>
          <w:p w14:paraId="2AE57BB2">
            <w:pPr>
              <w:spacing w:line="460" w:lineRule="exact"/>
              <w:rPr>
                <w:rFonts w:hint="eastAsia" w:ascii="宋体" w:hAnsi="宋体" w:eastAsia="宋体" w:cs="宋体"/>
                <w:color w:val="auto"/>
                <w:kern w:val="2"/>
                <w:sz w:val="24"/>
                <w:highlight w:val="none"/>
              </w:rPr>
            </w:pPr>
          </w:p>
        </w:tc>
        <w:tc>
          <w:tcPr>
            <w:tcW w:w="995" w:type="dxa"/>
          </w:tcPr>
          <w:p w14:paraId="40C71DFA">
            <w:pPr>
              <w:spacing w:line="460" w:lineRule="exact"/>
              <w:rPr>
                <w:rFonts w:hint="eastAsia" w:ascii="宋体" w:hAnsi="宋体" w:eastAsia="宋体" w:cs="宋体"/>
                <w:color w:val="auto"/>
                <w:kern w:val="2"/>
                <w:sz w:val="24"/>
                <w:highlight w:val="none"/>
              </w:rPr>
            </w:pPr>
          </w:p>
        </w:tc>
        <w:tc>
          <w:tcPr>
            <w:tcW w:w="906" w:type="dxa"/>
          </w:tcPr>
          <w:p w14:paraId="31D5D025">
            <w:pPr>
              <w:spacing w:line="460" w:lineRule="exact"/>
              <w:rPr>
                <w:rFonts w:hint="eastAsia" w:ascii="宋体" w:hAnsi="宋体" w:eastAsia="宋体" w:cs="宋体"/>
                <w:color w:val="auto"/>
                <w:kern w:val="2"/>
                <w:sz w:val="24"/>
                <w:highlight w:val="none"/>
              </w:rPr>
            </w:pPr>
          </w:p>
        </w:tc>
        <w:tc>
          <w:tcPr>
            <w:tcW w:w="851" w:type="dxa"/>
          </w:tcPr>
          <w:p w14:paraId="729EEA7D">
            <w:pPr>
              <w:spacing w:line="460" w:lineRule="exact"/>
              <w:rPr>
                <w:rFonts w:hint="eastAsia" w:ascii="宋体" w:hAnsi="宋体" w:eastAsia="宋体" w:cs="宋体"/>
                <w:color w:val="auto"/>
                <w:kern w:val="2"/>
                <w:sz w:val="24"/>
                <w:highlight w:val="none"/>
              </w:rPr>
            </w:pPr>
          </w:p>
        </w:tc>
        <w:tc>
          <w:tcPr>
            <w:tcW w:w="851" w:type="dxa"/>
          </w:tcPr>
          <w:p w14:paraId="5596AF73">
            <w:pPr>
              <w:spacing w:line="460" w:lineRule="exact"/>
              <w:rPr>
                <w:rFonts w:hint="eastAsia" w:ascii="宋体" w:hAnsi="宋体" w:eastAsia="宋体" w:cs="宋体"/>
                <w:color w:val="auto"/>
                <w:kern w:val="2"/>
                <w:sz w:val="24"/>
                <w:highlight w:val="none"/>
              </w:rPr>
            </w:pPr>
          </w:p>
        </w:tc>
      </w:tr>
      <w:tr w14:paraId="2873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258E88C">
            <w:pPr>
              <w:spacing w:line="460" w:lineRule="exact"/>
              <w:rPr>
                <w:rFonts w:hint="eastAsia" w:ascii="宋体" w:hAnsi="宋体" w:eastAsia="宋体" w:cs="宋体"/>
                <w:color w:val="auto"/>
                <w:kern w:val="2"/>
                <w:sz w:val="24"/>
                <w:highlight w:val="none"/>
              </w:rPr>
            </w:pPr>
          </w:p>
        </w:tc>
        <w:tc>
          <w:tcPr>
            <w:tcW w:w="850" w:type="dxa"/>
          </w:tcPr>
          <w:p w14:paraId="57DE3520">
            <w:pPr>
              <w:spacing w:line="460" w:lineRule="exact"/>
              <w:rPr>
                <w:rFonts w:hint="eastAsia" w:ascii="宋体" w:hAnsi="宋体" w:eastAsia="宋体" w:cs="宋体"/>
                <w:color w:val="auto"/>
                <w:kern w:val="2"/>
                <w:sz w:val="24"/>
                <w:highlight w:val="none"/>
              </w:rPr>
            </w:pPr>
          </w:p>
        </w:tc>
        <w:tc>
          <w:tcPr>
            <w:tcW w:w="1005" w:type="dxa"/>
          </w:tcPr>
          <w:p w14:paraId="02A8E69E">
            <w:pPr>
              <w:spacing w:line="460" w:lineRule="exact"/>
              <w:rPr>
                <w:rFonts w:hint="eastAsia" w:ascii="宋体" w:hAnsi="宋体" w:eastAsia="宋体" w:cs="宋体"/>
                <w:color w:val="auto"/>
                <w:kern w:val="2"/>
                <w:sz w:val="24"/>
                <w:highlight w:val="none"/>
              </w:rPr>
            </w:pPr>
          </w:p>
        </w:tc>
        <w:tc>
          <w:tcPr>
            <w:tcW w:w="682" w:type="dxa"/>
          </w:tcPr>
          <w:p w14:paraId="24A3F4A5">
            <w:pPr>
              <w:spacing w:line="460" w:lineRule="exact"/>
              <w:rPr>
                <w:rFonts w:hint="eastAsia" w:ascii="宋体" w:hAnsi="宋体" w:eastAsia="宋体" w:cs="宋体"/>
                <w:color w:val="auto"/>
                <w:kern w:val="2"/>
                <w:sz w:val="24"/>
                <w:highlight w:val="none"/>
              </w:rPr>
            </w:pPr>
          </w:p>
        </w:tc>
        <w:tc>
          <w:tcPr>
            <w:tcW w:w="851" w:type="dxa"/>
          </w:tcPr>
          <w:p w14:paraId="40ED2F17">
            <w:pPr>
              <w:spacing w:line="460" w:lineRule="exact"/>
              <w:rPr>
                <w:rFonts w:hint="eastAsia" w:ascii="宋体" w:hAnsi="宋体" w:eastAsia="宋体" w:cs="宋体"/>
                <w:color w:val="auto"/>
                <w:kern w:val="2"/>
                <w:sz w:val="24"/>
                <w:highlight w:val="none"/>
              </w:rPr>
            </w:pPr>
          </w:p>
        </w:tc>
        <w:tc>
          <w:tcPr>
            <w:tcW w:w="1302" w:type="dxa"/>
          </w:tcPr>
          <w:p w14:paraId="66346B55">
            <w:pPr>
              <w:spacing w:line="460" w:lineRule="exact"/>
              <w:rPr>
                <w:rFonts w:hint="eastAsia" w:ascii="宋体" w:hAnsi="宋体" w:eastAsia="宋体" w:cs="宋体"/>
                <w:color w:val="auto"/>
                <w:kern w:val="2"/>
                <w:sz w:val="24"/>
                <w:highlight w:val="none"/>
              </w:rPr>
            </w:pPr>
          </w:p>
        </w:tc>
        <w:tc>
          <w:tcPr>
            <w:tcW w:w="995" w:type="dxa"/>
          </w:tcPr>
          <w:p w14:paraId="04067DE4">
            <w:pPr>
              <w:spacing w:line="460" w:lineRule="exact"/>
              <w:rPr>
                <w:rFonts w:hint="eastAsia" w:ascii="宋体" w:hAnsi="宋体" w:eastAsia="宋体" w:cs="宋体"/>
                <w:color w:val="auto"/>
                <w:kern w:val="2"/>
                <w:sz w:val="24"/>
                <w:highlight w:val="none"/>
              </w:rPr>
            </w:pPr>
          </w:p>
        </w:tc>
        <w:tc>
          <w:tcPr>
            <w:tcW w:w="906" w:type="dxa"/>
          </w:tcPr>
          <w:p w14:paraId="0818376C">
            <w:pPr>
              <w:spacing w:line="460" w:lineRule="exact"/>
              <w:rPr>
                <w:rFonts w:hint="eastAsia" w:ascii="宋体" w:hAnsi="宋体" w:eastAsia="宋体" w:cs="宋体"/>
                <w:color w:val="auto"/>
                <w:kern w:val="2"/>
                <w:sz w:val="24"/>
                <w:highlight w:val="none"/>
              </w:rPr>
            </w:pPr>
          </w:p>
        </w:tc>
        <w:tc>
          <w:tcPr>
            <w:tcW w:w="851" w:type="dxa"/>
          </w:tcPr>
          <w:p w14:paraId="2412E86D">
            <w:pPr>
              <w:spacing w:line="460" w:lineRule="exact"/>
              <w:rPr>
                <w:rFonts w:hint="eastAsia" w:ascii="宋体" w:hAnsi="宋体" w:eastAsia="宋体" w:cs="宋体"/>
                <w:color w:val="auto"/>
                <w:kern w:val="2"/>
                <w:sz w:val="24"/>
                <w:highlight w:val="none"/>
              </w:rPr>
            </w:pPr>
          </w:p>
        </w:tc>
        <w:tc>
          <w:tcPr>
            <w:tcW w:w="851" w:type="dxa"/>
          </w:tcPr>
          <w:p w14:paraId="046B6E4D">
            <w:pPr>
              <w:spacing w:line="460" w:lineRule="exact"/>
              <w:rPr>
                <w:rFonts w:hint="eastAsia" w:ascii="宋体" w:hAnsi="宋体" w:eastAsia="宋体" w:cs="宋体"/>
                <w:color w:val="auto"/>
                <w:kern w:val="2"/>
                <w:sz w:val="24"/>
                <w:highlight w:val="none"/>
              </w:rPr>
            </w:pPr>
          </w:p>
        </w:tc>
      </w:tr>
      <w:tr w14:paraId="5344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4648D26">
            <w:pPr>
              <w:spacing w:line="460" w:lineRule="exact"/>
              <w:rPr>
                <w:rFonts w:hint="eastAsia" w:ascii="宋体" w:hAnsi="宋体" w:eastAsia="宋体" w:cs="宋体"/>
                <w:color w:val="auto"/>
                <w:kern w:val="2"/>
                <w:sz w:val="24"/>
                <w:highlight w:val="none"/>
              </w:rPr>
            </w:pPr>
          </w:p>
        </w:tc>
        <w:tc>
          <w:tcPr>
            <w:tcW w:w="850" w:type="dxa"/>
          </w:tcPr>
          <w:p w14:paraId="0087D80E">
            <w:pPr>
              <w:spacing w:line="460" w:lineRule="exact"/>
              <w:rPr>
                <w:rFonts w:hint="eastAsia" w:ascii="宋体" w:hAnsi="宋体" w:eastAsia="宋体" w:cs="宋体"/>
                <w:color w:val="auto"/>
                <w:kern w:val="2"/>
                <w:sz w:val="24"/>
                <w:highlight w:val="none"/>
              </w:rPr>
            </w:pPr>
          </w:p>
        </w:tc>
        <w:tc>
          <w:tcPr>
            <w:tcW w:w="1005" w:type="dxa"/>
          </w:tcPr>
          <w:p w14:paraId="76783E1D">
            <w:pPr>
              <w:spacing w:line="460" w:lineRule="exact"/>
              <w:rPr>
                <w:rFonts w:hint="eastAsia" w:ascii="宋体" w:hAnsi="宋体" w:eastAsia="宋体" w:cs="宋体"/>
                <w:color w:val="auto"/>
                <w:kern w:val="2"/>
                <w:sz w:val="24"/>
                <w:highlight w:val="none"/>
              </w:rPr>
            </w:pPr>
          </w:p>
        </w:tc>
        <w:tc>
          <w:tcPr>
            <w:tcW w:w="682" w:type="dxa"/>
          </w:tcPr>
          <w:p w14:paraId="7DF3E51B">
            <w:pPr>
              <w:spacing w:line="460" w:lineRule="exact"/>
              <w:rPr>
                <w:rFonts w:hint="eastAsia" w:ascii="宋体" w:hAnsi="宋体" w:eastAsia="宋体" w:cs="宋体"/>
                <w:color w:val="auto"/>
                <w:kern w:val="2"/>
                <w:sz w:val="24"/>
                <w:highlight w:val="none"/>
              </w:rPr>
            </w:pPr>
          </w:p>
        </w:tc>
        <w:tc>
          <w:tcPr>
            <w:tcW w:w="851" w:type="dxa"/>
          </w:tcPr>
          <w:p w14:paraId="10A92AE2">
            <w:pPr>
              <w:spacing w:line="460" w:lineRule="exact"/>
              <w:rPr>
                <w:rFonts w:hint="eastAsia" w:ascii="宋体" w:hAnsi="宋体" w:eastAsia="宋体" w:cs="宋体"/>
                <w:color w:val="auto"/>
                <w:kern w:val="2"/>
                <w:sz w:val="24"/>
                <w:highlight w:val="none"/>
              </w:rPr>
            </w:pPr>
          </w:p>
        </w:tc>
        <w:tc>
          <w:tcPr>
            <w:tcW w:w="1302" w:type="dxa"/>
          </w:tcPr>
          <w:p w14:paraId="44DECD22">
            <w:pPr>
              <w:spacing w:line="460" w:lineRule="exact"/>
              <w:rPr>
                <w:rFonts w:hint="eastAsia" w:ascii="宋体" w:hAnsi="宋体" w:eastAsia="宋体" w:cs="宋体"/>
                <w:color w:val="auto"/>
                <w:kern w:val="2"/>
                <w:sz w:val="24"/>
                <w:highlight w:val="none"/>
              </w:rPr>
            </w:pPr>
          </w:p>
        </w:tc>
        <w:tc>
          <w:tcPr>
            <w:tcW w:w="995" w:type="dxa"/>
          </w:tcPr>
          <w:p w14:paraId="32707190">
            <w:pPr>
              <w:spacing w:line="460" w:lineRule="exact"/>
              <w:rPr>
                <w:rFonts w:hint="eastAsia" w:ascii="宋体" w:hAnsi="宋体" w:eastAsia="宋体" w:cs="宋体"/>
                <w:color w:val="auto"/>
                <w:kern w:val="2"/>
                <w:sz w:val="24"/>
                <w:highlight w:val="none"/>
              </w:rPr>
            </w:pPr>
          </w:p>
        </w:tc>
        <w:tc>
          <w:tcPr>
            <w:tcW w:w="906" w:type="dxa"/>
          </w:tcPr>
          <w:p w14:paraId="1EC15D7B">
            <w:pPr>
              <w:spacing w:line="460" w:lineRule="exact"/>
              <w:rPr>
                <w:rFonts w:hint="eastAsia" w:ascii="宋体" w:hAnsi="宋体" w:eastAsia="宋体" w:cs="宋体"/>
                <w:color w:val="auto"/>
                <w:kern w:val="2"/>
                <w:sz w:val="24"/>
                <w:highlight w:val="none"/>
              </w:rPr>
            </w:pPr>
          </w:p>
        </w:tc>
        <w:tc>
          <w:tcPr>
            <w:tcW w:w="851" w:type="dxa"/>
          </w:tcPr>
          <w:p w14:paraId="7B2C0C0D">
            <w:pPr>
              <w:spacing w:line="460" w:lineRule="exact"/>
              <w:rPr>
                <w:rFonts w:hint="eastAsia" w:ascii="宋体" w:hAnsi="宋体" w:eastAsia="宋体" w:cs="宋体"/>
                <w:color w:val="auto"/>
                <w:kern w:val="2"/>
                <w:sz w:val="24"/>
                <w:highlight w:val="none"/>
              </w:rPr>
            </w:pPr>
          </w:p>
        </w:tc>
        <w:tc>
          <w:tcPr>
            <w:tcW w:w="851" w:type="dxa"/>
          </w:tcPr>
          <w:p w14:paraId="63D73CCA">
            <w:pPr>
              <w:spacing w:line="460" w:lineRule="exact"/>
              <w:rPr>
                <w:rFonts w:hint="eastAsia" w:ascii="宋体" w:hAnsi="宋体" w:eastAsia="宋体" w:cs="宋体"/>
                <w:color w:val="auto"/>
                <w:kern w:val="2"/>
                <w:sz w:val="24"/>
                <w:highlight w:val="none"/>
              </w:rPr>
            </w:pPr>
          </w:p>
        </w:tc>
      </w:tr>
    </w:tbl>
    <w:p w14:paraId="746C4448">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w:t>
      </w:r>
    </w:p>
    <w:p w14:paraId="7884870C">
      <w:pPr>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工程质量保修书</w:t>
      </w:r>
    </w:p>
    <w:p w14:paraId="0F3DD22C">
      <w:pPr>
        <w:spacing w:line="460" w:lineRule="exact"/>
        <w:ind w:firstLine="480" w:firstLineChars="200"/>
        <w:rPr>
          <w:rFonts w:hint="eastAsia" w:ascii="宋体" w:hAnsi="宋体" w:eastAsia="宋体" w:cs="宋体"/>
          <w:color w:val="auto"/>
          <w:sz w:val="24"/>
          <w:highlight w:val="none"/>
        </w:rPr>
      </w:pPr>
    </w:p>
    <w:p w14:paraId="51B48A5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w:t>
      </w:r>
      <w:r>
        <w:rPr>
          <w:rFonts w:hint="eastAsia" w:ascii="宋体" w:hAnsi="宋体" w:eastAsia="宋体" w:cs="宋体"/>
          <w:b/>
          <w:color w:val="auto"/>
          <w:sz w:val="24"/>
          <w:highlight w:val="none"/>
          <w:u w:val="single"/>
        </w:rPr>
        <w:t>南通市机关事务管理局</w:t>
      </w:r>
    </w:p>
    <w:p w14:paraId="162D34AF">
      <w:pPr>
        <w:tabs>
          <w:tab w:val="left" w:pos="3936"/>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F4ACCB4">
      <w:pPr>
        <w:shd w:val="clear" w:color="auto" w:fill="FFFFFF"/>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发包人和承包人根据《中华人民共和国建筑法》和《建设工程质量管理条例》，经协商一致就南通市政务中心电气火灾监控系统改造工程</w:t>
      </w:r>
      <w:r>
        <w:rPr>
          <w:rFonts w:hint="eastAsia" w:ascii="宋体" w:hAnsi="宋体" w:eastAsia="宋体" w:cs="宋体"/>
          <w:color w:val="auto"/>
          <w:sz w:val="24"/>
          <w:highlight w:val="none"/>
          <w:u w:val="single"/>
        </w:rPr>
        <w:t>（工程全称）</w:t>
      </w:r>
      <w:r>
        <w:rPr>
          <w:rFonts w:hint="eastAsia" w:ascii="宋体" w:hAnsi="宋体" w:eastAsia="宋体" w:cs="宋体"/>
          <w:color w:val="auto"/>
          <w:sz w:val="24"/>
          <w:highlight w:val="none"/>
        </w:rPr>
        <w:t>签订工程质量保修书。</w:t>
      </w:r>
    </w:p>
    <w:p w14:paraId="539BF8E5">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一、工程质量保修范围和内容</w:t>
      </w:r>
    </w:p>
    <w:p w14:paraId="21A84B6D">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承包人在质量保修期内，按照有关法律规定和合同约定，承担工程质量保修责任。</w:t>
      </w:r>
    </w:p>
    <w:p w14:paraId="50624D18">
      <w:pPr>
        <w:autoSpaceDE w:val="0"/>
        <w:autoSpaceDN w:val="0"/>
        <w:adjustRightIn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color w:val="auto"/>
          <w:sz w:val="24"/>
          <w:highlight w:val="none"/>
          <w:u w:val="single"/>
        </w:rPr>
        <w:t>承包人所施工的内容。</w:t>
      </w:r>
    </w:p>
    <w:p w14:paraId="663469E8">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二、质量保修期</w:t>
      </w:r>
    </w:p>
    <w:p w14:paraId="03CFE1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根据《建设工程质量管理条例》及有关规定，工程的质量保修期如下：</w:t>
      </w:r>
    </w:p>
    <w:p w14:paraId="590979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1．地基基础工程和主体结构工程为设计文件规定的工程合理使用年限；</w:t>
      </w:r>
    </w:p>
    <w:p w14:paraId="5B8928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2．屋面防水工程、有防水要求的卫生间、房间和外墙面的防渗为</w:t>
      </w:r>
      <w:r>
        <w:rPr>
          <w:rFonts w:hint="eastAsia" w:ascii="宋体" w:hAnsi="宋体" w:eastAsia="宋体" w:cs="宋体"/>
          <w:color w:val="auto"/>
          <w:sz w:val="24"/>
          <w:highlight w:val="none"/>
          <w:u w:val="single"/>
        </w:rPr>
        <w:t xml:space="preserve"> </w:t>
      </w:r>
      <w:r>
        <w:rPr>
          <w:rStyle w:val="318"/>
          <w:rFonts w:hint="eastAsia" w:ascii="宋体" w:hAnsi="宋体" w:eastAsia="宋体" w:cs="宋体"/>
          <w:b/>
          <w:i w:val="0"/>
          <w:color w:val="auto"/>
          <w:sz w:val="24"/>
          <w:highlight w:val="none"/>
          <w:u w:val="single"/>
        </w:rPr>
        <w:t>5</w:t>
      </w:r>
      <w:r>
        <w:rPr>
          <w:rFonts w:hint="eastAsia" w:ascii="宋体" w:hAnsi="宋体" w:eastAsia="宋体" w:cs="宋体"/>
          <w:i/>
          <w:color w:val="auto"/>
          <w:sz w:val="24"/>
          <w:highlight w:val="none"/>
          <w:u w:val="single"/>
        </w:rPr>
        <w:t xml:space="preserve"> </w:t>
      </w:r>
      <w:r>
        <w:rPr>
          <w:rFonts w:hint="eastAsia" w:ascii="宋体" w:hAnsi="宋体" w:eastAsia="宋体" w:cs="宋体"/>
          <w:color w:val="auto"/>
          <w:sz w:val="24"/>
          <w:highlight w:val="none"/>
        </w:rPr>
        <w:t>年；</w:t>
      </w:r>
    </w:p>
    <w:p w14:paraId="37F425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2C48CC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7FD835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个采暖期、供冷期；</w:t>
      </w:r>
    </w:p>
    <w:p w14:paraId="249544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0D7E51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7．其他项目保修期限约定如下：</w:t>
      </w:r>
      <w:r>
        <w:rPr>
          <w:rFonts w:hint="eastAsia" w:ascii="宋体" w:hAnsi="宋体" w:eastAsia="宋体" w:cs="宋体"/>
          <w:b/>
          <w:bCs/>
          <w:color w:val="auto"/>
          <w:sz w:val="24"/>
          <w:highlight w:val="none"/>
          <w:u w:val="single"/>
        </w:rPr>
        <w:t>本项目所有货物（设备）及未列明项目的质保期</w:t>
      </w:r>
      <w:r>
        <w:rPr>
          <w:rFonts w:hint="eastAsia" w:ascii="宋体" w:hAnsi="宋体" w:eastAsia="宋体" w:cs="宋体"/>
          <w:b/>
          <w:bCs/>
          <w:color w:val="auto"/>
          <w:sz w:val="24"/>
          <w:highlight w:val="none"/>
        </w:rPr>
        <w:t>暂定</w:t>
      </w:r>
      <w:r>
        <w:rPr>
          <w:rFonts w:hint="eastAsia" w:ascii="宋体" w:hAnsi="宋体" w:eastAsia="宋体" w:cs="宋体"/>
          <w:b/>
          <w:bCs/>
          <w:color w:val="auto"/>
          <w:sz w:val="24"/>
          <w:highlight w:val="none"/>
          <w:u w:val="single"/>
        </w:rPr>
        <w:t>为3</w:t>
      </w:r>
      <w:r>
        <w:rPr>
          <w:rFonts w:ascii="宋体" w:hAnsi="宋体" w:eastAsia="宋体" w:cs="宋体"/>
          <w:b/>
          <w:bCs/>
          <w:color w:val="auto"/>
          <w:sz w:val="24"/>
          <w:highlight w:val="none"/>
          <w:u w:val="single"/>
        </w:rPr>
        <w:t>年</w:t>
      </w:r>
      <w:r>
        <w:rPr>
          <w:rFonts w:hint="eastAsia" w:ascii="宋体" w:hAnsi="宋体" w:eastAsia="宋体" w:cs="宋体"/>
          <w:b/>
          <w:bCs/>
          <w:color w:val="auto"/>
          <w:sz w:val="24"/>
          <w:highlight w:val="none"/>
        </w:rPr>
        <w:t>（具体以承包人投标承诺为准）</w:t>
      </w:r>
      <w:r>
        <w:rPr>
          <w:rFonts w:ascii="宋体" w:hAnsi="宋体" w:eastAsia="宋体" w:cs="宋体"/>
          <w:b/>
          <w:bCs/>
          <w:color w:val="auto"/>
          <w:sz w:val="24"/>
          <w:highlight w:val="none"/>
          <w:u w:val="single"/>
        </w:rPr>
        <w:t>。</w:t>
      </w:r>
    </w:p>
    <w:p w14:paraId="421AEEC8">
      <w:pPr>
        <w:pStyle w:val="87"/>
        <w:ind w:left="0" w:leftChars="0" w:firstLine="482"/>
        <w:rPr>
          <w:rFonts w:hint="eastAsia" w:ascii="宋体" w:hAnsi="宋体" w:cs="宋体"/>
          <w:color w:val="auto"/>
          <w:sz w:val="24"/>
          <w:highlight w:val="none"/>
        </w:rPr>
      </w:pPr>
      <w:r>
        <w:rPr>
          <w:rFonts w:hint="eastAsia" w:ascii="宋体" w:hAnsi="宋体" w:cs="宋体"/>
          <w:b/>
          <w:color w:val="auto"/>
          <w:sz w:val="24"/>
          <w:highlight w:val="none"/>
        </w:rPr>
        <w:t>质量保修期自竣工验收合格之日起计算</w:t>
      </w:r>
      <w:r>
        <w:rPr>
          <w:rFonts w:hint="eastAsia" w:ascii="宋体" w:hAnsi="宋体" w:cs="宋体"/>
          <w:color w:val="auto"/>
          <w:sz w:val="24"/>
          <w:highlight w:val="none"/>
        </w:rPr>
        <w:t>。</w:t>
      </w:r>
    </w:p>
    <w:p w14:paraId="1E4753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三、缺陷责任期</w:t>
      </w:r>
    </w:p>
    <w:p w14:paraId="314D2F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工程缺陷责任期为</w:t>
      </w:r>
      <w:r>
        <w:rPr>
          <w:rFonts w:hint="eastAsia" w:ascii="宋体" w:hAnsi="宋体" w:eastAsia="宋体" w:cs="宋体"/>
          <w:b/>
          <w:color w:val="auto"/>
          <w:sz w:val="24"/>
          <w:highlight w:val="none"/>
          <w:u w:val="single"/>
        </w:rPr>
        <w:t>24</w:t>
      </w:r>
      <w:r>
        <w:rPr>
          <w:rFonts w:hint="eastAsia" w:ascii="宋体" w:hAnsi="宋体" w:eastAsia="宋体" w:cs="宋体"/>
          <w:color w:val="auto"/>
          <w:sz w:val="24"/>
          <w:highlight w:val="none"/>
        </w:rPr>
        <w:t>个月，缺陷责任期自工程竣工验收合格之日起计算。单位工程先于全部工程进行验收，单位工程缺陷责任期自单位工程验收合格之日起算。</w:t>
      </w:r>
    </w:p>
    <w:p w14:paraId="7921F8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四、质量保修责任</w:t>
      </w:r>
    </w:p>
    <w:p w14:paraId="27365A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1．属于保修范围、内容的项目，承包人应当在接到保修通知之日起7天内派人保修。承包人不在约定期限内派人保修的，发包人可以委托他人修理。</w:t>
      </w:r>
    </w:p>
    <w:p w14:paraId="6B490D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2．发生紧急事故需抢修的，承包人在接到事故通知后，应当立即到达事故现场抢修。</w:t>
      </w:r>
    </w:p>
    <w:p w14:paraId="6CA833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BAB6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14F89C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5.质量保修完成后，由发包人组织验收。</w:t>
      </w:r>
    </w:p>
    <w:p w14:paraId="208A5D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五、保修费用</w:t>
      </w:r>
    </w:p>
    <w:p w14:paraId="77441E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保修费用由造成质量缺陷的责任方承担，工程质量保修金为发包人指定的审计单位确认最终审计结算价的3%。</w:t>
      </w:r>
    </w:p>
    <w:p w14:paraId="0B4B720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六</w:t>
      </w:r>
      <w:r>
        <w:rPr>
          <w:rFonts w:hint="eastAsia" w:ascii="宋体" w:hAnsi="宋体" w:eastAsia="宋体" w:cs="宋体"/>
          <w:color w:val="auto"/>
          <w:sz w:val="24"/>
          <w:highlight w:val="none"/>
        </w:rPr>
        <w:t>、双方约定的其他工程质量保修事项：</w:t>
      </w:r>
    </w:p>
    <w:p w14:paraId="68631CC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（1）工程保修期内，承包人委托一名代表专职处理本工程的维修工作。</w:t>
      </w:r>
    </w:p>
    <w:p w14:paraId="3D54307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（2）本合同约定的质量保修金银行利率为0。</w:t>
      </w:r>
    </w:p>
    <w:p w14:paraId="61D4698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（3）承包人实施工程质量保修须遵守有关规定。</w:t>
      </w:r>
    </w:p>
    <w:p w14:paraId="2CE206A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762663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本工程质量保修书，由施工合同发包人、承包人在竣工验收前共同签署，作为施工合同附件，其有效期限至保修期满。</w:t>
      </w:r>
    </w:p>
    <w:p w14:paraId="39BD5081">
      <w:pPr>
        <w:autoSpaceDE w:val="0"/>
        <w:autoSpaceDN w:val="0"/>
        <w:adjustRightInd w:val="0"/>
        <w:spacing w:line="420" w:lineRule="exact"/>
        <w:jc w:val="left"/>
        <w:rPr>
          <w:rFonts w:hint="eastAsia" w:ascii="宋体" w:hAnsi="宋体" w:eastAsia="宋体" w:cs="宋体"/>
          <w:color w:val="auto"/>
          <w:sz w:val="24"/>
          <w:highlight w:val="none"/>
        </w:rPr>
      </w:pPr>
    </w:p>
    <w:p w14:paraId="2EC62753">
      <w:pPr>
        <w:autoSpaceDE w:val="0"/>
        <w:autoSpaceDN w:val="0"/>
        <w:adjustRightInd w:val="0"/>
        <w:spacing w:line="420" w:lineRule="exact"/>
        <w:jc w:val="left"/>
        <w:rPr>
          <w:rFonts w:hint="eastAsia" w:ascii="宋体" w:hAnsi="宋体" w:eastAsia="宋体" w:cs="宋体"/>
          <w:color w:val="auto"/>
          <w:sz w:val="24"/>
          <w:highlight w:val="none"/>
        </w:rPr>
      </w:pPr>
    </w:p>
    <w:p w14:paraId="02DF796B">
      <w:pPr>
        <w:autoSpaceDE w:val="0"/>
        <w:autoSpaceDN w:val="0"/>
        <w:adjustRightInd w:val="0"/>
        <w:spacing w:line="420" w:lineRule="exact"/>
        <w:jc w:val="left"/>
        <w:rPr>
          <w:rFonts w:hint="eastAsia" w:ascii="宋体" w:hAnsi="宋体" w:eastAsia="宋体" w:cs="宋体"/>
          <w:color w:val="auto"/>
          <w:sz w:val="24"/>
          <w:highlight w:val="none"/>
        </w:rPr>
      </w:pPr>
    </w:p>
    <w:p w14:paraId="52419E50">
      <w:pPr>
        <w:autoSpaceDE w:val="0"/>
        <w:autoSpaceDN w:val="0"/>
        <w:adjustRightInd w:val="0"/>
        <w:spacing w:line="420" w:lineRule="exact"/>
        <w:jc w:val="left"/>
        <w:rPr>
          <w:rFonts w:hint="eastAsia" w:ascii="宋体" w:hAnsi="宋体" w:eastAsia="宋体" w:cs="宋体"/>
          <w:color w:val="auto"/>
          <w:sz w:val="24"/>
          <w:highlight w:val="none"/>
        </w:rPr>
      </w:pPr>
    </w:p>
    <w:p w14:paraId="3A6355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发包人（公章）：                   承包人（公章）：            </w:t>
      </w:r>
    </w:p>
    <w:p w14:paraId="0FE18788">
      <w:pPr>
        <w:spacing w:line="360" w:lineRule="auto"/>
        <w:ind w:firstLine="480" w:firstLineChars="200"/>
        <w:rPr>
          <w:rFonts w:hint="eastAsia" w:ascii="宋体" w:hAnsi="宋体" w:eastAsia="宋体" w:cs="宋体"/>
          <w:color w:val="auto"/>
          <w:sz w:val="24"/>
          <w:highlight w:val="none"/>
        </w:rPr>
      </w:pPr>
    </w:p>
    <w:p w14:paraId="5A191F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法定代表人（签字或盖章）：         法定代表人（签字或盖章）： </w:t>
      </w:r>
    </w:p>
    <w:p w14:paraId="10CC3412">
      <w:pPr>
        <w:spacing w:line="360" w:lineRule="auto"/>
        <w:ind w:firstLine="480" w:firstLineChars="200"/>
        <w:rPr>
          <w:rFonts w:hint="eastAsia" w:ascii="宋体" w:hAnsi="宋体" w:eastAsia="宋体" w:cs="宋体"/>
          <w:color w:val="auto"/>
          <w:sz w:val="24"/>
          <w:highlight w:val="none"/>
        </w:rPr>
      </w:pPr>
    </w:p>
    <w:p w14:paraId="04F64C6B">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w:t>
      </w:r>
    </w:p>
    <w:p w14:paraId="77DE48FC">
      <w:pPr>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附件3：</w:t>
      </w:r>
    </w:p>
    <w:p w14:paraId="25A2DA85">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20D2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73A5D43D">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文件名称</w:t>
            </w:r>
          </w:p>
        </w:tc>
        <w:tc>
          <w:tcPr>
            <w:tcW w:w="1276" w:type="dxa"/>
            <w:tcBorders>
              <w:top w:val="single" w:color="auto" w:sz="12" w:space="0"/>
              <w:bottom w:val="double" w:color="auto" w:sz="6" w:space="0"/>
            </w:tcBorders>
            <w:vAlign w:val="center"/>
          </w:tcPr>
          <w:p w14:paraId="3BCC23A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套数</w:t>
            </w:r>
          </w:p>
        </w:tc>
        <w:tc>
          <w:tcPr>
            <w:tcW w:w="1450" w:type="dxa"/>
            <w:tcBorders>
              <w:top w:val="single" w:color="auto" w:sz="12" w:space="0"/>
              <w:bottom w:val="double" w:color="auto" w:sz="6" w:space="0"/>
            </w:tcBorders>
            <w:vAlign w:val="center"/>
          </w:tcPr>
          <w:p w14:paraId="2180319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费用（元）</w:t>
            </w:r>
          </w:p>
        </w:tc>
        <w:tc>
          <w:tcPr>
            <w:tcW w:w="1243" w:type="dxa"/>
            <w:tcBorders>
              <w:top w:val="single" w:color="auto" w:sz="12" w:space="0"/>
              <w:bottom w:val="double" w:color="auto" w:sz="6" w:space="0"/>
            </w:tcBorders>
            <w:vAlign w:val="center"/>
          </w:tcPr>
          <w:p w14:paraId="4DFBD7C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质量</w:t>
            </w:r>
          </w:p>
        </w:tc>
        <w:tc>
          <w:tcPr>
            <w:tcW w:w="1450" w:type="dxa"/>
            <w:tcBorders>
              <w:top w:val="single" w:color="auto" w:sz="12" w:space="0"/>
              <w:bottom w:val="double" w:color="auto" w:sz="6" w:space="0"/>
            </w:tcBorders>
          </w:tcPr>
          <w:p w14:paraId="5191F0A4">
            <w:pPr>
              <w:spacing w:line="44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移交时间</w:t>
            </w:r>
          </w:p>
        </w:tc>
        <w:tc>
          <w:tcPr>
            <w:tcW w:w="1667" w:type="dxa"/>
            <w:tcBorders>
              <w:top w:val="single" w:color="auto" w:sz="12" w:space="0"/>
              <w:bottom w:val="double" w:color="auto" w:sz="6" w:space="0"/>
            </w:tcBorders>
          </w:tcPr>
          <w:p w14:paraId="66C9AD60">
            <w:pPr>
              <w:spacing w:line="44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责任人</w:t>
            </w:r>
          </w:p>
        </w:tc>
      </w:tr>
      <w:tr w14:paraId="242CF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2DC43F99">
            <w:pPr>
              <w:pStyle w:val="34"/>
              <w:keepNext/>
              <w:spacing w:line="440" w:lineRule="exact"/>
              <w:ind w:left="63" w:right="63"/>
              <w:rPr>
                <w:rFonts w:hint="eastAsia" w:ascii="宋体" w:hAnsi="宋体" w:cs="宋体"/>
                <w:color w:val="auto"/>
                <w:sz w:val="24"/>
                <w:szCs w:val="24"/>
                <w:highlight w:val="none"/>
              </w:rPr>
            </w:pPr>
          </w:p>
        </w:tc>
        <w:tc>
          <w:tcPr>
            <w:tcW w:w="1276" w:type="dxa"/>
            <w:tcBorders>
              <w:top w:val="double" w:color="auto" w:sz="6" w:space="0"/>
            </w:tcBorders>
            <w:vAlign w:val="center"/>
          </w:tcPr>
          <w:p w14:paraId="5CC8A1E1">
            <w:pPr>
              <w:pStyle w:val="34"/>
              <w:keepNext/>
              <w:spacing w:line="440" w:lineRule="exact"/>
              <w:ind w:left="63" w:right="63"/>
              <w:rPr>
                <w:rFonts w:hint="eastAsia" w:ascii="宋体" w:hAnsi="宋体" w:cs="宋体"/>
                <w:color w:val="auto"/>
                <w:sz w:val="24"/>
                <w:szCs w:val="24"/>
                <w:highlight w:val="none"/>
              </w:rPr>
            </w:pPr>
          </w:p>
        </w:tc>
        <w:tc>
          <w:tcPr>
            <w:tcW w:w="1450" w:type="dxa"/>
            <w:tcBorders>
              <w:top w:val="double" w:color="auto" w:sz="6" w:space="0"/>
            </w:tcBorders>
            <w:vAlign w:val="center"/>
          </w:tcPr>
          <w:p w14:paraId="17F711A7">
            <w:pPr>
              <w:pStyle w:val="34"/>
              <w:keepNext/>
              <w:spacing w:line="440" w:lineRule="exact"/>
              <w:ind w:left="63" w:right="63"/>
              <w:rPr>
                <w:rFonts w:hint="eastAsia" w:ascii="宋体" w:hAnsi="宋体" w:cs="宋体"/>
                <w:color w:val="auto"/>
                <w:sz w:val="24"/>
                <w:szCs w:val="24"/>
                <w:highlight w:val="none"/>
              </w:rPr>
            </w:pPr>
          </w:p>
        </w:tc>
        <w:tc>
          <w:tcPr>
            <w:tcW w:w="1243" w:type="dxa"/>
            <w:tcBorders>
              <w:top w:val="double" w:color="auto" w:sz="6" w:space="0"/>
            </w:tcBorders>
            <w:vAlign w:val="center"/>
          </w:tcPr>
          <w:p w14:paraId="7C6CF022">
            <w:pPr>
              <w:pStyle w:val="34"/>
              <w:keepNext/>
              <w:spacing w:line="440" w:lineRule="exact"/>
              <w:ind w:left="63" w:right="63"/>
              <w:rPr>
                <w:rFonts w:hint="eastAsia" w:ascii="宋体" w:hAnsi="宋体" w:cs="宋体"/>
                <w:color w:val="auto"/>
                <w:sz w:val="24"/>
                <w:szCs w:val="24"/>
                <w:highlight w:val="none"/>
              </w:rPr>
            </w:pPr>
          </w:p>
        </w:tc>
        <w:tc>
          <w:tcPr>
            <w:tcW w:w="1450" w:type="dxa"/>
            <w:tcBorders>
              <w:top w:val="double" w:color="auto" w:sz="6" w:space="0"/>
            </w:tcBorders>
            <w:vAlign w:val="center"/>
          </w:tcPr>
          <w:p w14:paraId="7A453897">
            <w:pPr>
              <w:pStyle w:val="34"/>
              <w:keepNext/>
              <w:spacing w:line="440" w:lineRule="exact"/>
              <w:ind w:left="63" w:right="63"/>
              <w:rPr>
                <w:rFonts w:hint="eastAsia" w:ascii="宋体" w:hAnsi="宋体" w:cs="宋体"/>
                <w:color w:val="auto"/>
                <w:sz w:val="24"/>
                <w:szCs w:val="24"/>
                <w:highlight w:val="none"/>
              </w:rPr>
            </w:pPr>
          </w:p>
        </w:tc>
        <w:tc>
          <w:tcPr>
            <w:tcW w:w="1667" w:type="dxa"/>
            <w:tcBorders>
              <w:top w:val="double" w:color="auto" w:sz="6" w:space="0"/>
            </w:tcBorders>
            <w:vAlign w:val="center"/>
          </w:tcPr>
          <w:p w14:paraId="4C98FCF4">
            <w:pPr>
              <w:pStyle w:val="34"/>
              <w:keepNext/>
              <w:spacing w:line="440" w:lineRule="exact"/>
              <w:ind w:left="63" w:right="63"/>
              <w:rPr>
                <w:rFonts w:hint="eastAsia" w:ascii="宋体" w:hAnsi="宋体" w:cs="宋体"/>
                <w:color w:val="auto"/>
                <w:sz w:val="24"/>
                <w:szCs w:val="24"/>
                <w:highlight w:val="none"/>
              </w:rPr>
            </w:pPr>
          </w:p>
        </w:tc>
      </w:tr>
      <w:tr w14:paraId="5B769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6D518ED5">
            <w:pPr>
              <w:pStyle w:val="34"/>
              <w:keepNext/>
              <w:spacing w:line="440" w:lineRule="exact"/>
              <w:ind w:left="63" w:right="63"/>
              <w:rPr>
                <w:rFonts w:hint="eastAsia" w:ascii="宋体" w:hAnsi="宋体" w:cs="宋体"/>
                <w:color w:val="auto"/>
                <w:sz w:val="24"/>
                <w:szCs w:val="24"/>
                <w:highlight w:val="none"/>
              </w:rPr>
            </w:pPr>
          </w:p>
        </w:tc>
        <w:tc>
          <w:tcPr>
            <w:tcW w:w="1276" w:type="dxa"/>
            <w:tcBorders>
              <w:top w:val="nil"/>
            </w:tcBorders>
            <w:vAlign w:val="center"/>
          </w:tcPr>
          <w:p w14:paraId="6CE18553">
            <w:pPr>
              <w:pStyle w:val="34"/>
              <w:keepNext/>
              <w:spacing w:line="440" w:lineRule="exact"/>
              <w:ind w:left="63" w:right="63"/>
              <w:rPr>
                <w:rFonts w:hint="eastAsia" w:ascii="宋体" w:hAnsi="宋体" w:cs="宋体"/>
                <w:color w:val="auto"/>
                <w:sz w:val="24"/>
                <w:szCs w:val="24"/>
                <w:highlight w:val="none"/>
              </w:rPr>
            </w:pPr>
          </w:p>
        </w:tc>
        <w:tc>
          <w:tcPr>
            <w:tcW w:w="1450" w:type="dxa"/>
            <w:tcBorders>
              <w:top w:val="nil"/>
            </w:tcBorders>
            <w:vAlign w:val="center"/>
          </w:tcPr>
          <w:p w14:paraId="22C4BC69">
            <w:pPr>
              <w:pStyle w:val="34"/>
              <w:keepNext/>
              <w:spacing w:line="440" w:lineRule="exact"/>
              <w:ind w:left="63" w:right="63"/>
              <w:rPr>
                <w:rFonts w:hint="eastAsia" w:ascii="宋体" w:hAnsi="宋体" w:cs="宋体"/>
                <w:color w:val="auto"/>
                <w:sz w:val="24"/>
                <w:szCs w:val="24"/>
                <w:highlight w:val="none"/>
              </w:rPr>
            </w:pPr>
          </w:p>
        </w:tc>
        <w:tc>
          <w:tcPr>
            <w:tcW w:w="1243" w:type="dxa"/>
            <w:tcBorders>
              <w:top w:val="nil"/>
            </w:tcBorders>
            <w:vAlign w:val="center"/>
          </w:tcPr>
          <w:p w14:paraId="707CDA57">
            <w:pPr>
              <w:pStyle w:val="34"/>
              <w:keepNext/>
              <w:spacing w:line="440" w:lineRule="exact"/>
              <w:ind w:left="63" w:right="63"/>
              <w:rPr>
                <w:rFonts w:hint="eastAsia" w:ascii="宋体" w:hAnsi="宋体" w:cs="宋体"/>
                <w:color w:val="auto"/>
                <w:sz w:val="24"/>
                <w:szCs w:val="24"/>
                <w:highlight w:val="none"/>
              </w:rPr>
            </w:pPr>
          </w:p>
        </w:tc>
        <w:tc>
          <w:tcPr>
            <w:tcW w:w="1450" w:type="dxa"/>
            <w:tcBorders>
              <w:top w:val="nil"/>
            </w:tcBorders>
            <w:vAlign w:val="center"/>
          </w:tcPr>
          <w:p w14:paraId="00D11F6A">
            <w:pPr>
              <w:pStyle w:val="34"/>
              <w:keepNext/>
              <w:spacing w:line="440" w:lineRule="exact"/>
              <w:ind w:left="63" w:right="63"/>
              <w:rPr>
                <w:rFonts w:hint="eastAsia" w:ascii="宋体" w:hAnsi="宋体" w:cs="宋体"/>
                <w:color w:val="auto"/>
                <w:sz w:val="24"/>
                <w:szCs w:val="24"/>
                <w:highlight w:val="none"/>
              </w:rPr>
            </w:pPr>
          </w:p>
        </w:tc>
        <w:tc>
          <w:tcPr>
            <w:tcW w:w="1667" w:type="dxa"/>
            <w:tcBorders>
              <w:top w:val="nil"/>
            </w:tcBorders>
            <w:vAlign w:val="center"/>
          </w:tcPr>
          <w:p w14:paraId="71AED6E2">
            <w:pPr>
              <w:pStyle w:val="34"/>
              <w:keepNext/>
              <w:spacing w:line="440" w:lineRule="exact"/>
              <w:ind w:left="63" w:right="63"/>
              <w:rPr>
                <w:rFonts w:hint="eastAsia" w:ascii="宋体" w:hAnsi="宋体" w:cs="宋体"/>
                <w:color w:val="auto"/>
                <w:sz w:val="24"/>
                <w:szCs w:val="24"/>
                <w:highlight w:val="none"/>
              </w:rPr>
            </w:pPr>
          </w:p>
        </w:tc>
      </w:tr>
      <w:tr w14:paraId="58924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E9F6D55">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75323EED">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23A4FD6A">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0B9A93F8">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442B3702">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48EA1E1E">
            <w:pPr>
              <w:pStyle w:val="34"/>
              <w:keepNext/>
              <w:spacing w:line="440" w:lineRule="exact"/>
              <w:ind w:left="63" w:right="63"/>
              <w:rPr>
                <w:rFonts w:hint="eastAsia" w:ascii="宋体" w:hAnsi="宋体" w:cs="宋体"/>
                <w:color w:val="auto"/>
                <w:sz w:val="24"/>
                <w:szCs w:val="24"/>
                <w:highlight w:val="none"/>
              </w:rPr>
            </w:pPr>
          </w:p>
        </w:tc>
      </w:tr>
      <w:tr w14:paraId="3C98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FF8EDBF">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0BC5C21C">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3CB45A41">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6DF73E49">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411D6C15">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20C83B52">
            <w:pPr>
              <w:pStyle w:val="34"/>
              <w:keepNext/>
              <w:spacing w:line="440" w:lineRule="exact"/>
              <w:ind w:left="63" w:right="63"/>
              <w:rPr>
                <w:rFonts w:hint="eastAsia" w:ascii="宋体" w:hAnsi="宋体" w:cs="宋体"/>
                <w:color w:val="auto"/>
                <w:sz w:val="24"/>
                <w:szCs w:val="24"/>
                <w:highlight w:val="none"/>
              </w:rPr>
            </w:pPr>
          </w:p>
        </w:tc>
      </w:tr>
      <w:tr w14:paraId="02239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0EE0250">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05DB848B">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517874EE">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152A9D4A">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1EE0D6A8">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3297BC68">
            <w:pPr>
              <w:pStyle w:val="34"/>
              <w:keepNext/>
              <w:spacing w:line="440" w:lineRule="exact"/>
              <w:ind w:left="63" w:right="63"/>
              <w:rPr>
                <w:rFonts w:hint="eastAsia" w:ascii="宋体" w:hAnsi="宋体" w:cs="宋体"/>
                <w:color w:val="auto"/>
                <w:sz w:val="24"/>
                <w:szCs w:val="24"/>
                <w:highlight w:val="none"/>
              </w:rPr>
            </w:pPr>
          </w:p>
        </w:tc>
      </w:tr>
      <w:tr w14:paraId="72019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BA30552">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280FE50C">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04D2C811">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2551EB53">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52BD9D01">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4F3CFEA3">
            <w:pPr>
              <w:pStyle w:val="34"/>
              <w:keepNext/>
              <w:spacing w:line="440" w:lineRule="exact"/>
              <w:ind w:left="63" w:right="63"/>
              <w:rPr>
                <w:rFonts w:hint="eastAsia" w:ascii="宋体" w:hAnsi="宋体" w:cs="宋体"/>
                <w:color w:val="auto"/>
                <w:sz w:val="24"/>
                <w:szCs w:val="24"/>
                <w:highlight w:val="none"/>
              </w:rPr>
            </w:pPr>
          </w:p>
        </w:tc>
      </w:tr>
      <w:tr w14:paraId="571AD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18FD81E">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4662DD07">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59C61F1F">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20A4D057">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6DD9588B">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4626BC84">
            <w:pPr>
              <w:pStyle w:val="34"/>
              <w:keepNext/>
              <w:spacing w:line="440" w:lineRule="exact"/>
              <w:ind w:left="63" w:right="63"/>
              <w:rPr>
                <w:rFonts w:hint="eastAsia" w:ascii="宋体" w:hAnsi="宋体" w:cs="宋体"/>
                <w:color w:val="auto"/>
                <w:sz w:val="24"/>
                <w:szCs w:val="24"/>
                <w:highlight w:val="none"/>
              </w:rPr>
            </w:pPr>
          </w:p>
        </w:tc>
      </w:tr>
      <w:tr w14:paraId="5D115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C91F3E8">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4646D130">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25D40A56">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529D4E4C">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77D19744">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3EA50DDB">
            <w:pPr>
              <w:pStyle w:val="34"/>
              <w:keepNext/>
              <w:spacing w:line="440" w:lineRule="exact"/>
              <w:ind w:left="63" w:right="63"/>
              <w:rPr>
                <w:rFonts w:hint="eastAsia" w:ascii="宋体" w:hAnsi="宋体" w:cs="宋体"/>
                <w:color w:val="auto"/>
                <w:sz w:val="24"/>
                <w:szCs w:val="24"/>
                <w:highlight w:val="none"/>
              </w:rPr>
            </w:pPr>
          </w:p>
        </w:tc>
      </w:tr>
      <w:tr w14:paraId="1FFCE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C76CF0E">
            <w:pPr>
              <w:rPr>
                <w:rFonts w:hint="eastAsia" w:ascii="宋体" w:hAnsi="宋体" w:eastAsia="宋体" w:cs="宋体"/>
                <w:color w:val="auto"/>
                <w:kern w:val="2"/>
                <w:sz w:val="24"/>
                <w:highlight w:val="none"/>
              </w:rPr>
            </w:pPr>
          </w:p>
        </w:tc>
        <w:tc>
          <w:tcPr>
            <w:tcW w:w="1276" w:type="dxa"/>
          </w:tcPr>
          <w:p w14:paraId="74F2464B">
            <w:pPr>
              <w:rPr>
                <w:rFonts w:hint="eastAsia" w:ascii="宋体" w:hAnsi="宋体" w:eastAsia="宋体" w:cs="宋体"/>
                <w:color w:val="auto"/>
                <w:kern w:val="2"/>
                <w:sz w:val="24"/>
                <w:highlight w:val="none"/>
              </w:rPr>
            </w:pPr>
          </w:p>
        </w:tc>
        <w:tc>
          <w:tcPr>
            <w:tcW w:w="1450" w:type="dxa"/>
          </w:tcPr>
          <w:p w14:paraId="0D7F8EFB">
            <w:pPr>
              <w:rPr>
                <w:rFonts w:hint="eastAsia" w:ascii="宋体" w:hAnsi="宋体" w:eastAsia="宋体" w:cs="宋体"/>
                <w:color w:val="auto"/>
                <w:kern w:val="2"/>
                <w:sz w:val="24"/>
                <w:highlight w:val="none"/>
              </w:rPr>
            </w:pPr>
          </w:p>
        </w:tc>
        <w:tc>
          <w:tcPr>
            <w:tcW w:w="1243" w:type="dxa"/>
          </w:tcPr>
          <w:p w14:paraId="719CDDAA">
            <w:pPr>
              <w:rPr>
                <w:rFonts w:hint="eastAsia" w:ascii="宋体" w:hAnsi="宋体" w:eastAsia="宋体" w:cs="宋体"/>
                <w:color w:val="auto"/>
                <w:kern w:val="2"/>
                <w:sz w:val="24"/>
                <w:highlight w:val="none"/>
              </w:rPr>
            </w:pPr>
          </w:p>
        </w:tc>
        <w:tc>
          <w:tcPr>
            <w:tcW w:w="1450" w:type="dxa"/>
          </w:tcPr>
          <w:p w14:paraId="29F0C296">
            <w:pPr>
              <w:rPr>
                <w:rFonts w:hint="eastAsia" w:ascii="宋体" w:hAnsi="宋体" w:eastAsia="宋体" w:cs="宋体"/>
                <w:color w:val="auto"/>
                <w:kern w:val="2"/>
                <w:sz w:val="24"/>
                <w:highlight w:val="none"/>
              </w:rPr>
            </w:pPr>
          </w:p>
        </w:tc>
        <w:tc>
          <w:tcPr>
            <w:tcW w:w="1667" w:type="dxa"/>
          </w:tcPr>
          <w:p w14:paraId="1465C9D7">
            <w:pPr>
              <w:rPr>
                <w:rFonts w:hint="eastAsia" w:ascii="宋体" w:hAnsi="宋体" w:eastAsia="宋体" w:cs="宋体"/>
                <w:color w:val="auto"/>
                <w:kern w:val="2"/>
                <w:sz w:val="24"/>
                <w:highlight w:val="none"/>
              </w:rPr>
            </w:pPr>
          </w:p>
        </w:tc>
      </w:tr>
      <w:tr w14:paraId="78F06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027D2C">
            <w:pPr>
              <w:pStyle w:val="34"/>
              <w:keepNext/>
              <w:spacing w:line="440" w:lineRule="exact"/>
              <w:ind w:left="63" w:right="63"/>
              <w:rPr>
                <w:rFonts w:hint="eastAsia" w:ascii="宋体" w:hAnsi="宋体" w:cs="宋体"/>
                <w:color w:val="auto"/>
                <w:sz w:val="24"/>
                <w:szCs w:val="24"/>
                <w:highlight w:val="none"/>
              </w:rPr>
            </w:pPr>
          </w:p>
        </w:tc>
        <w:tc>
          <w:tcPr>
            <w:tcW w:w="1276" w:type="dxa"/>
            <w:vAlign w:val="center"/>
          </w:tcPr>
          <w:p w14:paraId="0B88DF19">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1CE37AF4">
            <w:pPr>
              <w:pStyle w:val="34"/>
              <w:keepNext/>
              <w:spacing w:line="440" w:lineRule="exact"/>
              <w:ind w:left="63" w:right="63"/>
              <w:rPr>
                <w:rFonts w:hint="eastAsia" w:ascii="宋体" w:hAnsi="宋体" w:cs="宋体"/>
                <w:color w:val="auto"/>
                <w:sz w:val="24"/>
                <w:szCs w:val="24"/>
                <w:highlight w:val="none"/>
              </w:rPr>
            </w:pPr>
          </w:p>
        </w:tc>
        <w:tc>
          <w:tcPr>
            <w:tcW w:w="1243" w:type="dxa"/>
            <w:vAlign w:val="center"/>
          </w:tcPr>
          <w:p w14:paraId="5DF0B74F">
            <w:pPr>
              <w:pStyle w:val="34"/>
              <w:keepNext/>
              <w:spacing w:line="440" w:lineRule="exact"/>
              <w:ind w:left="63" w:right="63"/>
              <w:rPr>
                <w:rFonts w:hint="eastAsia" w:ascii="宋体" w:hAnsi="宋体" w:cs="宋体"/>
                <w:color w:val="auto"/>
                <w:sz w:val="24"/>
                <w:szCs w:val="24"/>
                <w:highlight w:val="none"/>
              </w:rPr>
            </w:pPr>
          </w:p>
        </w:tc>
        <w:tc>
          <w:tcPr>
            <w:tcW w:w="1450" w:type="dxa"/>
            <w:vAlign w:val="center"/>
          </w:tcPr>
          <w:p w14:paraId="76B53547">
            <w:pPr>
              <w:pStyle w:val="34"/>
              <w:keepNext/>
              <w:spacing w:line="440" w:lineRule="exact"/>
              <w:ind w:left="63" w:right="63"/>
              <w:rPr>
                <w:rFonts w:hint="eastAsia" w:ascii="宋体" w:hAnsi="宋体" w:cs="宋体"/>
                <w:color w:val="auto"/>
                <w:sz w:val="24"/>
                <w:szCs w:val="24"/>
                <w:highlight w:val="none"/>
              </w:rPr>
            </w:pPr>
          </w:p>
        </w:tc>
        <w:tc>
          <w:tcPr>
            <w:tcW w:w="1667" w:type="dxa"/>
            <w:vAlign w:val="center"/>
          </w:tcPr>
          <w:p w14:paraId="20C9CDFF">
            <w:pPr>
              <w:pStyle w:val="34"/>
              <w:keepNext/>
              <w:spacing w:line="440" w:lineRule="exact"/>
              <w:ind w:left="63" w:right="63"/>
              <w:rPr>
                <w:rFonts w:hint="eastAsia" w:ascii="宋体" w:hAnsi="宋体" w:cs="宋体"/>
                <w:color w:val="auto"/>
                <w:sz w:val="24"/>
                <w:szCs w:val="24"/>
                <w:highlight w:val="none"/>
              </w:rPr>
            </w:pPr>
          </w:p>
        </w:tc>
      </w:tr>
      <w:tr w14:paraId="43DF8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9399FA8">
            <w:pPr>
              <w:rPr>
                <w:rFonts w:hint="eastAsia" w:ascii="宋体" w:hAnsi="宋体" w:eastAsia="宋体" w:cs="宋体"/>
                <w:color w:val="auto"/>
                <w:kern w:val="2"/>
                <w:sz w:val="24"/>
                <w:highlight w:val="none"/>
              </w:rPr>
            </w:pPr>
          </w:p>
        </w:tc>
        <w:tc>
          <w:tcPr>
            <w:tcW w:w="1276" w:type="dxa"/>
          </w:tcPr>
          <w:p w14:paraId="72AEBE7A">
            <w:pPr>
              <w:rPr>
                <w:rFonts w:hint="eastAsia" w:ascii="宋体" w:hAnsi="宋体" w:eastAsia="宋体" w:cs="宋体"/>
                <w:color w:val="auto"/>
                <w:kern w:val="2"/>
                <w:sz w:val="24"/>
                <w:highlight w:val="none"/>
              </w:rPr>
            </w:pPr>
          </w:p>
        </w:tc>
        <w:tc>
          <w:tcPr>
            <w:tcW w:w="1450" w:type="dxa"/>
          </w:tcPr>
          <w:p w14:paraId="34CE5558">
            <w:pPr>
              <w:rPr>
                <w:rFonts w:hint="eastAsia" w:ascii="宋体" w:hAnsi="宋体" w:eastAsia="宋体" w:cs="宋体"/>
                <w:color w:val="auto"/>
                <w:kern w:val="2"/>
                <w:sz w:val="24"/>
                <w:highlight w:val="none"/>
              </w:rPr>
            </w:pPr>
          </w:p>
        </w:tc>
        <w:tc>
          <w:tcPr>
            <w:tcW w:w="1243" w:type="dxa"/>
          </w:tcPr>
          <w:p w14:paraId="6AACD0BB">
            <w:pPr>
              <w:rPr>
                <w:rFonts w:hint="eastAsia" w:ascii="宋体" w:hAnsi="宋体" w:eastAsia="宋体" w:cs="宋体"/>
                <w:color w:val="auto"/>
                <w:kern w:val="2"/>
                <w:sz w:val="24"/>
                <w:highlight w:val="none"/>
              </w:rPr>
            </w:pPr>
          </w:p>
        </w:tc>
        <w:tc>
          <w:tcPr>
            <w:tcW w:w="1450" w:type="dxa"/>
          </w:tcPr>
          <w:p w14:paraId="02D085E1">
            <w:pPr>
              <w:rPr>
                <w:rFonts w:hint="eastAsia" w:ascii="宋体" w:hAnsi="宋体" w:eastAsia="宋体" w:cs="宋体"/>
                <w:color w:val="auto"/>
                <w:kern w:val="2"/>
                <w:sz w:val="24"/>
                <w:highlight w:val="none"/>
              </w:rPr>
            </w:pPr>
          </w:p>
        </w:tc>
        <w:tc>
          <w:tcPr>
            <w:tcW w:w="1667" w:type="dxa"/>
          </w:tcPr>
          <w:p w14:paraId="14ACCA74">
            <w:pPr>
              <w:rPr>
                <w:rFonts w:hint="eastAsia" w:ascii="宋体" w:hAnsi="宋体" w:eastAsia="宋体" w:cs="宋体"/>
                <w:color w:val="auto"/>
                <w:kern w:val="2"/>
                <w:sz w:val="24"/>
                <w:highlight w:val="none"/>
              </w:rPr>
            </w:pPr>
          </w:p>
        </w:tc>
      </w:tr>
      <w:tr w14:paraId="7B133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0B49D49">
            <w:pPr>
              <w:rPr>
                <w:rFonts w:hint="eastAsia" w:ascii="宋体" w:hAnsi="宋体" w:eastAsia="宋体" w:cs="宋体"/>
                <w:color w:val="auto"/>
                <w:kern w:val="2"/>
                <w:sz w:val="24"/>
                <w:highlight w:val="none"/>
              </w:rPr>
            </w:pPr>
          </w:p>
        </w:tc>
        <w:tc>
          <w:tcPr>
            <w:tcW w:w="1276" w:type="dxa"/>
          </w:tcPr>
          <w:p w14:paraId="5C02DF7F">
            <w:pPr>
              <w:rPr>
                <w:rFonts w:hint="eastAsia" w:ascii="宋体" w:hAnsi="宋体" w:eastAsia="宋体" w:cs="宋体"/>
                <w:color w:val="auto"/>
                <w:kern w:val="2"/>
                <w:sz w:val="24"/>
                <w:highlight w:val="none"/>
              </w:rPr>
            </w:pPr>
          </w:p>
        </w:tc>
        <w:tc>
          <w:tcPr>
            <w:tcW w:w="1450" w:type="dxa"/>
          </w:tcPr>
          <w:p w14:paraId="7544ED37">
            <w:pPr>
              <w:rPr>
                <w:rFonts w:hint="eastAsia" w:ascii="宋体" w:hAnsi="宋体" w:eastAsia="宋体" w:cs="宋体"/>
                <w:color w:val="auto"/>
                <w:kern w:val="2"/>
                <w:sz w:val="24"/>
                <w:highlight w:val="none"/>
              </w:rPr>
            </w:pPr>
          </w:p>
        </w:tc>
        <w:tc>
          <w:tcPr>
            <w:tcW w:w="1243" w:type="dxa"/>
          </w:tcPr>
          <w:p w14:paraId="704D4E44">
            <w:pPr>
              <w:rPr>
                <w:rFonts w:hint="eastAsia" w:ascii="宋体" w:hAnsi="宋体" w:eastAsia="宋体" w:cs="宋体"/>
                <w:color w:val="auto"/>
                <w:kern w:val="2"/>
                <w:sz w:val="24"/>
                <w:highlight w:val="none"/>
              </w:rPr>
            </w:pPr>
          </w:p>
        </w:tc>
        <w:tc>
          <w:tcPr>
            <w:tcW w:w="1450" w:type="dxa"/>
          </w:tcPr>
          <w:p w14:paraId="60C06722">
            <w:pPr>
              <w:rPr>
                <w:rFonts w:hint="eastAsia" w:ascii="宋体" w:hAnsi="宋体" w:eastAsia="宋体" w:cs="宋体"/>
                <w:color w:val="auto"/>
                <w:kern w:val="2"/>
                <w:sz w:val="24"/>
                <w:highlight w:val="none"/>
              </w:rPr>
            </w:pPr>
          </w:p>
        </w:tc>
        <w:tc>
          <w:tcPr>
            <w:tcW w:w="1667" w:type="dxa"/>
          </w:tcPr>
          <w:p w14:paraId="50417ADD">
            <w:pPr>
              <w:rPr>
                <w:rFonts w:hint="eastAsia" w:ascii="宋体" w:hAnsi="宋体" w:eastAsia="宋体" w:cs="宋体"/>
                <w:color w:val="auto"/>
                <w:kern w:val="2"/>
                <w:sz w:val="24"/>
                <w:highlight w:val="none"/>
              </w:rPr>
            </w:pPr>
          </w:p>
        </w:tc>
      </w:tr>
      <w:tr w14:paraId="5AEA7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C6EB20D">
            <w:pPr>
              <w:rPr>
                <w:rFonts w:hint="eastAsia" w:ascii="宋体" w:hAnsi="宋体" w:eastAsia="宋体" w:cs="宋体"/>
                <w:color w:val="auto"/>
                <w:kern w:val="2"/>
                <w:sz w:val="24"/>
                <w:highlight w:val="none"/>
              </w:rPr>
            </w:pPr>
          </w:p>
        </w:tc>
        <w:tc>
          <w:tcPr>
            <w:tcW w:w="1276" w:type="dxa"/>
          </w:tcPr>
          <w:p w14:paraId="2DB165EE">
            <w:pPr>
              <w:rPr>
                <w:rFonts w:hint="eastAsia" w:ascii="宋体" w:hAnsi="宋体" w:eastAsia="宋体" w:cs="宋体"/>
                <w:color w:val="auto"/>
                <w:kern w:val="2"/>
                <w:sz w:val="24"/>
                <w:highlight w:val="none"/>
              </w:rPr>
            </w:pPr>
          </w:p>
        </w:tc>
        <w:tc>
          <w:tcPr>
            <w:tcW w:w="1450" w:type="dxa"/>
          </w:tcPr>
          <w:p w14:paraId="09A020B3">
            <w:pPr>
              <w:rPr>
                <w:rFonts w:hint="eastAsia" w:ascii="宋体" w:hAnsi="宋体" w:eastAsia="宋体" w:cs="宋体"/>
                <w:color w:val="auto"/>
                <w:kern w:val="2"/>
                <w:sz w:val="24"/>
                <w:highlight w:val="none"/>
              </w:rPr>
            </w:pPr>
          </w:p>
        </w:tc>
        <w:tc>
          <w:tcPr>
            <w:tcW w:w="1243" w:type="dxa"/>
          </w:tcPr>
          <w:p w14:paraId="5F132035">
            <w:pPr>
              <w:rPr>
                <w:rFonts w:hint="eastAsia" w:ascii="宋体" w:hAnsi="宋体" w:eastAsia="宋体" w:cs="宋体"/>
                <w:color w:val="auto"/>
                <w:kern w:val="2"/>
                <w:sz w:val="24"/>
                <w:highlight w:val="none"/>
              </w:rPr>
            </w:pPr>
          </w:p>
        </w:tc>
        <w:tc>
          <w:tcPr>
            <w:tcW w:w="1450" w:type="dxa"/>
          </w:tcPr>
          <w:p w14:paraId="7BC77F65">
            <w:pPr>
              <w:rPr>
                <w:rFonts w:hint="eastAsia" w:ascii="宋体" w:hAnsi="宋体" w:eastAsia="宋体" w:cs="宋体"/>
                <w:color w:val="auto"/>
                <w:kern w:val="2"/>
                <w:sz w:val="24"/>
                <w:highlight w:val="none"/>
              </w:rPr>
            </w:pPr>
          </w:p>
        </w:tc>
        <w:tc>
          <w:tcPr>
            <w:tcW w:w="1667" w:type="dxa"/>
          </w:tcPr>
          <w:p w14:paraId="2F6F4658">
            <w:pPr>
              <w:rPr>
                <w:rFonts w:hint="eastAsia" w:ascii="宋体" w:hAnsi="宋体" w:eastAsia="宋体" w:cs="宋体"/>
                <w:color w:val="auto"/>
                <w:kern w:val="2"/>
                <w:sz w:val="24"/>
                <w:highlight w:val="none"/>
              </w:rPr>
            </w:pPr>
          </w:p>
        </w:tc>
      </w:tr>
      <w:tr w14:paraId="6E06A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F50D9E3">
            <w:pPr>
              <w:rPr>
                <w:rFonts w:hint="eastAsia" w:ascii="宋体" w:hAnsi="宋体" w:eastAsia="宋体" w:cs="宋体"/>
                <w:color w:val="auto"/>
                <w:kern w:val="2"/>
                <w:sz w:val="24"/>
                <w:highlight w:val="none"/>
              </w:rPr>
            </w:pPr>
          </w:p>
        </w:tc>
        <w:tc>
          <w:tcPr>
            <w:tcW w:w="1276" w:type="dxa"/>
          </w:tcPr>
          <w:p w14:paraId="0BC3CC2F">
            <w:pPr>
              <w:rPr>
                <w:rFonts w:hint="eastAsia" w:ascii="宋体" w:hAnsi="宋体" w:eastAsia="宋体" w:cs="宋体"/>
                <w:color w:val="auto"/>
                <w:kern w:val="2"/>
                <w:sz w:val="24"/>
                <w:highlight w:val="none"/>
              </w:rPr>
            </w:pPr>
          </w:p>
        </w:tc>
        <w:tc>
          <w:tcPr>
            <w:tcW w:w="1450" w:type="dxa"/>
          </w:tcPr>
          <w:p w14:paraId="717CDE25">
            <w:pPr>
              <w:rPr>
                <w:rFonts w:hint="eastAsia" w:ascii="宋体" w:hAnsi="宋体" w:eastAsia="宋体" w:cs="宋体"/>
                <w:color w:val="auto"/>
                <w:kern w:val="2"/>
                <w:sz w:val="24"/>
                <w:highlight w:val="none"/>
              </w:rPr>
            </w:pPr>
          </w:p>
        </w:tc>
        <w:tc>
          <w:tcPr>
            <w:tcW w:w="1243" w:type="dxa"/>
          </w:tcPr>
          <w:p w14:paraId="5E631EAF">
            <w:pPr>
              <w:rPr>
                <w:rFonts w:hint="eastAsia" w:ascii="宋体" w:hAnsi="宋体" w:eastAsia="宋体" w:cs="宋体"/>
                <w:color w:val="auto"/>
                <w:kern w:val="2"/>
                <w:sz w:val="24"/>
                <w:highlight w:val="none"/>
              </w:rPr>
            </w:pPr>
          </w:p>
        </w:tc>
        <w:tc>
          <w:tcPr>
            <w:tcW w:w="1450" w:type="dxa"/>
          </w:tcPr>
          <w:p w14:paraId="1B9D197C">
            <w:pPr>
              <w:rPr>
                <w:rFonts w:hint="eastAsia" w:ascii="宋体" w:hAnsi="宋体" w:eastAsia="宋体" w:cs="宋体"/>
                <w:color w:val="auto"/>
                <w:kern w:val="2"/>
                <w:sz w:val="24"/>
                <w:highlight w:val="none"/>
              </w:rPr>
            </w:pPr>
          </w:p>
        </w:tc>
        <w:tc>
          <w:tcPr>
            <w:tcW w:w="1667" w:type="dxa"/>
          </w:tcPr>
          <w:p w14:paraId="74E771D3">
            <w:pPr>
              <w:rPr>
                <w:rFonts w:hint="eastAsia" w:ascii="宋体" w:hAnsi="宋体" w:eastAsia="宋体" w:cs="宋体"/>
                <w:color w:val="auto"/>
                <w:kern w:val="2"/>
                <w:sz w:val="24"/>
                <w:highlight w:val="none"/>
              </w:rPr>
            </w:pPr>
          </w:p>
        </w:tc>
      </w:tr>
      <w:tr w14:paraId="75DDE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10D0188">
            <w:pPr>
              <w:rPr>
                <w:rFonts w:hint="eastAsia" w:ascii="宋体" w:hAnsi="宋体" w:eastAsia="宋体" w:cs="宋体"/>
                <w:color w:val="auto"/>
                <w:kern w:val="2"/>
                <w:sz w:val="24"/>
                <w:highlight w:val="none"/>
              </w:rPr>
            </w:pPr>
          </w:p>
        </w:tc>
        <w:tc>
          <w:tcPr>
            <w:tcW w:w="1276" w:type="dxa"/>
          </w:tcPr>
          <w:p w14:paraId="3B00861D">
            <w:pPr>
              <w:rPr>
                <w:rFonts w:hint="eastAsia" w:ascii="宋体" w:hAnsi="宋体" w:eastAsia="宋体" w:cs="宋体"/>
                <w:color w:val="auto"/>
                <w:kern w:val="2"/>
                <w:sz w:val="24"/>
                <w:highlight w:val="none"/>
              </w:rPr>
            </w:pPr>
          </w:p>
        </w:tc>
        <w:tc>
          <w:tcPr>
            <w:tcW w:w="1450" w:type="dxa"/>
          </w:tcPr>
          <w:p w14:paraId="1E25D9DC">
            <w:pPr>
              <w:rPr>
                <w:rFonts w:hint="eastAsia" w:ascii="宋体" w:hAnsi="宋体" w:eastAsia="宋体" w:cs="宋体"/>
                <w:color w:val="auto"/>
                <w:kern w:val="2"/>
                <w:sz w:val="24"/>
                <w:highlight w:val="none"/>
              </w:rPr>
            </w:pPr>
          </w:p>
        </w:tc>
        <w:tc>
          <w:tcPr>
            <w:tcW w:w="1243" w:type="dxa"/>
          </w:tcPr>
          <w:p w14:paraId="2D237FCD">
            <w:pPr>
              <w:rPr>
                <w:rFonts w:hint="eastAsia" w:ascii="宋体" w:hAnsi="宋体" w:eastAsia="宋体" w:cs="宋体"/>
                <w:color w:val="auto"/>
                <w:kern w:val="2"/>
                <w:sz w:val="24"/>
                <w:highlight w:val="none"/>
              </w:rPr>
            </w:pPr>
          </w:p>
        </w:tc>
        <w:tc>
          <w:tcPr>
            <w:tcW w:w="1450" w:type="dxa"/>
          </w:tcPr>
          <w:p w14:paraId="45EA9BC3">
            <w:pPr>
              <w:rPr>
                <w:rFonts w:hint="eastAsia" w:ascii="宋体" w:hAnsi="宋体" w:eastAsia="宋体" w:cs="宋体"/>
                <w:color w:val="auto"/>
                <w:kern w:val="2"/>
                <w:sz w:val="24"/>
                <w:highlight w:val="none"/>
              </w:rPr>
            </w:pPr>
          </w:p>
        </w:tc>
        <w:tc>
          <w:tcPr>
            <w:tcW w:w="1667" w:type="dxa"/>
          </w:tcPr>
          <w:p w14:paraId="54665BD5">
            <w:pPr>
              <w:rPr>
                <w:rFonts w:hint="eastAsia" w:ascii="宋体" w:hAnsi="宋体" w:eastAsia="宋体" w:cs="宋体"/>
                <w:color w:val="auto"/>
                <w:kern w:val="2"/>
                <w:sz w:val="24"/>
                <w:highlight w:val="none"/>
              </w:rPr>
            </w:pPr>
          </w:p>
        </w:tc>
      </w:tr>
      <w:tr w14:paraId="486F4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DB27105">
            <w:pPr>
              <w:rPr>
                <w:rFonts w:hint="eastAsia" w:ascii="宋体" w:hAnsi="宋体" w:eastAsia="宋体" w:cs="宋体"/>
                <w:color w:val="auto"/>
                <w:kern w:val="2"/>
                <w:sz w:val="24"/>
                <w:highlight w:val="none"/>
              </w:rPr>
            </w:pPr>
          </w:p>
        </w:tc>
        <w:tc>
          <w:tcPr>
            <w:tcW w:w="1276" w:type="dxa"/>
          </w:tcPr>
          <w:p w14:paraId="21A6A443">
            <w:pPr>
              <w:rPr>
                <w:rFonts w:hint="eastAsia" w:ascii="宋体" w:hAnsi="宋体" w:eastAsia="宋体" w:cs="宋体"/>
                <w:color w:val="auto"/>
                <w:kern w:val="2"/>
                <w:sz w:val="24"/>
                <w:highlight w:val="none"/>
              </w:rPr>
            </w:pPr>
          </w:p>
        </w:tc>
        <w:tc>
          <w:tcPr>
            <w:tcW w:w="1450" w:type="dxa"/>
          </w:tcPr>
          <w:p w14:paraId="10F850D8">
            <w:pPr>
              <w:rPr>
                <w:rFonts w:hint="eastAsia" w:ascii="宋体" w:hAnsi="宋体" w:eastAsia="宋体" w:cs="宋体"/>
                <w:color w:val="auto"/>
                <w:kern w:val="2"/>
                <w:sz w:val="24"/>
                <w:highlight w:val="none"/>
              </w:rPr>
            </w:pPr>
          </w:p>
        </w:tc>
        <w:tc>
          <w:tcPr>
            <w:tcW w:w="1243" w:type="dxa"/>
          </w:tcPr>
          <w:p w14:paraId="21423248">
            <w:pPr>
              <w:rPr>
                <w:rFonts w:hint="eastAsia" w:ascii="宋体" w:hAnsi="宋体" w:eastAsia="宋体" w:cs="宋体"/>
                <w:color w:val="auto"/>
                <w:kern w:val="2"/>
                <w:sz w:val="24"/>
                <w:highlight w:val="none"/>
              </w:rPr>
            </w:pPr>
          </w:p>
        </w:tc>
        <w:tc>
          <w:tcPr>
            <w:tcW w:w="1450" w:type="dxa"/>
          </w:tcPr>
          <w:p w14:paraId="038FB666">
            <w:pPr>
              <w:rPr>
                <w:rFonts w:hint="eastAsia" w:ascii="宋体" w:hAnsi="宋体" w:eastAsia="宋体" w:cs="宋体"/>
                <w:color w:val="auto"/>
                <w:kern w:val="2"/>
                <w:sz w:val="24"/>
                <w:highlight w:val="none"/>
              </w:rPr>
            </w:pPr>
          </w:p>
        </w:tc>
        <w:tc>
          <w:tcPr>
            <w:tcW w:w="1667" w:type="dxa"/>
          </w:tcPr>
          <w:p w14:paraId="3B550A0C">
            <w:pPr>
              <w:rPr>
                <w:rFonts w:hint="eastAsia" w:ascii="宋体" w:hAnsi="宋体" w:eastAsia="宋体" w:cs="宋体"/>
                <w:color w:val="auto"/>
                <w:kern w:val="2"/>
                <w:sz w:val="24"/>
                <w:highlight w:val="none"/>
              </w:rPr>
            </w:pPr>
          </w:p>
        </w:tc>
      </w:tr>
      <w:tr w14:paraId="2AF28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F31C9B5">
            <w:pPr>
              <w:rPr>
                <w:rFonts w:hint="eastAsia" w:ascii="宋体" w:hAnsi="宋体" w:eastAsia="宋体" w:cs="宋体"/>
                <w:color w:val="auto"/>
                <w:kern w:val="2"/>
                <w:sz w:val="24"/>
                <w:highlight w:val="none"/>
              </w:rPr>
            </w:pPr>
          </w:p>
        </w:tc>
        <w:tc>
          <w:tcPr>
            <w:tcW w:w="1276" w:type="dxa"/>
          </w:tcPr>
          <w:p w14:paraId="641413A5">
            <w:pPr>
              <w:rPr>
                <w:rFonts w:hint="eastAsia" w:ascii="宋体" w:hAnsi="宋体" w:eastAsia="宋体" w:cs="宋体"/>
                <w:color w:val="auto"/>
                <w:kern w:val="2"/>
                <w:sz w:val="24"/>
                <w:highlight w:val="none"/>
              </w:rPr>
            </w:pPr>
          </w:p>
        </w:tc>
        <w:tc>
          <w:tcPr>
            <w:tcW w:w="1450" w:type="dxa"/>
          </w:tcPr>
          <w:p w14:paraId="71429A8C">
            <w:pPr>
              <w:rPr>
                <w:rFonts w:hint="eastAsia" w:ascii="宋体" w:hAnsi="宋体" w:eastAsia="宋体" w:cs="宋体"/>
                <w:color w:val="auto"/>
                <w:kern w:val="2"/>
                <w:sz w:val="24"/>
                <w:highlight w:val="none"/>
              </w:rPr>
            </w:pPr>
          </w:p>
        </w:tc>
        <w:tc>
          <w:tcPr>
            <w:tcW w:w="1243" w:type="dxa"/>
          </w:tcPr>
          <w:p w14:paraId="232FE57F">
            <w:pPr>
              <w:rPr>
                <w:rFonts w:hint="eastAsia" w:ascii="宋体" w:hAnsi="宋体" w:eastAsia="宋体" w:cs="宋体"/>
                <w:color w:val="auto"/>
                <w:kern w:val="2"/>
                <w:sz w:val="24"/>
                <w:highlight w:val="none"/>
              </w:rPr>
            </w:pPr>
          </w:p>
        </w:tc>
        <w:tc>
          <w:tcPr>
            <w:tcW w:w="1450" w:type="dxa"/>
          </w:tcPr>
          <w:p w14:paraId="7F83FDB1">
            <w:pPr>
              <w:rPr>
                <w:rFonts w:hint="eastAsia" w:ascii="宋体" w:hAnsi="宋体" w:eastAsia="宋体" w:cs="宋体"/>
                <w:color w:val="auto"/>
                <w:kern w:val="2"/>
                <w:sz w:val="24"/>
                <w:highlight w:val="none"/>
              </w:rPr>
            </w:pPr>
          </w:p>
        </w:tc>
        <w:tc>
          <w:tcPr>
            <w:tcW w:w="1667" w:type="dxa"/>
          </w:tcPr>
          <w:p w14:paraId="05A87739">
            <w:pPr>
              <w:rPr>
                <w:rFonts w:hint="eastAsia" w:ascii="宋体" w:hAnsi="宋体" w:eastAsia="宋体" w:cs="宋体"/>
                <w:color w:val="auto"/>
                <w:kern w:val="2"/>
                <w:sz w:val="24"/>
                <w:highlight w:val="none"/>
              </w:rPr>
            </w:pPr>
          </w:p>
        </w:tc>
      </w:tr>
      <w:tr w14:paraId="4FACF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5FFB0A4">
            <w:pPr>
              <w:rPr>
                <w:rFonts w:hint="eastAsia" w:ascii="宋体" w:hAnsi="宋体" w:eastAsia="宋体" w:cs="宋体"/>
                <w:color w:val="auto"/>
                <w:kern w:val="2"/>
                <w:sz w:val="24"/>
                <w:highlight w:val="none"/>
              </w:rPr>
            </w:pPr>
          </w:p>
        </w:tc>
        <w:tc>
          <w:tcPr>
            <w:tcW w:w="1276" w:type="dxa"/>
          </w:tcPr>
          <w:p w14:paraId="2D2849CA">
            <w:pPr>
              <w:rPr>
                <w:rFonts w:hint="eastAsia" w:ascii="宋体" w:hAnsi="宋体" w:eastAsia="宋体" w:cs="宋体"/>
                <w:color w:val="auto"/>
                <w:kern w:val="2"/>
                <w:sz w:val="24"/>
                <w:highlight w:val="none"/>
              </w:rPr>
            </w:pPr>
          </w:p>
        </w:tc>
        <w:tc>
          <w:tcPr>
            <w:tcW w:w="1450" w:type="dxa"/>
          </w:tcPr>
          <w:p w14:paraId="7DA3856C">
            <w:pPr>
              <w:rPr>
                <w:rFonts w:hint="eastAsia" w:ascii="宋体" w:hAnsi="宋体" w:eastAsia="宋体" w:cs="宋体"/>
                <w:color w:val="auto"/>
                <w:kern w:val="2"/>
                <w:sz w:val="24"/>
                <w:highlight w:val="none"/>
              </w:rPr>
            </w:pPr>
          </w:p>
        </w:tc>
        <w:tc>
          <w:tcPr>
            <w:tcW w:w="1243" w:type="dxa"/>
          </w:tcPr>
          <w:p w14:paraId="05428589">
            <w:pPr>
              <w:rPr>
                <w:rFonts w:hint="eastAsia" w:ascii="宋体" w:hAnsi="宋体" w:eastAsia="宋体" w:cs="宋体"/>
                <w:color w:val="auto"/>
                <w:kern w:val="2"/>
                <w:sz w:val="24"/>
                <w:highlight w:val="none"/>
              </w:rPr>
            </w:pPr>
          </w:p>
        </w:tc>
        <w:tc>
          <w:tcPr>
            <w:tcW w:w="1450" w:type="dxa"/>
          </w:tcPr>
          <w:p w14:paraId="640991A3">
            <w:pPr>
              <w:rPr>
                <w:rFonts w:hint="eastAsia" w:ascii="宋体" w:hAnsi="宋体" w:eastAsia="宋体" w:cs="宋体"/>
                <w:color w:val="auto"/>
                <w:kern w:val="2"/>
                <w:sz w:val="24"/>
                <w:highlight w:val="none"/>
              </w:rPr>
            </w:pPr>
          </w:p>
        </w:tc>
        <w:tc>
          <w:tcPr>
            <w:tcW w:w="1667" w:type="dxa"/>
          </w:tcPr>
          <w:p w14:paraId="5E25153F">
            <w:pPr>
              <w:rPr>
                <w:rFonts w:hint="eastAsia" w:ascii="宋体" w:hAnsi="宋体" w:eastAsia="宋体" w:cs="宋体"/>
                <w:color w:val="auto"/>
                <w:kern w:val="2"/>
                <w:sz w:val="24"/>
                <w:highlight w:val="none"/>
              </w:rPr>
            </w:pPr>
          </w:p>
        </w:tc>
      </w:tr>
      <w:tr w14:paraId="04D3B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3951BF6E">
            <w:pPr>
              <w:rPr>
                <w:rFonts w:hint="eastAsia" w:ascii="宋体" w:hAnsi="宋体" w:eastAsia="宋体" w:cs="宋体"/>
                <w:color w:val="auto"/>
                <w:kern w:val="2"/>
                <w:sz w:val="24"/>
                <w:highlight w:val="none"/>
              </w:rPr>
            </w:pPr>
          </w:p>
        </w:tc>
        <w:tc>
          <w:tcPr>
            <w:tcW w:w="1276" w:type="dxa"/>
            <w:tcBorders>
              <w:bottom w:val="single" w:color="auto" w:sz="12" w:space="0"/>
            </w:tcBorders>
          </w:tcPr>
          <w:p w14:paraId="1029B9B4">
            <w:pPr>
              <w:rPr>
                <w:rFonts w:hint="eastAsia" w:ascii="宋体" w:hAnsi="宋体" w:eastAsia="宋体" w:cs="宋体"/>
                <w:color w:val="auto"/>
                <w:kern w:val="2"/>
                <w:sz w:val="24"/>
                <w:highlight w:val="none"/>
              </w:rPr>
            </w:pPr>
          </w:p>
        </w:tc>
        <w:tc>
          <w:tcPr>
            <w:tcW w:w="1450" w:type="dxa"/>
            <w:tcBorders>
              <w:bottom w:val="single" w:color="auto" w:sz="12" w:space="0"/>
            </w:tcBorders>
          </w:tcPr>
          <w:p w14:paraId="2BC5E098">
            <w:pPr>
              <w:rPr>
                <w:rFonts w:hint="eastAsia" w:ascii="宋体" w:hAnsi="宋体" w:eastAsia="宋体" w:cs="宋体"/>
                <w:color w:val="auto"/>
                <w:kern w:val="2"/>
                <w:sz w:val="24"/>
                <w:highlight w:val="none"/>
              </w:rPr>
            </w:pPr>
          </w:p>
        </w:tc>
        <w:tc>
          <w:tcPr>
            <w:tcW w:w="1243" w:type="dxa"/>
            <w:tcBorders>
              <w:bottom w:val="single" w:color="auto" w:sz="12" w:space="0"/>
            </w:tcBorders>
          </w:tcPr>
          <w:p w14:paraId="6145F584">
            <w:pPr>
              <w:rPr>
                <w:rFonts w:hint="eastAsia" w:ascii="宋体" w:hAnsi="宋体" w:eastAsia="宋体" w:cs="宋体"/>
                <w:color w:val="auto"/>
                <w:kern w:val="2"/>
                <w:sz w:val="24"/>
                <w:highlight w:val="none"/>
              </w:rPr>
            </w:pPr>
          </w:p>
        </w:tc>
        <w:tc>
          <w:tcPr>
            <w:tcW w:w="1450" w:type="dxa"/>
            <w:tcBorders>
              <w:bottom w:val="single" w:color="auto" w:sz="12" w:space="0"/>
            </w:tcBorders>
          </w:tcPr>
          <w:p w14:paraId="53E8C209">
            <w:pPr>
              <w:rPr>
                <w:rFonts w:hint="eastAsia" w:ascii="宋体" w:hAnsi="宋体" w:eastAsia="宋体" w:cs="宋体"/>
                <w:color w:val="auto"/>
                <w:kern w:val="2"/>
                <w:sz w:val="24"/>
                <w:highlight w:val="none"/>
              </w:rPr>
            </w:pPr>
          </w:p>
        </w:tc>
        <w:tc>
          <w:tcPr>
            <w:tcW w:w="1667" w:type="dxa"/>
            <w:tcBorders>
              <w:bottom w:val="single" w:color="auto" w:sz="12" w:space="0"/>
            </w:tcBorders>
          </w:tcPr>
          <w:p w14:paraId="2368C17E">
            <w:pPr>
              <w:rPr>
                <w:rFonts w:hint="eastAsia" w:ascii="宋体" w:hAnsi="宋体" w:eastAsia="宋体" w:cs="宋体"/>
                <w:color w:val="auto"/>
                <w:kern w:val="2"/>
                <w:sz w:val="24"/>
                <w:highlight w:val="none"/>
              </w:rPr>
            </w:pPr>
          </w:p>
        </w:tc>
      </w:tr>
    </w:tbl>
    <w:p w14:paraId="4986A61E">
      <w:pPr>
        <w:spacing w:line="440" w:lineRule="exact"/>
        <w:rPr>
          <w:rFonts w:hint="eastAsia" w:ascii="宋体" w:hAnsi="宋体" w:eastAsia="宋体" w:cs="宋体"/>
          <w:color w:val="auto"/>
          <w:sz w:val="24"/>
          <w:highlight w:val="none"/>
        </w:rPr>
      </w:pPr>
    </w:p>
    <w:p w14:paraId="4D9FB44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w:t>
      </w:r>
      <w:bookmarkStart w:id="213" w:name="_Toc296944566"/>
      <w:bookmarkStart w:id="214" w:name="_Toc296503227"/>
      <w:bookmarkStart w:id="215" w:name="_Toc296346728"/>
      <w:bookmarkStart w:id="216" w:name="_Toc296891267"/>
      <w:bookmarkStart w:id="217" w:name="_Toc296347226"/>
      <w:bookmarkStart w:id="218" w:name="_Toc267261698"/>
      <w:bookmarkStart w:id="219" w:name="_Toc296891055"/>
      <w:r>
        <w:rPr>
          <w:rFonts w:hint="eastAsia" w:ascii="宋体" w:hAnsi="宋体" w:eastAsia="宋体" w:cs="宋体"/>
          <w:color w:val="auto"/>
          <w:sz w:val="24"/>
          <w:highlight w:val="none"/>
        </w:rPr>
        <w:t>件4：</w:t>
      </w:r>
    </w:p>
    <w:bookmarkEnd w:id="213"/>
    <w:bookmarkEnd w:id="214"/>
    <w:bookmarkEnd w:id="215"/>
    <w:bookmarkEnd w:id="216"/>
    <w:bookmarkEnd w:id="217"/>
    <w:bookmarkEnd w:id="218"/>
    <w:bookmarkEnd w:id="219"/>
    <w:p w14:paraId="02D4BAEE">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AD97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3613DE7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18" w:type="dxa"/>
            <w:tcBorders>
              <w:top w:val="single" w:color="auto" w:sz="12" w:space="0"/>
              <w:bottom w:val="double" w:color="auto" w:sz="6" w:space="0"/>
            </w:tcBorders>
            <w:vAlign w:val="center"/>
          </w:tcPr>
          <w:p w14:paraId="334AD9FF">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机械或设备名称</w:t>
            </w:r>
          </w:p>
        </w:tc>
        <w:tc>
          <w:tcPr>
            <w:tcW w:w="850" w:type="dxa"/>
            <w:tcBorders>
              <w:top w:val="single" w:color="auto" w:sz="12" w:space="0"/>
              <w:bottom w:val="double" w:color="auto" w:sz="6" w:space="0"/>
            </w:tcBorders>
            <w:vAlign w:val="center"/>
          </w:tcPr>
          <w:p w14:paraId="5999D6C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规格</w:t>
            </w:r>
          </w:p>
          <w:p w14:paraId="7DD1E456">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型号</w:t>
            </w:r>
          </w:p>
        </w:tc>
        <w:tc>
          <w:tcPr>
            <w:tcW w:w="1058" w:type="dxa"/>
            <w:tcBorders>
              <w:top w:val="single" w:color="auto" w:sz="12" w:space="0"/>
              <w:bottom w:val="double" w:color="auto" w:sz="6" w:space="0"/>
            </w:tcBorders>
            <w:vAlign w:val="center"/>
          </w:tcPr>
          <w:p w14:paraId="7831B91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880" w:type="dxa"/>
            <w:tcBorders>
              <w:top w:val="single" w:color="auto" w:sz="12" w:space="0"/>
              <w:bottom w:val="double" w:color="auto" w:sz="6" w:space="0"/>
            </w:tcBorders>
            <w:vAlign w:val="center"/>
          </w:tcPr>
          <w:p w14:paraId="26969F51">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产地</w:t>
            </w:r>
          </w:p>
        </w:tc>
        <w:tc>
          <w:tcPr>
            <w:tcW w:w="1020" w:type="dxa"/>
            <w:tcBorders>
              <w:top w:val="single" w:color="auto" w:sz="12" w:space="0"/>
              <w:bottom w:val="double" w:color="auto" w:sz="6" w:space="0"/>
            </w:tcBorders>
            <w:vAlign w:val="center"/>
          </w:tcPr>
          <w:p w14:paraId="7B6AB8E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制造</w:t>
            </w:r>
          </w:p>
          <w:p w14:paraId="48450F0C">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年份</w:t>
            </w:r>
          </w:p>
        </w:tc>
        <w:tc>
          <w:tcPr>
            <w:tcW w:w="1480" w:type="dxa"/>
            <w:tcBorders>
              <w:top w:val="single" w:color="auto" w:sz="12" w:space="0"/>
              <w:bottom w:val="double" w:color="auto" w:sz="6" w:space="0"/>
            </w:tcBorders>
            <w:vAlign w:val="center"/>
          </w:tcPr>
          <w:p w14:paraId="1C5F2CF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额定功率(kW)</w:t>
            </w:r>
          </w:p>
        </w:tc>
        <w:tc>
          <w:tcPr>
            <w:tcW w:w="1020" w:type="dxa"/>
            <w:tcBorders>
              <w:top w:val="single" w:color="auto" w:sz="12" w:space="0"/>
              <w:bottom w:val="double" w:color="auto" w:sz="6" w:space="0"/>
            </w:tcBorders>
            <w:vAlign w:val="center"/>
          </w:tcPr>
          <w:p w14:paraId="0A4D6910">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生产</w:t>
            </w:r>
          </w:p>
          <w:p w14:paraId="56C4300D">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能力</w:t>
            </w:r>
          </w:p>
        </w:tc>
        <w:tc>
          <w:tcPr>
            <w:tcW w:w="921" w:type="dxa"/>
            <w:tcBorders>
              <w:top w:val="single" w:color="auto" w:sz="12" w:space="0"/>
              <w:bottom w:val="double" w:color="auto" w:sz="6" w:space="0"/>
            </w:tcBorders>
            <w:vAlign w:val="center"/>
          </w:tcPr>
          <w:p w14:paraId="3F744720">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5AE01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3506BC85">
            <w:pPr>
              <w:pStyle w:val="34"/>
              <w:keepNext/>
              <w:spacing w:line="440" w:lineRule="exact"/>
              <w:ind w:left="63" w:right="63"/>
              <w:rPr>
                <w:rFonts w:hint="eastAsia" w:ascii="宋体" w:hAnsi="宋体" w:cs="宋体"/>
                <w:color w:val="auto"/>
                <w:sz w:val="24"/>
                <w:szCs w:val="24"/>
                <w:highlight w:val="none"/>
              </w:rPr>
            </w:pPr>
          </w:p>
        </w:tc>
        <w:tc>
          <w:tcPr>
            <w:tcW w:w="1418" w:type="dxa"/>
            <w:tcBorders>
              <w:top w:val="double" w:color="auto" w:sz="6" w:space="0"/>
            </w:tcBorders>
            <w:vAlign w:val="center"/>
          </w:tcPr>
          <w:p w14:paraId="5E7B1727">
            <w:pPr>
              <w:pStyle w:val="34"/>
              <w:keepNext/>
              <w:spacing w:line="440" w:lineRule="exact"/>
              <w:ind w:left="63" w:right="63"/>
              <w:rPr>
                <w:rFonts w:hint="eastAsia" w:ascii="宋体" w:hAnsi="宋体" w:cs="宋体"/>
                <w:color w:val="auto"/>
                <w:sz w:val="24"/>
                <w:szCs w:val="24"/>
                <w:highlight w:val="none"/>
              </w:rPr>
            </w:pPr>
          </w:p>
        </w:tc>
        <w:tc>
          <w:tcPr>
            <w:tcW w:w="850" w:type="dxa"/>
            <w:tcBorders>
              <w:top w:val="double" w:color="auto" w:sz="6" w:space="0"/>
            </w:tcBorders>
            <w:vAlign w:val="center"/>
          </w:tcPr>
          <w:p w14:paraId="33340F08">
            <w:pPr>
              <w:pStyle w:val="34"/>
              <w:keepNext/>
              <w:spacing w:line="440" w:lineRule="exact"/>
              <w:ind w:left="63" w:right="63"/>
              <w:rPr>
                <w:rFonts w:hint="eastAsia" w:ascii="宋体" w:hAnsi="宋体" w:cs="宋体"/>
                <w:color w:val="auto"/>
                <w:sz w:val="24"/>
                <w:szCs w:val="24"/>
                <w:highlight w:val="none"/>
              </w:rPr>
            </w:pPr>
          </w:p>
        </w:tc>
        <w:tc>
          <w:tcPr>
            <w:tcW w:w="1058" w:type="dxa"/>
            <w:tcBorders>
              <w:top w:val="double" w:color="auto" w:sz="6" w:space="0"/>
            </w:tcBorders>
            <w:vAlign w:val="center"/>
          </w:tcPr>
          <w:p w14:paraId="6F3173E7">
            <w:pPr>
              <w:pStyle w:val="34"/>
              <w:keepNext/>
              <w:spacing w:line="440" w:lineRule="exact"/>
              <w:ind w:left="63" w:right="63"/>
              <w:rPr>
                <w:rFonts w:hint="eastAsia" w:ascii="宋体" w:hAnsi="宋体" w:cs="宋体"/>
                <w:color w:val="auto"/>
                <w:sz w:val="24"/>
                <w:szCs w:val="24"/>
                <w:highlight w:val="none"/>
              </w:rPr>
            </w:pPr>
          </w:p>
        </w:tc>
        <w:tc>
          <w:tcPr>
            <w:tcW w:w="880" w:type="dxa"/>
            <w:tcBorders>
              <w:top w:val="double" w:color="auto" w:sz="6" w:space="0"/>
            </w:tcBorders>
            <w:vAlign w:val="center"/>
          </w:tcPr>
          <w:p w14:paraId="5738687E">
            <w:pPr>
              <w:pStyle w:val="34"/>
              <w:keepNext/>
              <w:spacing w:line="440" w:lineRule="exact"/>
              <w:ind w:left="63" w:right="63"/>
              <w:rPr>
                <w:rFonts w:hint="eastAsia" w:ascii="宋体" w:hAnsi="宋体" w:cs="宋体"/>
                <w:color w:val="auto"/>
                <w:sz w:val="24"/>
                <w:szCs w:val="24"/>
                <w:highlight w:val="none"/>
              </w:rPr>
            </w:pPr>
          </w:p>
        </w:tc>
        <w:tc>
          <w:tcPr>
            <w:tcW w:w="1020" w:type="dxa"/>
            <w:tcBorders>
              <w:top w:val="double" w:color="auto" w:sz="6" w:space="0"/>
            </w:tcBorders>
            <w:vAlign w:val="center"/>
          </w:tcPr>
          <w:p w14:paraId="2A0D821E">
            <w:pPr>
              <w:pStyle w:val="34"/>
              <w:keepNext/>
              <w:spacing w:line="440" w:lineRule="exact"/>
              <w:ind w:left="63" w:right="63"/>
              <w:rPr>
                <w:rFonts w:hint="eastAsia" w:ascii="宋体" w:hAnsi="宋体" w:cs="宋体"/>
                <w:color w:val="auto"/>
                <w:sz w:val="24"/>
                <w:szCs w:val="24"/>
                <w:highlight w:val="none"/>
              </w:rPr>
            </w:pPr>
          </w:p>
        </w:tc>
        <w:tc>
          <w:tcPr>
            <w:tcW w:w="1480" w:type="dxa"/>
            <w:tcBorders>
              <w:top w:val="double" w:color="auto" w:sz="6" w:space="0"/>
            </w:tcBorders>
            <w:vAlign w:val="center"/>
          </w:tcPr>
          <w:p w14:paraId="6345724B">
            <w:pPr>
              <w:pStyle w:val="34"/>
              <w:keepNext/>
              <w:spacing w:line="440" w:lineRule="exact"/>
              <w:ind w:left="63" w:right="63"/>
              <w:rPr>
                <w:rFonts w:hint="eastAsia" w:ascii="宋体" w:hAnsi="宋体" w:cs="宋体"/>
                <w:color w:val="auto"/>
                <w:sz w:val="24"/>
                <w:szCs w:val="24"/>
                <w:highlight w:val="none"/>
              </w:rPr>
            </w:pPr>
          </w:p>
        </w:tc>
        <w:tc>
          <w:tcPr>
            <w:tcW w:w="1020" w:type="dxa"/>
            <w:tcBorders>
              <w:top w:val="double" w:color="auto" w:sz="6" w:space="0"/>
            </w:tcBorders>
            <w:vAlign w:val="center"/>
          </w:tcPr>
          <w:p w14:paraId="7A3E8654">
            <w:pPr>
              <w:pStyle w:val="34"/>
              <w:keepNext/>
              <w:spacing w:line="440" w:lineRule="exact"/>
              <w:ind w:left="63" w:right="63"/>
              <w:rPr>
                <w:rFonts w:hint="eastAsia" w:ascii="宋体" w:hAnsi="宋体" w:cs="宋体"/>
                <w:color w:val="auto"/>
                <w:sz w:val="24"/>
                <w:szCs w:val="24"/>
                <w:highlight w:val="none"/>
              </w:rPr>
            </w:pPr>
          </w:p>
        </w:tc>
        <w:tc>
          <w:tcPr>
            <w:tcW w:w="921" w:type="dxa"/>
            <w:tcBorders>
              <w:top w:val="double" w:color="auto" w:sz="6" w:space="0"/>
            </w:tcBorders>
            <w:vAlign w:val="center"/>
          </w:tcPr>
          <w:p w14:paraId="4BB4319C">
            <w:pPr>
              <w:pStyle w:val="34"/>
              <w:keepNext/>
              <w:spacing w:line="440" w:lineRule="exact"/>
              <w:ind w:left="63" w:right="63"/>
              <w:rPr>
                <w:rFonts w:hint="eastAsia" w:ascii="宋体" w:hAnsi="宋体" w:cs="宋体"/>
                <w:color w:val="auto"/>
                <w:sz w:val="24"/>
                <w:szCs w:val="24"/>
                <w:highlight w:val="none"/>
              </w:rPr>
            </w:pPr>
          </w:p>
        </w:tc>
      </w:tr>
      <w:tr w14:paraId="24932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623EDF39">
            <w:pPr>
              <w:pStyle w:val="34"/>
              <w:keepNext/>
              <w:spacing w:line="440" w:lineRule="exact"/>
              <w:ind w:left="63" w:right="63"/>
              <w:rPr>
                <w:rFonts w:hint="eastAsia" w:ascii="宋体" w:hAnsi="宋体" w:cs="宋体"/>
                <w:color w:val="auto"/>
                <w:sz w:val="24"/>
                <w:szCs w:val="24"/>
                <w:highlight w:val="none"/>
              </w:rPr>
            </w:pPr>
          </w:p>
        </w:tc>
        <w:tc>
          <w:tcPr>
            <w:tcW w:w="1418" w:type="dxa"/>
            <w:tcBorders>
              <w:top w:val="nil"/>
            </w:tcBorders>
            <w:vAlign w:val="center"/>
          </w:tcPr>
          <w:p w14:paraId="21066F7E">
            <w:pPr>
              <w:pStyle w:val="34"/>
              <w:keepNext/>
              <w:spacing w:line="440" w:lineRule="exact"/>
              <w:ind w:left="63" w:right="63"/>
              <w:rPr>
                <w:rFonts w:hint="eastAsia" w:ascii="宋体" w:hAnsi="宋体" w:cs="宋体"/>
                <w:color w:val="auto"/>
                <w:sz w:val="24"/>
                <w:szCs w:val="24"/>
                <w:highlight w:val="none"/>
              </w:rPr>
            </w:pPr>
          </w:p>
        </w:tc>
        <w:tc>
          <w:tcPr>
            <w:tcW w:w="850" w:type="dxa"/>
            <w:tcBorders>
              <w:top w:val="nil"/>
            </w:tcBorders>
            <w:vAlign w:val="center"/>
          </w:tcPr>
          <w:p w14:paraId="0EEFE9D3">
            <w:pPr>
              <w:pStyle w:val="34"/>
              <w:keepNext/>
              <w:spacing w:line="440" w:lineRule="exact"/>
              <w:ind w:left="63" w:right="63"/>
              <w:rPr>
                <w:rFonts w:hint="eastAsia" w:ascii="宋体" w:hAnsi="宋体" w:cs="宋体"/>
                <w:color w:val="auto"/>
                <w:sz w:val="24"/>
                <w:szCs w:val="24"/>
                <w:highlight w:val="none"/>
              </w:rPr>
            </w:pPr>
          </w:p>
        </w:tc>
        <w:tc>
          <w:tcPr>
            <w:tcW w:w="1058" w:type="dxa"/>
            <w:tcBorders>
              <w:top w:val="nil"/>
            </w:tcBorders>
            <w:vAlign w:val="center"/>
          </w:tcPr>
          <w:p w14:paraId="24EA0E35">
            <w:pPr>
              <w:pStyle w:val="34"/>
              <w:keepNext/>
              <w:spacing w:line="440" w:lineRule="exact"/>
              <w:ind w:left="63" w:right="63"/>
              <w:rPr>
                <w:rFonts w:hint="eastAsia" w:ascii="宋体" w:hAnsi="宋体" w:cs="宋体"/>
                <w:color w:val="auto"/>
                <w:sz w:val="24"/>
                <w:szCs w:val="24"/>
                <w:highlight w:val="none"/>
              </w:rPr>
            </w:pPr>
          </w:p>
        </w:tc>
        <w:tc>
          <w:tcPr>
            <w:tcW w:w="880" w:type="dxa"/>
            <w:tcBorders>
              <w:top w:val="nil"/>
            </w:tcBorders>
            <w:vAlign w:val="center"/>
          </w:tcPr>
          <w:p w14:paraId="422FD6D4">
            <w:pPr>
              <w:pStyle w:val="34"/>
              <w:keepNext/>
              <w:spacing w:line="440" w:lineRule="exact"/>
              <w:ind w:left="63" w:right="63"/>
              <w:rPr>
                <w:rFonts w:hint="eastAsia" w:ascii="宋体" w:hAnsi="宋体" w:cs="宋体"/>
                <w:color w:val="auto"/>
                <w:sz w:val="24"/>
                <w:szCs w:val="24"/>
                <w:highlight w:val="none"/>
              </w:rPr>
            </w:pPr>
          </w:p>
        </w:tc>
        <w:tc>
          <w:tcPr>
            <w:tcW w:w="1020" w:type="dxa"/>
            <w:tcBorders>
              <w:top w:val="nil"/>
            </w:tcBorders>
            <w:vAlign w:val="center"/>
          </w:tcPr>
          <w:p w14:paraId="4051591C">
            <w:pPr>
              <w:pStyle w:val="34"/>
              <w:keepNext/>
              <w:spacing w:line="440" w:lineRule="exact"/>
              <w:ind w:left="63" w:right="63"/>
              <w:rPr>
                <w:rFonts w:hint="eastAsia" w:ascii="宋体" w:hAnsi="宋体" w:cs="宋体"/>
                <w:color w:val="auto"/>
                <w:sz w:val="24"/>
                <w:szCs w:val="24"/>
                <w:highlight w:val="none"/>
              </w:rPr>
            </w:pPr>
          </w:p>
        </w:tc>
        <w:tc>
          <w:tcPr>
            <w:tcW w:w="1480" w:type="dxa"/>
            <w:tcBorders>
              <w:top w:val="nil"/>
            </w:tcBorders>
            <w:vAlign w:val="center"/>
          </w:tcPr>
          <w:p w14:paraId="0BD455B3">
            <w:pPr>
              <w:pStyle w:val="34"/>
              <w:keepNext/>
              <w:spacing w:line="440" w:lineRule="exact"/>
              <w:ind w:left="63" w:right="63"/>
              <w:rPr>
                <w:rFonts w:hint="eastAsia" w:ascii="宋体" w:hAnsi="宋体" w:cs="宋体"/>
                <w:color w:val="auto"/>
                <w:sz w:val="24"/>
                <w:szCs w:val="24"/>
                <w:highlight w:val="none"/>
              </w:rPr>
            </w:pPr>
          </w:p>
        </w:tc>
        <w:tc>
          <w:tcPr>
            <w:tcW w:w="1020" w:type="dxa"/>
            <w:tcBorders>
              <w:top w:val="nil"/>
            </w:tcBorders>
            <w:vAlign w:val="center"/>
          </w:tcPr>
          <w:p w14:paraId="6BE8754A">
            <w:pPr>
              <w:pStyle w:val="34"/>
              <w:keepNext/>
              <w:spacing w:line="440" w:lineRule="exact"/>
              <w:ind w:left="63" w:right="63"/>
              <w:rPr>
                <w:rFonts w:hint="eastAsia" w:ascii="宋体" w:hAnsi="宋体" w:cs="宋体"/>
                <w:color w:val="auto"/>
                <w:sz w:val="24"/>
                <w:szCs w:val="24"/>
                <w:highlight w:val="none"/>
              </w:rPr>
            </w:pPr>
          </w:p>
        </w:tc>
        <w:tc>
          <w:tcPr>
            <w:tcW w:w="921" w:type="dxa"/>
            <w:tcBorders>
              <w:top w:val="nil"/>
            </w:tcBorders>
            <w:vAlign w:val="center"/>
          </w:tcPr>
          <w:p w14:paraId="4FE879BD">
            <w:pPr>
              <w:pStyle w:val="34"/>
              <w:keepNext/>
              <w:spacing w:line="440" w:lineRule="exact"/>
              <w:ind w:left="63" w:right="63"/>
              <w:rPr>
                <w:rFonts w:hint="eastAsia" w:ascii="宋体" w:hAnsi="宋体" w:cs="宋体"/>
                <w:color w:val="auto"/>
                <w:sz w:val="24"/>
                <w:szCs w:val="24"/>
                <w:highlight w:val="none"/>
              </w:rPr>
            </w:pPr>
          </w:p>
        </w:tc>
      </w:tr>
      <w:tr w14:paraId="2D0C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C66E2C">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237D55B1">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1A4D3AA0">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1FCEBF01">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598249A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76505FA9">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0472C7FD">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26EF679">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35F25753">
            <w:pPr>
              <w:pStyle w:val="34"/>
              <w:keepNext/>
              <w:spacing w:line="440" w:lineRule="exact"/>
              <w:ind w:left="63" w:right="63"/>
              <w:rPr>
                <w:rFonts w:hint="eastAsia" w:ascii="宋体" w:hAnsi="宋体" w:cs="宋体"/>
                <w:color w:val="auto"/>
                <w:sz w:val="24"/>
                <w:szCs w:val="24"/>
                <w:highlight w:val="none"/>
              </w:rPr>
            </w:pPr>
          </w:p>
        </w:tc>
      </w:tr>
      <w:tr w14:paraId="3E644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18903A7">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605E05E4">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1214EF12">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482446F4">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32C2C812">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758234AD">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1F2BBE65">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6C33F1BE">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1FCE0A0D">
            <w:pPr>
              <w:pStyle w:val="34"/>
              <w:keepNext/>
              <w:spacing w:line="440" w:lineRule="exact"/>
              <w:ind w:left="63" w:right="63"/>
              <w:rPr>
                <w:rFonts w:hint="eastAsia" w:ascii="宋体" w:hAnsi="宋体" w:cs="宋体"/>
                <w:color w:val="auto"/>
                <w:sz w:val="24"/>
                <w:szCs w:val="24"/>
                <w:highlight w:val="none"/>
              </w:rPr>
            </w:pPr>
          </w:p>
        </w:tc>
      </w:tr>
      <w:tr w14:paraId="41330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8831A94">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489F78DB">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28EC4247">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0AB753AC">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3611919A">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5B0B898D">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64A8C06F">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38EB56D7">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376F3AE4">
            <w:pPr>
              <w:pStyle w:val="34"/>
              <w:keepNext/>
              <w:spacing w:line="440" w:lineRule="exact"/>
              <w:ind w:left="63" w:right="63"/>
              <w:rPr>
                <w:rFonts w:hint="eastAsia" w:ascii="宋体" w:hAnsi="宋体" w:cs="宋体"/>
                <w:color w:val="auto"/>
                <w:sz w:val="24"/>
                <w:szCs w:val="24"/>
                <w:highlight w:val="none"/>
              </w:rPr>
            </w:pPr>
          </w:p>
        </w:tc>
      </w:tr>
      <w:tr w14:paraId="59BA3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E83C09B">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F80D259">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0C128A95">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3E5B3F7C">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4D9F4B3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73156EA5">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18429ED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ED44AFD">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414D9E2F">
            <w:pPr>
              <w:pStyle w:val="34"/>
              <w:keepNext/>
              <w:spacing w:line="440" w:lineRule="exact"/>
              <w:ind w:left="63" w:right="63"/>
              <w:rPr>
                <w:rFonts w:hint="eastAsia" w:ascii="宋体" w:hAnsi="宋体" w:cs="宋体"/>
                <w:color w:val="auto"/>
                <w:sz w:val="24"/>
                <w:szCs w:val="24"/>
                <w:highlight w:val="none"/>
              </w:rPr>
            </w:pPr>
          </w:p>
        </w:tc>
      </w:tr>
      <w:tr w14:paraId="74BAB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7A2A9AA">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1653D3E0">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28F3E82E">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301F0235">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30A46866">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2E45CCEC">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46D35898">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34FA9769">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0C8F68F8">
            <w:pPr>
              <w:pStyle w:val="34"/>
              <w:keepNext/>
              <w:spacing w:line="440" w:lineRule="exact"/>
              <w:ind w:left="63" w:right="63"/>
              <w:rPr>
                <w:rFonts w:hint="eastAsia" w:ascii="宋体" w:hAnsi="宋体" w:cs="宋体"/>
                <w:color w:val="auto"/>
                <w:sz w:val="24"/>
                <w:szCs w:val="24"/>
                <w:highlight w:val="none"/>
              </w:rPr>
            </w:pPr>
          </w:p>
        </w:tc>
      </w:tr>
      <w:tr w14:paraId="55DF2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9740C6F">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340DCAFA">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1030ABB2">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36377B18">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097A20BD">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2D469E0C">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0929EC5C">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285D292A">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1900FC63">
            <w:pPr>
              <w:pStyle w:val="34"/>
              <w:keepNext/>
              <w:spacing w:line="440" w:lineRule="exact"/>
              <w:ind w:left="63" w:right="63"/>
              <w:rPr>
                <w:rFonts w:hint="eastAsia" w:ascii="宋体" w:hAnsi="宋体" w:cs="宋体"/>
                <w:color w:val="auto"/>
                <w:sz w:val="24"/>
                <w:szCs w:val="24"/>
                <w:highlight w:val="none"/>
              </w:rPr>
            </w:pPr>
          </w:p>
        </w:tc>
      </w:tr>
      <w:tr w14:paraId="03CE5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D6B3D82">
            <w:pPr>
              <w:rPr>
                <w:rFonts w:hint="eastAsia" w:ascii="宋体" w:hAnsi="宋体" w:eastAsia="宋体" w:cs="宋体"/>
                <w:color w:val="auto"/>
                <w:kern w:val="2"/>
                <w:sz w:val="24"/>
                <w:highlight w:val="none"/>
              </w:rPr>
            </w:pPr>
          </w:p>
        </w:tc>
        <w:tc>
          <w:tcPr>
            <w:tcW w:w="1418" w:type="dxa"/>
          </w:tcPr>
          <w:p w14:paraId="4623A0FB">
            <w:pPr>
              <w:rPr>
                <w:rFonts w:hint="eastAsia" w:ascii="宋体" w:hAnsi="宋体" w:eastAsia="宋体" w:cs="宋体"/>
                <w:color w:val="auto"/>
                <w:kern w:val="2"/>
                <w:sz w:val="24"/>
                <w:highlight w:val="none"/>
              </w:rPr>
            </w:pPr>
          </w:p>
        </w:tc>
        <w:tc>
          <w:tcPr>
            <w:tcW w:w="850" w:type="dxa"/>
          </w:tcPr>
          <w:p w14:paraId="5FE3A7A8">
            <w:pPr>
              <w:rPr>
                <w:rFonts w:hint="eastAsia" w:ascii="宋体" w:hAnsi="宋体" w:eastAsia="宋体" w:cs="宋体"/>
                <w:color w:val="auto"/>
                <w:kern w:val="2"/>
                <w:sz w:val="24"/>
                <w:highlight w:val="none"/>
              </w:rPr>
            </w:pPr>
          </w:p>
        </w:tc>
        <w:tc>
          <w:tcPr>
            <w:tcW w:w="1058" w:type="dxa"/>
          </w:tcPr>
          <w:p w14:paraId="3BA3B624">
            <w:pPr>
              <w:rPr>
                <w:rFonts w:hint="eastAsia" w:ascii="宋体" w:hAnsi="宋体" w:eastAsia="宋体" w:cs="宋体"/>
                <w:color w:val="auto"/>
                <w:kern w:val="2"/>
                <w:sz w:val="24"/>
                <w:highlight w:val="none"/>
              </w:rPr>
            </w:pPr>
          </w:p>
        </w:tc>
        <w:tc>
          <w:tcPr>
            <w:tcW w:w="880" w:type="dxa"/>
          </w:tcPr>
          <w:p w14:paraId="128F6251">
            <w:pPr>
              <w:rPr>
                <w:rFonts w:hint="eastAsia" w:ascii="宋体" w:hAnsi="宋体" w:eastAsia="宋体" w:cs="宋体"/>
                <w:color w:val="auto"/>
                <w:kern w:val="2"/>
                <w:sz w:val="24"/>
                <w:highlight w:val="none"/>
              </w:rPr>
            </w:pPr>
          </w:p>
        </w:tc>
        <w:tc>
          <w:tcPr>
            <w:tcW w:w="1020" w:type="dxa"/>
          </w:tcPr>
          <w:p w14:paraId="21BB6BBC">
            <w:pPr>
              <w:rPr>
                <w:rFonts w:hint="eastAsia" w:ascii="宋体" w:hAnsi="宋体" w:eastAsia="宋体" w:cs="宋体"/>
                <w:color w:val="auto"/>
                <w:kern w:val="2"/>
                <w:sz w:val="24"/>
                <w:highlight w:val="none"/>
              </w:rPr>
            </w:pPr>
          </w:p>
        </w:tc>
        <w:tc>
          <w:tcPr>
            <w:tcW w:w="1480" w:type="dxa"/>
          </w:tcPr>
          <w:p w14:paraId="2E20C884">
            <w:pPr>
              <w:rPr>
                <w:rFonts w:hint="eastAsia" w:ascii="宋体" w:hAnsi="宋体" w:eastAsia="宋体" w:cs="宋体"/>
                <w:color w:val="auto"/>
                <w:kern w:val="2"/>
                <w:sz w:val="24"/>
                <w:highlight w:val="none"/>
              </w:rPr>
            </w:pPr>
          </w:p>
        </w:tc>
        <w:tc>
          <w:tcPr>
            <w:tcW w:w="1020" w:type="dxa"/>
          </w:tcPr>
          <w:p w14:paraId="3AB932CA">
            <w:pPr>
              <w:rPr>
                <w:rFonts w:hint="eastAsia" w:ascii="宋体" w:hAnsi="宋体" w:eastAsia="宋体" w:cs="宋体"/>
                <w:color w:val="auto"/>
                <w:kern w:val="2"/>
                <w:sz w:val="24"/>
                <w:highlight w:val="none"/>
              </w:rPr>
            </w:pPr>
          </w:p>
        </w:tc>
        <w:tc>
          <w:tcPr>
            <w:tcW w:w="921" w:type="dxa"/>
          </w:tcPr>
          <w:p w14:paraId="6DDE4A1E">
            <w:pPr>
              <w:rPr>
                <w:rFonts w:hint="eastAsia" w:ascii="宋体" w:hAnsi="宋体" w:eastAsia="宋体" w:cs="宋体"/>
                <w:color w:val="auto"/>
                <w:kern w:val="2"/>
                <w:sz w:val="24"/>
                <w:highlight w:val="none"/>
              </w:rPr>
            </w:pPr>
          </w:p>
        </w:tc>
      </w:tr>
      <w:tr w14:paraId="43D45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F3F1678">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24DB3E3">
            <w:pPr>
              <w:pStyle w:val="34"/>
              <w:keepNext/>
              <w:spacing w:line="440" w:lineRule="exact"/>
              <w:ind w:left="63" w:right="63"/>
              <w:rPr>
                <w:rFonts w:hint="eastAsia" w:ascii="宋体" w:hAnsi="宋体" w:cs="宋体"/>
                <w:color w:val="auto"/>
                <w:sz w:val="24"/>
                <w:szCs w:val="24"/>
                <w:highlight w:val="none"/>
              </w:rPr>
            </w:pPr>
          </w:p>
        </w:tc>
        <w:tc>
          <w:tcPr>
            <w:tcW w:w="850" w:type="dxa"/>
            <w:vAlign w:val="center"/>
          </w:tcPr>
          <w:p w14:paraId="09FAF172">
            <w:pPr>
              <w:pStyle w:val="34"/>
              <w:keepNext/>
              <w:spacing w:line="440" w:lineRule="exact"/>
              <w:ind w:left="63" w:right="63"/>
              <w:rPr>
                <w:rFonts w:hint="eastAsia" w:ascii="宋体" w:hAnsi="宋体" w:cs="宋体"/>
                <w:color w:val="auto"/>
                <w:sz w:val="24"/>
                <w:szCs w:val="24"/>
                <w:highlight w:val="none"/>
              </w:rPr>
            </w:pPr>
          </w:p>
        </w:tc>
        <w:tc>
          <w:tcPr>
            <w:tcW w:w="1058" w:type="dxa"/>
            <w:vAlign w:val="center"/>
          </w:tcPr>
          <w:p w14:paraId="7B0D5E0E">
            <w:pPr>
              <w:pStyle w:val="34"/>
              <w:keepNext/>
              <w:spacing w:line="440" w:lineRule="exact"/>
              <w:ind w:left="63" w:right="63"/>
              <w:rPr>
                <w:rFonts w:hint="eastAsia" w:ascii="宋体" w:hAnsi="宋体" w:cs="宋体"/>
                <w:color w:val="auto"/>
                <w:sz w:val="24"/>
                <w:szCs w:val="24"/>
                <w:highlight w:val="none"/>
              </w:rPr>
            </w:pPr>
          </w:p>
        </w:tc>
        <w:tc>
          <w:tcPr>
            <w:tcW w:w="880" w:type="dxa"/>
            <w:vAlign w:val="center"/>
          </w:tcPr>
          <w:p w14:paraId="4ADE2F6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8CD670C">
            <w:pPr>
              <w:pStyle w:val="34"/>
              <w:keepNext/>
              <w:spacing w:line="440" w:lineRule="exact"/>
              <w:ind w:left="63" w:right="63"/>
              <w:rPr>
                <w:rFonts w:hint="eastAsia" w:ascii="宋体" w:hAnsi="宋体" w:cs="宋体"/>
                <w:color w:val="auto"/>
                <w:sz w:val="24"/>
                <w:szCs w:val="24"/>
                <w:highlight w:val="none"/>
              </w:rPr>
            </w:pPr>
          </w:p>
        </w:tc>
        <w:tc>
          <w:tcPr>
            <w:tcW w:w="1480" w:type="dxa"/>
            <w:vAlign w:val="center"/>
          </w:tcPr>
          <w:p w14:paraId="0AF70F07">
            <w:pPr>
              <w:pStyle w:val="34"/>
              <w:keepNext/>
              <w:spacing w:line="440" w:lineRule="exact"/>
              <w:ind w:left="63" w:right="63"/>
              <w:rPr>
                <w:rFonts w:hint="eastAsia" w:ascii="宋体" w:hAnsi="宋体" w:cs="宋体"/>
                <w:color w:val="auto"/>
                <w:sz w:val="24"/>
                <w:szCs w:val="24"/>
                <w:highlight w:val="none"/>
              </w:rPr>
            </w:pPr>
          </w:p>
        </w:tc>
        <w:tc>
          <w:tcPr>
            <w:tcW w:w="1020" w:type="dxa"/>
            <w:vAlign w:val="center"/>
          </w:tcPr>
          <w:p w14:paraId="430846F3">
            <w:pPr>
              <w:pStyle w:val="34"/>
              <w:keepNext/>
              <w:spacing w:line="440" w:lineRule="exact"/>
              <w:ind w:left="63" w:right="63"/>
              <w:rPr>
                <w:rFonts w:hint="eastAsia" w:ascii="宋体" w:hAnsi="宋体" w:cs="宋体"/>
                <w:color w:val="auto"/>
                <w:sz w:val="24"/>
                <w:szCs w:val="24"/>
                <w:highlight w:val="none"/>
              </w:rPr>
            </w:pPr>
          </w:p>
        </w:tc>
        <w:tc>
          <w:tcPr>
            <w:tcW w:w="921" w:type="dxa"/>
            <w:vAlign w:val="center"/>
          </w:tcPr>
          <w:p w14:paraId="2F96B617">
            <w:pPr>
              <w:pStyle w:val="34"/>
              <w:keepNext/>
              <w:spacing w:line="440" w:lineRule="exact"/>
              <w:ind w:left="63" w:right="63"/>
              <w:rPr>
                <w:rFonts w:hint="eastAsia" w:ascii="宋体" w:hAnsi="宋体" w:cs="宋体"/>
                <w:color w:val="auto"/>
                <w:sz w:val="24"/>
                <w:szCs w:val="24"/>
                <w:highlight w:val="none"/>
              </w:rPr>
            </w:pPr>
          </w:p>
        </w:tc>
      </w:tr>
      <w:tr w14:paraId="2B140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39C78A2">
            <w:pPr>
              <w:rPr>
                <w:rFonts w:hint="eastAsia" w:ascii="宋体" w:hAnsi="宋体" w:eastAsia="宋体" w:cs="宋体"/>
                <w:color w:val="auto"/>
                <w:kern w:val="2"/>
                <w:sz w:val="24"/>
                <w:highlight w:val="none"/>
              </w:rPr>
            </w:pPr>
          </w:p>
        </w:tc>
        <w:tc>
          <w:tcPr>
            <w:tcW w:w="1418" w:type="dxa"/>
          </w:tcPr>
          <w:p w14:paraId="64CCC0EE">
            <w:pPr>
              <w:rPr>
                <w:rFonts w:hint="eastAsia" w:ascii="宋体" w:hAnsi="宋体" w:eastAsia="宋体" w:cs="宋体"/>
                <w:color w:val="auto"/>
                <w:kern w:val="2"/>
                <w:sz w:val="24"/>
                <w:highlight w:val="none"/>
              </w:rPr>
            </w:pPr>
          </w:p>
        </w:tc>
        <w:tc>
          <w:tcPr>
            <w:tcW w:w="850" w:type="dxa"/>
          </w:tcPr>
          <w:p w14:paraId="1E1261C0">
            <w:pPr>
              <w:rPr>
                <w:rFonts w:hint="eastAsia" w:ascii="宋体" w:hAnsi="宋体" w:eastAsia="宋体" w:cs="宋体"/>
                <w:color w:val="auto"/>
                <w:kern w:val="2"/>
                <w:sz w:val="24"/>
                <w:highlight w:val="none"/>
              </w:rPr>
            </w:pPr>
          </w:p>
        </w:tc>
        <w:tc>
          <w:tcPr>
            <w:tcW w:w="1058" w:type="dxa"/>
          </w:tcPr>
          <w:p w14:paraId="423CBCD2">
            <w:pPr>
              <w:rPr>
                <w:rFonts w:hint="eastAsia" w:ascii="宋体" w:hAnsi="宋体" w:eastAsia="宋体" w:cs="宋体"/>
                <w:color w:val="auto"/>
                <w:kern w:val="2"/>
                <w:sz w:val="24"/>
                <w:highlight w:val="none"/>
              </w:rPr>
            </w:pPr>
          </w:p>
        </w:tc>
        <w:tc>
          <w:tcPr>
            <w:tcW w:w="880" w:type="dxa"/>
          </w:tcPr>
          <w:p w14:paraId="2F24955D">
            <w:pPr>
              <w:rPr>
                <w:rFonts w:hint="eastAsia" w:ascii="宋体" w:hAnsi="宋体" w:eastAsia="宋体" w:cs="宋体"/>
                <w:color w:val="auto"/>
                <w:kern w:val="2"/>
                <w:sz w:val="24"/>
                <w:highlight w:val="none"/>
              </w:rPr>
            </w:pPr>
          </w:p>
        </w:tc>
        <w:tc>
          <w:tcPr>
            <w:tcW w:w="1020" w:type="dxa"/>
          </w:tcPr>
          <w:p w14:paraId="2982D8CB">
            <w:pPr>
              <w:rPr>
                <w:rFonts w:hint="eastAsia" w:ascii="宋体" w:hAnsi="宋体" w:eastAsia="宋体" w:cs="宋体"/>
                <w:color w:val="auto"/>
                <w:kern w:val="2"/>
                <w:sz w:val="24"/>
                <w:highlight w:val="none"/>
              </w:rPr>
            </w:pPr>
          </w:p>
        </w:tc>
        <w:tc>
          <w:tcPr>
            <w:tcW w:w="1480" w:type="dxa"/>
          </w:tcPr>
          <w:p w14:paraId="1BC3AC94">
            <w:pPr>
              <w:rPr>
                <w:rFonts w:hint="eastAsia" w:ascii="宋体" w:hAnsi="宋体" w:eastAsia="宋体" w:cs="宋体"/>
                <w:color w:val="auto"/>
                <w:kern w:val="2"/>
                <w:sz w:val="24"/>
                <w:highlight w:val="none"/>
              </w:rPr>
            </w:pPr>
          </w:p>
        </w:tc>
        <w:tc>
          <w:tcPr>
            <w:tcW w:w="1020" w:type="dxa"/>
          </w:tcPr>
          <w:p w14:paraId="3CC07286">
            <w:pPr>
              <w:rPr>
                <w:rFonts w:hint="eastAsia" w:ascii="宋体" w:hAnsi="宋体" w:eastAsia="宋体" w:cs="宋体"/>
                <w:color w:val="auto"/>
                <w:kern w:val="2"/>
                <w:sz w:val="24"/>
                <w:highlight w:val="none"/>
              </w:rPr>
            </w:pPr>
          </w:p>
        </w:tc>
        <w:tc>
          <w:tcPr>
            <w:tcW w:w="921" w:type="dxa"/>
          </w:tcPr>
          <w:p w14:paraId="3DF64078">
            <w:pPr>
              <w:rPr>
                <w:rFonts w:hint="eastAsia" w:ascii="宋体" w:hAnsi="宋体" w:eastAsia="宋体" w:cs="宋体"/>
                <w:color w:val="auto"/>
                <w:kern w:val="2"/>
                <w:sz w:val="24"/>
                <w:highlight w:val="none"/>
              </w:rPr>
            </w:pPr>
          </w:p>
        </w:tc>
      </w:tr>
      <w:tr w14:paraId="6FC5F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98A7766">
            <w:pPr>
              <w:rPr>
                <w:rFonts w:hint="eastAsia" w:ascii="宋体" w:hAnsi="宋体" w:eastAsia="宋体" w:cs="宋体"/>
                <w:color w:val="auto"/>
                <w:kern w:val="2"/>
                <w:sz w:val="24"/>
                <w:highlight w:val="none"/>
              </w:rPr>
            </w:pPr>
          </w:p>
        </w:tc>
        <w:tc>
          <w:tcPr>
            <w:tcW w:w="1418" w:type="dxa"/>
          </w:tcPr>
          <w:p w14:paraId="10134D1D">
            <w:pPr>
              <w:rPr>
                <w:rFonts w:hint="eastAsia" w:ascii="宋体" w:hAnsi="宋体" w:eastAsia="宋体" w:cs="宋体"/>
                <w:color w:val="auto"/>
                <w:kern w:val="2"/>
                <w:sz w:val="24"/>
                <w:highlight w:val="none"/>
              </w:rPr>
            </w:pPr>
          </w:p>
        </w:tc>
        <w:tc>
          <w:tcPr>
            <w:tcW w:w="850" w:type="dxa"/>
          </w:tcPr>
          <w:p w14:paraId="4F8208D5">
            <w:pPr>
              <w:rPr>
                <w:rFonts w:hint="eastAsia" w:ascii="宋体" w:hAnsi="宋体" w:eastAsia="宋体" w:cs="宋体"/>
                <w:color w:val="auto"/>
                <w:kern w:val="2"/>
                <w:sz w:val="24"/>
                <w:highlight w:val="none"/>
              </w:rPr>
            </w:pPr>
          </w:p>
        </w:tc>
        <w:tc>
          <w:tcPr>
            <w:tcW w:w="1058" w:type="dxa"/>
          </w:tcPr>
          <w:p w14:paraId="4A99AF2A">
            <w:pPr>
              <w:rPr>
                <w:rFonts w:hint="eastAsia" w:ascii="宋体" w:hAnsi="宋体" w:eastAsia="宋体" w:cs="宋体"/>
                <w:color w:val="auto"/>
                <w:kern w:val="2"/>
                <w:sz w:val="24"/>
                <w:highlight w:val="none"/>
              </w:rPr>
            </w:pPr>
          </w:p>
        </w:tc>
        <w:tc>
          <w:tcPr>
            <w:tcW w:w="880" w:type="dxa"/>
          </w:tcPr>
          <w:p w14:paraId="04E1CBA8">
            <w:pPr>
              <w:rPr>
                <w:rFonts w:hint="eastAsia" w:ascii="宋体" w:hAnsi="宋体" w:eastAsia="宋体" w:cs="宋体"/>
                <w:color w:val="auto"/>
                <w:kern w:val="2"/>
                <w:sz w:val="24"/>
                <w:highlight w:val="none"/>
              </w:rPr>
            </w:pPr>
          </w:p>
        </w:tc>
        <w:tc>
          <w:tcPr>
            <w:tcW w:w="1020" w:type="dxa"/>
          </w:tcPr>
          <w:p w14:paraId="654EA6FF">
            <w:pPr>
              <w:rPr>
                <w:rFonts w:hint="eastAsia" w:ascii="宋体" w:hAnsi="宋体" w:eastAsia="宋体" w:cs="宋体"/>
                <w:color w:val="auto"/>
                <w:kern w:val="2"/>
                <w:sz w:val="24"/>
                <w:highlight w:val="none"/>
              </w:rPr>
            </w:pPr>
          </w:p>
        </w:tc>
        <w:tc>
          <w:tcPr>
            <w:tcW w:w="1480" w:type="dxa"/>
          </w:tcPr>
          <w:p w14:paraId="156982F8">
            <w:pPr>
              <w:rPr>
                <w:rFonts w:hint="eastAsia" w:ascii="宋体" w:hAnsi="宋体" w:eastAsia="宋体" w:cs="宋体"/>
                <w:color w:val="auto"/>
                <w:kern w:val="2"/>
                <w:sz w:val="24"/>
                <w:highlight w:val="none"/>
              </w:rPr>
            </w:pPr>
          </w:p>
        </w:tc>
        <w:tc>
          <w:tcPr>
            <w:tcW w:w="1020" w:type="dxa"/>
          </w:tcPr>
          <w:p w14:paraId="0BD22104">
            <w:pPr>
              <w:rPr>
                <w:rFonts w:hint="eastAsia" w:ascii="宋体" w:hAnsi="宋体" w:eastAsia="宋体" w:cs="宋体"/>
                <w:color w:val="auto"/>
                <w:kern w:val="2"/>
                <w:sz w:val="24"/>
                <w:highlight w:val="none"/>
              </w:rPr>
            </w:pPr>
          </w:p>
        </w:tc>
        <w:tc>
          <w:tcPr>
            <w:tcW w:w="921" w:type="dxa"/>
          </w:tcPr>
          <w:p w14:paraId="17493D6B">
            <w:pPr>
              <w:rPr>
                <w:rFonts w:hint="eastAsia" w:ascii="宋体" w:hAnsi="宋体" w:eastAsia="宋体" w:cs="宋体"/>
                <w:color w:val="auto"/>
                <w:kern w:val="2"/>
                <w:sz w:val="24"/>
                <w:highlight w:val="none"/>
              </w:rPr>
            </w:pPr>
          </w:p>
        </w:tc>
      </w:tr>
      <w:tr w14:paraId="06C5C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973B01">
            <w:pPr>
              <w:rPr>
                <w:rFonts w:hint="eastAsia" w:ascii="宋体" w:hAnsi="宋体" w:eastAsia="宋体" w:cs="宋体"/>
                <w:color w:val="auto"/>
                <w:kern w:val="2"/>
                <w:sz w:val="24"/>
                <w:highlight w:val="none"/>
              </w:rPr>
            </w:pPr>
          </w:p>
        </w:tc>
        <w:tc>
          <w:tcPr>
            <w:tcW w:w="1418" w:type="dxa"/>
          </w:tcPr>
          <w:p w14:paraId="7CBF4B88">
            <w:pPr>
              <w:rPr>
                <w:rFonts w:hint="eastAsia" w:ascii="宋体" w:hAnsi="宋体" w:eastAsia="宋体" w:cs="宋体"/>
                <w:color w:val="auto"/>
                <w:kern w:val="2"/>
                <w:sz w:val="24"/>
                <w:highlight w:val="none"/>
              </w:rPr>
            </w:pPr>
          </w:p>
        </w:tc>
        <w:tc>
          <w:tcPr>
            <w:tcW w:w="850" w:type="dxa"/>
          </w:tcPr>
          <w:p w14:paraId="51C1AD1F">
            <w:pPr>
              <w:rPr>
                <w:rFonts w:hint="eastAsia" w:ascii="宋体" w:hAnsi="宋体" w:eastAsia="宋体" w:cs="宋体"/>
                <w:color w:val="auto"/>
                <w:kern w:val="2"/>
                <w:sz w:val="24"/>
                <w:highlight w:val="none"/>
              </w:rPr>
            </w:pPr>
          </w:p>
        </w:tc>
        <w:tc>
          <w:tcPr>
            <w:tcW w:w="1058" w:type="dxa"/>
          </w:tcPr>
          <w:p w14:paraId="0E1B5CE6">
            <w:pPr>
              <w:rPr>
                <w:rFonts w:hint="eastAsia" w:ascii="宋体" w:hAnsi="宋体" w:eastAsia="宋体" w:cs="宋体"/>
                <w:color w:val="auto"/>
                <w:kern w:val="2"/>
                <w:sz w:val="24"/>
                <w:highlight w:val="none"/>
              </w:rPr>
            </w:pPr>
          </w:p>
        </w:tc>
        <w:tc>
          <w:tcPr>
            <w:tcW w:w="880" w:type="dxa"/>
          </w:tcPr>
          <w:p w14:paraId="4AC7A6D7">
            <w:pPr>
              <w:rPr>
                <w:rFonts w:hint="eastAsia" w:ascii="宋体" w:hAnsi="宋体" w:eastAsia="宋体" w:cs="宋体"/>
                <w:color w:val="auto"/>
                <w:kern w:val="2"/>
                <w:sz w:val="24"/>
                <w:highlight w:val="none"/>
              </w:rPr>
            </w:pPr>
          </w:p>
        </w:tc>
        <w:tc>
          <w:tcPr>
            <w:tcW w:w="1020" w:type="dxa"/>
          </w:tcPr>
          <w:p w14:paraId="6858644A">
            <w:pPr>
              <w:rPr>
                <w:rFonts w:hint="eastAsia" w:ascii="宋体" w:hAnsi="宋体" w:eastAsia="宋体" w:cs="宋体"/>
                <w:color w:val="auto"/>
                <w:kern w:val="2"/>
                <w:sz w:val="24"/>
                <w:highlight w:val="none"/>
              </w:rPr>
            </w:pPr>
          </w:p>
        </w:tc>
        <w:tc>
          <w:tcPr>
            <w:tcW w:w="1480" w:type="dxa"/>
          </w:tcPr>
          <w:p w14:paraId="220C5116">
            <w:pPr>
              <w:rPr>
                <w:rFonts w:hint="eastAsia" w:ascii="宋体" w:hAnsi="宋体" w:eastAsia="宋体" w:cs="宋体"/>
                <w:color w:val="auto"/>
                <w:kern w:val="2"/>
                <w:sz w:val="24"/>
                <w:highlight w:val="none"/>
              </w:rPr>
            </w:pPr>
          </w:p>
        </w:tc>
        <w:tc>
          <w:tcPr>
            <w:tcW w:w="1020" w:type="dxa"/>
          </w:tcPr>
          <w:p w14:paraId="4D8F898A">
            <w:pPr>
              <w:rPr>
                <w:rFonts w:hint="eastAsia" w:ascii="宋体" w:hAnsi="宋体" w:eastAsia="宋体" w:cs="宋体"/>
                <w:color w:val="auto"/>
                <w:kern w:val="2"/>
                <w:sz w:val="24"/>
                <w:highlight w:val="none"/>
              </w:rPr>
            </w:pPr>
          </w:p>
        </w:tc>
        <w:tc>
          <w:tcPr>
            <w:tcW w:w="921" w:type="dxa"/>
          </w:tcPr>
          <w:p w14:paraId="169C5717">
            <w:pPr>
              <w:rPr>
                <w:rFonts w:hint="eastAsia" w:ascii="宋体" w:hAnsi="宋体" w:eastAsia="宋体" w:cs="宋体"/>
                <w:color w:val="auto"/>
                <w:kern w:val="2"/>
                <w:sz w:val="24"/>
                <w:highlight w:val="none"/>
              </w:rPr>
            </w:pPr>
          </w:p>
        </w:tc>
      </w:tr>
      <w:tr w14:paraId="28CEB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D49A89D">
            <w:pPr>
              <w:rPr>
                <w:rFonts w:hint="eastAsia" w:ascii="宋体" w:hAnsi="宋体" w:eastAsia="宋体" w:cs="宋体"/>
                <w:color w:val="auto"/>
                <w:kern w:val="2"/>
                <w:sz w:val="24"/>
                <w:highlight w:val="none"/>
              </w:rPr>
            </w:pPr>
          </w:p>
        </w:tc>
        <w:tc>
          <w:tcPr>
            <w:tcW w:w="1418" w:type="dxa"/>
          </w:tcPr>
          <w:p w14:paraId="3DD68FD6">
            <w:pPr>
              <w:rPr>
                <w:rFonts w:hint="eastAsia" w:ascii="宋体" w:hAnsi="宋体" w:eastAsia="宋体" w:cs="宋体"/>
                <w:color w:val="auto"/>
                <w:kern w:val="2"/>
                <w:sz w:val="24"/>
                <w:highlight w:val="none"/>
              </w:rPr>
            </w:pPr>
          </w:p>
        </w:tc>
        <w:tc>
          <w:tcPr>
            <w:tcW w:w="850" w:type="dxa"/>
          </w:tcPr>
          <w:p w14:paraId="6B58E7DF">
            <w:pPr>
              <w:rPr>
                <w:rFonts w:hint="eastAsia" w:ascii="宋体" w:hAnsi="宋体" w:eastAsia="宋体" w:cs="宋体"/>
                <w:color w:val="auto"/>
                <w:kern w:val="2"/>
                <w:sz w:val="24"/>
                <w:highlight w:val="none"/>
              </w:rPr>
            </w:pPr>
          </w:p>
        </w:tc>
        <w:tc>
          <w:tcPr>
            <w:tcW w:w="1058" w:type="dxa"/>
          </w:tcPr>
          <w:p w14:paraId="4CC43BC4">
            <w:pPr>
              <w:rPr>
                <w:rFonts w:hint="eastAsia" w:ascii="宋体" w:hAnsi="宋体" w:eastAsia="宋体" w:cs="宋体"/>
                <w:color w:val="auto"/>
                <w:kern w:val="2"/>
                <w:sz w:val="24"/>
                <w:highlight w:val="none"/>
              </w:rPr>
            </w:pPr>
          </w:p>
        </w:tc>
        <w:tc>
          <w:tcPr>
            <w:tcW w:w="880" w:type="dxa"/>
          </w:tcPr>
          <w:p w14:paraId="1F359B75">
            <w:pPr>
              <w:rPr>
                <w:rFonts w:hint="eastAsia" w:ascii="宋体" w:hAnsi="宋体" w:eastAsia="宋体" w:cs="宋体"/>
                <w:color w:val="auto"/>
                <w:kern w:val="2"/>
                <w:sz w:val="24"/>
                <w:highlight w:val="none"/>
              </w:rPr>
            </w:pPr>
          </w:p>
        </w:tc>
        <w:tc>
          <w:tcPr>
            <w:tcW w:w="1020" w:type="dxa"/>
          </w:tcPr>
          <w:p w14:paraId="66999565">
            <w:pPr>
              <w:rPr>
                <w:rFonts w:hint="eastAsia" w:ascii="宋体" w:hAnsi="宋体" w:eastAsia="宋体" w:cs="宋体"/>
                <w:color w:val="auto"/>
                <w:kern w:val="2"/>
                <w:sz w:val="24"/>
                <w:highlight w:val="none"/>
              </w:rPr>
            </w:pPr>
          </w:p>
        </w:tc>
        <w:tc>
          <w:tcPr>
            <w:tcW w:w="1480" w:type="dxa"/>
          </w:tcPr>
          <w:p w14:paraId="2D051EE1">
            <w:pPr>
              <w:rPr>
                <w:rFonts w:hint="eastAsia" w:ascii="宋体" w:hAnsi="宋体" w:eastAsia="宋体" w:cs="宋体"/>
                <w:color w:val="auto"/>
                <w:kern w:val="2"/>
                <w:sz w:val="24"/>
                <w:highlight w:val="none"/>
              </w:rPr>
            </w:pPr>
          </w:p>
        </w:tc>
        <w:tc>
          <w:tcPr>
            <w:tcW w:w="1020" w:type="dxa"/>
          </w:tcPr>
          <w:p w14:paraId="387E79C0">
            <w:pPr>
              <w:rPr>
                <w:rFonts w:hint="eastAsia" w:ascii="宋体" w:hAnsi="宋体" w:eastAsia="宋体" w:cs="宋体"/>
                <w:color w:val="auto"/>
                <w:kern w:val="2"/>
                <w:sz w:val="24"/>
                <w:highlight w:val="none"/>
              </w:rPr>
            </w:pPr>
          </w:p>
        </w:tc>
        <w:tc>
          <w:tcPr>
            <w:tcW w:w="921" w:type="dxa"/>
          </w:tcPr>
          <w:p w14:paraId="671196AF">
            <w:pPr>
              <w:rPr>
                <w:rFonts w:hint="eastAsia" w:ascii="宋体" w:hAnsi="宋体" w:eastAsia="宋体" w:cs="宋体"/>
                <w:color w:val="auto"/>
                <w:kern w:val="2"/>
                <w:sz w:val="24"/>
                <w:highlight w:val="none"/>
              </w:rPr>
            </w:pPr>
          </w:p>
        </w:tc>
      </w:tr>
      <w:tr w14:paraId="03C46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CB24760">
            <w:pPr>
              <w:rPr>
                <w:rFonts w:hint="eastAsia" w:ascii="宋体" w:hAnsi="宋体" w:eastAsia="宋体" w:cs="宋体"/>
                <w:color w:val="auto"/>
                <w:kern w:val="2"/>
                <w:sz w:val="24"/>
                <w:highlight w:val="none"/>
              </w:rPr>
            </w:pPr>
          </w:p>
        </w:tc>
        <w:tc>
          <w:tcPr>
            <w:tcW w:w="1418" w:type="dxa"/>
          </w:tcPr>
          <w:p w14:paraId="7E68E039">
            <w:pPr>
              <w:rPr>
                <w:rFonts w:hint="eastAsia" w:ascii="宋体" w:hAnsi="宋体" w:eastAsia="宋体" w:cs="宋体"/>
                <w:color w:val="auto"/>
                <w:kern w:val="2"/>
                <w:sz w:val="24"/>
                <w:highlight w:val="none"/>
              </w:rPr>
            </w:pPr>
          </w:p>
        </w:tc>
        <w:tc>
          <w:tcPr>
            <w:tcW w:w="850" w:type="dxa"/>
          </w:tcPr>
          <w:p w14:paraId="186EED4F">
            <w:pPr>
              <w:rPr>
                <w:rFonts w:hint="eastAsia" w:ascii="宋体" w:hAnsi="宋体" w:eastAsia="宋体" w:cs="宋体"/>
                <w:color w:val="auto"/>
                <w:kern w:val="2"/>
                <w:sz w:val="24"/>
                <w:highlight w:val="none"/>
              </w:rPr>
            </w:pPr>
          </w:p>
        </w:tc>
        <w:tc>
          <w:tcPr>
            <w:tcW w:w="1058" w:type="dxa"/>
          </w:tcPr>
          <w:p w14:paraId="7292BA40">
            <w:pPr>
              <w:rPr>
                <w:rFonts w:hint="eastAsia" w:ascii="宋体" w:hAnsi="宋体" w:eastAsia="宋体" w:cs="宋体"/>
                <w:color w:val="auto"/>
                <w:kern w:val="2"/>
                <w:sz w:val="24"/>
                <w:highlight w:val="none"/>
              </w:rPr>
            </w:pPr>
          </w:p>
        </w:tc>
        <w:tc>
          <w:tcPr>
            <w:tcW w:w="880" w:type="dxa"/>
          </w:tcPr>
          <w:p w14:paraId="02001F31">
            <w:pPr>
              <w:rPr>
                <w:rFonts w:hint="eastAsia" w:ascii="宋体" w:hAnsi="宋体" w:eastAsia="宋体" w:cs="宋体"/>
                <w:color w:val="auto"/>
                <w:kern w:val="2"/>
                <w:sz w:val="24"/>
                <w:highlight w:val="none"/>
              </w:rPr>
            </w:pPr>
          </w:p>
        </w:tc>
        <w:tc>
          <w:tcPr>
            <w:tcW w:w="1020" w:type="dxa"/>
          </w:tcPr>
          <w:p w14:paraId="59B94AAE">
            <w:pPr>
              <w:rPr>
                <w:rFonts w:hint="eastAsia" w:ascii="宋体" w:hAnsi="宋体" w:eastAsia="宋体" w:cs="宋体"/>
                <w:color w:val="auto"/>
                <w:kern w:val="2"/>
                <w:sz w:val="24"/>
                <w:highlight w:val="none"/>
              </w:rPr>
            </w:pPr>
          </w:p>
        </w:tc>
        <w:tc>
          <w:tcPr>
            <w:tcW w:w="1480" w:type="dxa"/>
          </w:tcPr>
          <w:p w14:paraId="3472D1AD">
            <w:pPr>
              <w:rPr>
                <w:rFonts w:hint="eastAsia" w:ascii="宋体" w:hAnsi="宋体" w:eastAsia="宋体" w:cs="宋体"/>
                <w:color w:val="auto"/>
                <w:kern w:val="2"/>
                <w:sz w:val="24"/>
                <w:highlight w:val="none"/>
              </w:rPr>
            </w:pPr>
          </w:p>
        </w:tc>
        <w:tc>
          <w:tcPr>
            <w:tcW w:w="1020" w:type="dxa"/>
          </w:tcPr>
          <w:p w14:paraId="33E2A9DF">
            <w:pPr>
              <w:rPr>
                <w:rFonts w:hint="eastAsia" w:ascii="宋体" w:hAnsi="宋体" w:eastAsia="宋体" w:cs="宋体"/>
                <w:color w:val="auto"/>
                <w:kern w:val="2"/>
                <w:sz w:val="24"/>
                <w:highlight w:val="none"/>
              </w:rPr>
            </w:pPr>
          </w:p>
        </w:tc>
        <w:tc>
          <w:tcPr>
            <w:tcW w:w="921" w:type="dxa"/>
          </w:tcPr>
          <w:p w14:paraId="199BA98E">
            <w:pPr>
              <w:rPr>
                <w:rFonts w:hint="eastAsia" w:ascii="宋体" w:hAnsi="宋体" w:eastAsia="宋体" w:cs="宋体"/>
                <w:color w:val="auto"/>
                <w:kern w:val="2"/>
                <w:sz w:val="24"/>
                <w:highlight w:val="none"/>
              </w:rPr>
            </w:pPr>
          </w:p>
        </w:tc>
      </w:tr>
      <w:tr w14:paraId="081B6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FFF337A">
            <w:pPr>
              <w:rPr>
                <w:rFonts w:hint="eastAsia" w:ascii="宋体" w:hAnsi="宋体" w:eastAsia="宋体" w:cs="宋体"/>
                <w:color w:val="auto"/>
                <w:kern w:val="2"/>
                <w:sz w:val="24"/>
                <w:highlight w:val="none"/>
              </w:rPr>
            </w:pPr>
          </w:p>
        </w:tc>
        <w:tc>
          <w:tcPr>
            <w:tcW w:w="1418" w:type="dxa"/>
          </w:tcPr>
          <w:p w14:paraId="1C669C0D">
            <w:pPr>
              <w:rPr>
                <w:rFonts w:hint="eastAsia" w:ascii="宋体" w:hAnsi="宋体" w:eastAsia="宋体" w:cs="宋体"/>
                <w:color w:val="auto"/>
                <w:kern w:val="2"/>
                <w:sz w:val="24"/>
                <w:highlight w:val="none"/>
              </w:rPr>
            </w:pPr>
          </w:p>
        </w:tc>
        <w:tc>
          <w:tcPr>
            <w:tcW w:w="850" w:type="dxa"/>
          </w:tcPr>
          <w:p w14:paraId="277D5233">
            <w:pPr>
              <w:rPr>
                <w:rFonts w:hint="eastAsia" w:ascii="宋体" w:hAnsi="宋体" w:eastAsia="宋体" w:cs="宋体"/>
                <w:color w:val="auto"/>
                <w:kern w:val="2"/>
                <w:sz w:val="24"/>
                <w:highlight w:val="none"/>
              </w:rPr>
            </w:pPr>
          </w:p>
        </w:tc>
        <w:tc>
          <w:tcPr>
            <w:tcW w:w="1058" w:type="dxa"/>
          </w:tcPr>
          <w:p w14:paraId="0DC74034">
            <w:pPr>
              <w:rPr>
                <w:rFonts w:hint="eastAsia" w:ascii="宋体" w:hAnsi="宋体" w:eastAsia="宋体" w:cs="宋体"/>
                <w:color w:val="auto"/>
                <w:kern w:val="2"/>
                <w:sz w:val="24"/>
                <w:highlight w:val="none"/>
              </w:rPr>
            </w:pPr>
          </w:p>
        </w:tc>
        <w:tc>
          <w:tcPr>
            <w:tcW w:w="880" w:type="dxa"/>
          </w:tcPr>
          <w:p w14:paraId="2FF6BDEB">
            <w:pPr>
              <w:rPr>
                <w:rFonts w:hint="eastAsia" w:ascii="宋体" w:hAnsi="宋体" w:eastAsia="宋体" w:cs="宋体"/>
                <w:color w:val="auto"/>
                <w:kern w:val="2"/>
                <w:sz w:val="24"/>
                <w:highlight w:val="none"/>
              </w:rPr>
            </w:pPr>
          </w:p>
        </w:tc>
        <w:tc>
          <w:tcPr>
            <w:tcW w:w="1020" w:type="dxa"/>
          </w:tcPr>
          <w:p w14:paraId="27E0AE99">
            <w:pPr>
              <w:rPr>
                <w:rFonts w:hint="eastAsia" w:ascii="宋体" w:hAnsi="宋体" w:eastAsia="宋体" w:cs="宋体"/>
                <w:color w:val="auto"/>
                <w:kern w:val="2"/>
                <w:sz w:val="24"/>
                <w:highlight w:val="none"/>
              </w:rPr>
            </w:pPr>
          </w:p>
        </w:tc>
        <w:tc>
          <w:tcPr>
            <w:tcW w:w="1480" w:type="dxa"/>
          </w:tcPr>
          <w:p w14:paraId="7196EF55">
            <w:pPr>
              <w:rPr>
                <w:rFonts w:hint="eastAsia" w:ascii="宋体" w:hAnsi="宋体" w:eastAsia="宋体" w:cs="宋体"/>
                <w:color w:val="auto"/>
                <w:kern w:val="2"/>
                <w:sz w:val="24"/>
                <w:highlight w:val="none"/>
              </w:rPr>
            </w:pPr>
          </w:p>
        </w:tc>
        <w:tc>
          <w:tcPr>
            <w:tcW w:w="1020" w:type="dxa"/>
          </w:tcPr>
          <w:p w14:paraId="46688238">
            <w:pPr>
              <w:rPr>
                <w:rFonts w:hint="eastAsia" w:ascii="宋体" w:hAnsi="宋体" w:eastAsia="宋体" w:cs="宋体"/>
                <w:color w:val="auto"/>
                <w:kern w:val="2"/>
                <w:sz w:val="24"/>
                <w:highlight w:val="none"/>
              </w:rPr>
            </w:pPr>
          </w:p>
        </w:tc>
        <w:tc>
          <w:tcPr>
            <w:tcW w:w="921" w:type="dxa"/>
          </w:tcPr>
          <w:p w14:paraId="32587F61">
            <w:pPr>
              <w:rPr>
                <w:rFonts w:hint="eastAsia" w:ascii="宋体" w:hAnsi="宋体" w:eastAsia="宋体" w:cs="宋体"/>
                <w:color w:val="auto"/>
                <w:kern w:val="2"/>
                <w:sz w:val="24"/>
                <w:highlight w:val="none"/>
              </w:rPr>
            </w:pPr>
          </w:p>
        </w:tc>
      </w:tr>
      <w:tr w14:paraId="6885F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E7E5248">
            <w:pPr>
              <w:rPr>
                <w:rFonts w:hint="eastAsia" w:ascii="宋体" w:hAnsi="宋体" w:eastAsia="宋体" w:cs="宋体"/>
                <w:color w:val="auto"/>
                <w:kern w:val="2"/>
                <w:sz w:val="24"/>
                <w:highlight w:val="none"/>
              </w:rPr>
            </w:pPr>
          </w:p>
        </w:tc>
        <w:tc>
          <w:tcPr>
            <w:tcW w:w="1418" w:type="dxa"/>
          </w:tcPr>
          <w:p w14:paraId="6F275FFB">
            <w:pPr>
              <w:rPr>
                <w:rFonts w:hint="eastAsia" w:ascii="宋体" w:hAnsi="宋体" w:eastAsia="宋体" w:cs="宋体"/>
                <w:color w:val="auto"/>
                <w:kern w:val="2"/>
                <w:sz w:val="24"/>
                <w:highlight w:val="none"/>
              </w:rPr>
            </w:pPr>
          </w:p>
        </w:tc>
        <w:tc>
          <w:tcPr>
            <w:tcW w:w="850" w:type="dxa"/>
          </w:tcPr>
          <w:p w14:paraId="549A197E">
            <w:pPr>
              <w:rPr>
                <w:rFonts w:hint="eastAsia" w:ascii="宋体" w:hAnsi="宋体" w:eastAsia="宋体" w:cs="宋体"/>
                <w:color w:val="auto"/>
                <w:kern w:val="2"/>
                <w:sz w:val="24"/>
                <w:highlight w:val="none"/>
              </w:rPr>
            </w:pPr>
          </w:p>
        </w:tc>
        <w:tc>
          <w:tcPr>
            <w:tcW w:w="1058" w:type="dxa"/>
          </w:tcPr>
          <w:p w14:paraId="36D0D39C">
            <w:pPr>
              <w:rPr>
                <w:rFonts w:hint="eastAsia" w:ascii="宋体" w:hAnsi="宋体" w:eastAsia="宋体" w:cs="宋体"/>
                <w:color w:val="auto"/>
                <w:kern w:val="2"/>
                <w:sz w:val="24"/>
                <w:highlight w:val="none"/>
              </w:rPr>
            </w:pPr>
          </w:p>
        </w:tc>
        <w:tc>
          <w:tcPr>
            <w:tcW w:w="880" w:type="dxa"/>
          </w:tcPr>
          <w:p w14:paraId="0452E38A">
            <w:pPr>
              <w:rPr>
                <w:rFonts w:hint="eastAsia" w:ascii="宋体" w:hAnsi="宋体" w:eastAsia="宋体" w:cs="宋体"/>
                <w:color w:val="auto"/>
                <w:kern w:val="2"/>
                <w:sz w:val="24"/>
                <w:highlight w:val="none"/>
              </w:rPr>
            </w:pPr>
          </w:p>
        </w:tc>
        <w:tc>
          <w:tcPr>
            <w:tcW w:w="1020" w:type="dxa"/>
          </w:tcPr>
          <w:p w14:paraId="7AEFCCC4">
            <w:pPr>
              <w:rPr>
                <w:rFonts w:hint="eastAsia" w:ascii="宋体" w:hAnsi="宋体" w:eastAsia="宋体" w:cs="宋体"/>
                <w:color w:val="auto"/>
                <w:kern w:val="2"/>
                <w:sz w:val="24"/>
                <w:highlight w:val="none"/>
              </w:rPr>
            </w:pPr>
          </w:p>
        </w:tc>
        <w:tc>
          <w:tcPr>
            <w:tcW w:w="1480" w:type="dxa"/>
          </w:tcPr>
          <w:p w14:paraId="5C8F7EC7">
            <w:pPr>
              <w:rPr>
                <w:rFonts w:hint="eastAsia" w:ascii="宋体" w:hAnsi="宋体" w:eastAsia="宋体" w:cs="宋体"/>
                <w:color w:val="auto"/>
                <w:kern w:val="2"/>
                <w:sz w:val="24"/>
                <w:highlight w:val="none"/>
              </w:rPr>
            </w:pPr>
          </w:p>
        </w:tc>
        <w:tc>
          <w:tcPr>
            <w:tcW w:w="1020" w:type="dxa"/>
          </w:tcPr>
          <w:p w14:paraId="07FF70A3">
            <w:pPr>
              <w:rPr>
                <w:rFonts w:hint="eastAsia" w:ascii="宋体" w:hAnsi="宋体" w:eastAsia="宋体" w:cs="宋体"/>
                <w:color w:val="auto"/>
                <w:kern w:val="2"/>
                <w:sz w:val="24"/>
                <w:highlight w:val="none"/>
              </w:rPr>
            </w:pPr>
          </w:p>
        </w:tc>
        <w:tc>
          <w:tcPr>
            <w:tcW w:w="921" w:type="dxa"/>
          </w:tcPr>
          <w:p w14:paraId="6D90D69C">
            <w:pPr>
              <w:rPr>
                <w:rFonts w:hint="eastAsia" w:ascii="宋体" w:hAnsi="宋体" w:eastAsia="宋体" w:cs="宋体"/>
                <w:color w:val="auto"/>
                <w:kern w:val="2"/>
                <w:sz w:val="24"/>
                <w:highlight w:val="none"/>
              </w:rPr>
            </w:pPr>
          </w:p>
        </w:tc>
      </w:tr>
      <w:tr w14:paraId="2EAE7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764C248">
            <w:pPr>
              <w:rPr>
                <w:rFonts w:hint="eastAsia" w:ascii="宋体" w:hAnsi="宋体" w:eastAsia="宋体" w:cs="宋体"/>
                <w:color w:val="auto"/>
                <w:kern w:val="2"/>
                <w:sz w:val="24"/>
                <w:highlight w:val="none"/>
              </w:rPr>
            </w:pPr>
          </w:p>
        </w:tc>
        <w:tc>
          <w:tcPr>
            <w:tcW w:w="1418" w:type="dxa"/>
          </w:tcPr>
          <w:p w14:paraId="6F7E36F2">
            <w:pPr>
              <w:rPr>
                <w:rFonts w:hint="eastAsia" w:ascii="宋体" w:hAnsi="宋体" w:eastAsia="宋体" w:cs="宋体"/>
                <w:color w:val="auto"/>
                <w:kern w:val="2"/>
                <w:sz w:val="24"/>
                <w:highlight w:val="none"/>
              </w:rPr>
            </w:pPr>
          </w:p>
        </w:tc>
        <w:tc>
          <w:tcPr>
            <w:tcW w:w="850" w:type="dxa"/>
          </w:tcPr>
          <w:p w14:paraId="580EC63E">
            <w:pPr>
              <w:rPr>
                <w:rFonts w:hint="eastAsia" w:ascii="宋体" w:hAnsi="宋体" w:eastAsia="宋体" w:cs="宋体"/>
                <w:color w:val="auto"/>
                <w:kern w:val="2"/>
                <w:sz w:val="24"/>
                <w:highlight w:val="none"/>
              </w:rPr>
            </w:pPr>
          </w:p>
        </w:tc>
        <w:tc>
          <w:tcPr>
            <w:tcW w:w="1058" w:type="dxa"/>
          </w:tcPr>
          <w:p w14:paraId="49D81AC1">
            <w:pPr>
              <w:rPr>
                <w:rFonts w:hint="eastAsia" w:ascii="宋体" w:hAnsi="宋体" w:eastAsia="宋体" w:cs="宋体"/>
                <w:color w:val="auto"/>
                <w:kern w:val="2"/>
                <w:sz w:val="24"/>
                <w:highlight w:val="none"/>
              </w:rPr>
            </w:pPr>
          </w:p>
        </w:tc>
        <w:tc>
          <w:tcPr>
            <w:tcW w:w="880" w:type="dxa"/>
          </w:tcPr>
          <w:p w14:paraId="02873CFA">
            <w:pPr>
              <w:rPr>
                <w:rFonts w:hint="eastAsia" w:ascii="宋体" w:hAnsi="宋体" w:eastAsia="宋体" w:cs="宋体"/>
                <w:color w:val="auto"/>
                <w:kern w:val="2"/>
                <w:sz w:val="24"/>
                <w:highlight w:val="none"/>
              </w:rPr>
            </w:pPr>
          </w:p>
        </w:tc>
        <w:tc>
          <w:tcPr>
            <w:tcW w:w="1020" w:type="dxa"/>
          </w:tcPr>
          <w:p w14:paraId="193AF4A6">
            <w:pPr>
              <w:rPr>
                <w:rFonts w:hint="eastAsia" w:ascii="宋体" w:hAnsi="宋体" w:eastAsia="宋体" w:cs="宋体"/>
                <w:color w:val="auto"/>
                <w:kern w:val="2"/>
                <w:sz w:val="24"/>
                <w:highlight w:val="none"/>
              </w:rPr>
            </w:pPr>
          </w:p>
        </w:tc>
        <w:tc>
          <w:tcPr>
            <w:tcW w:w="1480" w:type="dxa"/>
          </w:tcPr>
          <w:p w14:paraId="05C85622">
            <w:pPr>
              <w:rPr>
                <w:rFonts w:hint="eastAsia" w:ascii="宋体" w:hAnsi="宋体" w:eastAsia="宋体" w:cs="宋体"/>
                <w:color w:val="auto"/>
                <w:kern w:val="2"/>
                <w:sz w:val="24"/>
                <w:highlight w:val="none"/>
              </w:rPr>
            </w:pPr>
          </w:p>
        </w:tc>
        <w:tc>
          <w:tcPr>
            <w:tcW w:w="1020" w:type="dxa"/>
          </w:tcPr>
          <w:p w14:paraId="719D07F4">
            <w:pPr>
              <w:rPr>
                <w:rFonts w:hint="eastAsia" w:ascii="宋体" w:hAnsi="宋体" w:eastAsia="宋体" w:cs="宋体"/>
                <w:color w:val="auto"/>
                <w:kern w:val="2"/>
                <w:sz w:val="24"/>
                <w:highlight w:val="none"/>
              </w:rPr>
            </w:pPr>
          </w:p>
        </w:tc>
        <w:tc>
          <w:tcPr>
            <w:tcW w:w="921" w:type="dxa"/>
          </w:tcPr>
          <w:p w14:paraId="3046FEEC">
            <w:pPr>
              <w:rPr>
                <w:rFonts w:hint="eastAsia" w:ascii="宋体" w:hAnsi="宋体" w:eastAsia="宋体" w:cs="宋体"/>
                <w:color w:val="auto"/>
                <w:kern w:val="2"/>
                <w:sz w:val="24"/>
                <w:highlight w:val="none"/>
              </w:rPr>
            </w:pPr>
          </w:p>
        </w:tc>
      </w:tr>
      <w:tr w14:paraId="27734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7537178A">
            <w:pPr>
              <w:rPr>
                <w:rFonts w:hint="eastAsia" w:ascii="宋体" w:hAnsi="宋体" w:eastAsia="宋体" w:cs="宋体"/>
                <w:color w:val="auto"/>
                <w:kern w:val="2"/>
                <w:sz w:val="24"/>
                <w:highlight w:val="none"/>
              </w:rPr>
            </w:pPr>
          </w:p>
        </w:tc>
        <w:tc>
          <w:tcPr>
            <w:tcW w:w="1418" w:type="dxa"/>
            <w:tcBorders>
              <w:bottom w:val="single" w:color="auto" w:sz="12" w:space="0"/>
            </w:tcBorders>
          </w:tcPr>
          <w:p w14:paraId="5D8F0271">
            <w:pPr>
              <w:rPr>
                <w:rFonts w:hint="eastAsia" w:ascii="宋体" w:hAnsi="宋体" w:eastAsia="宋体" w:cs="宋体"/>
                <w:color w:val="auto"/>
                <w:kern w:val="2"/>
                <w:sz w:val="24"/>
                <w:highlight w:val="none"/>
              </w:rPr>
            </w:pPr>
          </w:p>
        </w:tc>
        <w:tc>
          <w:tcPr>
            <w:tcW w:w="850" w:type="dxa"/>
            <w:tcBorders>
              <w:bottom w:val="single" w:color="auto" w:sz="12" w:space="0"/>
            </w:tcBorders>
          </w:tcPr>
          <w:p w14:paraId="525D85E3">
            <w:pPr>
              <w:rPr>
                <w:rFonts w:hint="eastAsia" w:ascii="宋体" w:hAnsi="宋体" w:eastAsia="宋体" w:cs="宋体"/>
                <w:color w:val="auto"/>
                <w:kern w:val="2"/>
                <w:sz w:val="24"/>
                <w:highlight w:val="none"/>
              </w:rPr>
            </w:pPr>
          </w:p>
        </w:tc>
        <w:tc>
          <w:tcPr>
            <w:tcW w:w="1058" w:type="dxa"/>
            <w:tcBorders>
              <w:bottom w:val="single" w:color="auto" w:sz="12" w:space="0"/>
            </w:tcBorders>
          </w:tcPr>
          <w:p w14:paraId="68E63153">
            <w:pPr>
              <w:rPr>
                <w:rFonts w:hint="eastAsia" w:ascii="宋体" w:hAnsi="宋体" w:eastAsia="宋体" w:cs="宋体"/>
                <w:color w:val="auto"/>
                <w:kern w:val="2"/>
                <w:sz w:val="24"/>
                <w:highlight w:val="none"/>
              </w:rPr>
            </w:pPr>
          </w:p>
        </w:tc>
        <w:tc>
          <w:tcPr>
            <w:tcW w:w="880" w:type="dxa"/>
            <w:tcBorders>
              <w:bottom w:val="single" w:color="auto" w:sz="12" w:space="0"/>
            </w:tcBorders>
          </w:tcPr>
          <w:p w14:paraId="61FF3184">
            <w:pPr>
              <w:rPr>
                <w:rFonts w:hint="eastAsia" w:ascii="宋体" w:hAnsi="宋体" w:eastAsia="宋体" w:cs="宋体"/>
                <w:color w:val="auto"/>
                <w:kern w:val="2"/>
                <w:sz w:val="24"/>
                <w:highlight w:val="none"/>
              </w:rPr>
            </w:pPr>
          </w:p>
        </w:tc>
        <w:tc>
          <w:tcPr>
            <w:tcW w:w="1020" w:type="dxa"/>
            <w:tcBorders>
              <w:bottom w:val="single" w:color="auto" w:sz="12" w:space="0"/>
            </w:tcBorders>
          </w:tcPr>
          <w:p w14:paraId="161B722B">
            <w:pPr>
              <w:rPr>
                <w:rFonts w:hint="eastAsia" w:ascii="宋体" w:hAnsi="宋体" w:eastAsia="宋体" w:cs="宋体"/>
                <w:color w:val="auto"/>
                <w:kern w:val="2"/>
                <w:sz w:val="24"/>
                <w:highlight w:val="none"/>
              </w:rPr>
            </w:pPr>
          </w:p>
        </w:tc>
        <w:tc>
          <w:tcPr>
            <w:tcW w:w="1480" w:type="dxa"/>
            <w:tcBorders>
              <w:bottom w:val="single" w:color="auto" w:sz="12" w:space="0"/>
            </w:tcBorders>
          </w:tcPr>
          <w:p w14:paraId="35F78D99">
            <w:pPr>
              <w:rPr>
                <w:rFonts w:hint="eastAsia" w:ascii="宋体" w:hAnsi="宋体" w:eastAsia="宋体" w:cs="宋体"/>
                <w:color w:val="auto"/>
                <w:kern w:val="2"/>
                <w:sz w:val="24"/>
                <w:highlight w:val="none"/>
              </w:rPr>
            </w:pPr>
          </w:p>
        </w:tc>
        <w:tc>
          <w:tcPr>
            <w:tcW w:w="1020" w:type="dxa"/>
            <w:tcBorders>
              <w:bottom w:val="single" w:color="auto" w:sz="12" w:space="0"/>
            </w:tcBorders>
          </w:tcPr>
          <w:p w14:paraId="75000656">
            <w:pPr>
              <w:rPr>
                <w:rFonts w:hint="eastAsia" w:ascii="宋体" w:hAnsi="宋体" w:eastAsia="宋体" w:cs="宋体"/>
                <w:color w:val="auto"/>
                <w:kern w:val="2"/>
                <w:sz w:val="24"/>
                <w:highlight w:val="none"/>
              </w:rPr>
            </w:pPr>
          </w:p>
        </w:tc>
        <w:tc>
          <w:tcPr>
            <w:tcW w:w="921" w:type="dxa"/>
            <w:tcBorders>
              <w:bottom w:val="single" w:color="auto" w:sz="12" w:space="0"/>
            </w:tcBorders>
          </w:tcPr>
          <w:p w14:paraId="1D0016B1">
            <w:pPr>
              <w:rPr>
                <w:rFonts w:hint="eastAsia" w:ascii="宋体" w:hAnsi="宋体" w:eastAsia="宋体" w:cs="宋体"/>
                <w:color w:val="auto"/>
                <w:kern w:val="2"/>
                <w:sz w:val="24"/>
                <w:highlight w:val="none"/>
              </w:rPr>
            </w:pPr>
          </w:p>
        </w:tc>
      </w:tr>
    </w:tbl>
    <w:p w14:paraId="0D153D9A">
      <w:pPr>
        <w:spacing w:line="440" w:lineRule="exact"/>
        <w:rPr>
          <w:rFonts w:hint="eastAsia" w:ascii="宋体" w:hAnsi="宋体" w:eastAsia="宋体" w:cs="宋体"/>
          <w:color w:val="auto"/>
          <w:sz w:val="24"/>
          <w:highlight w:val="none"/>
        </w:rPr>
      </w:pPr>
    </w:p>
    <w:p w14:paraId="02E8FAEA">
      <w:pPr>
        <w:spacing w:line="440" w:lineRule="exact"/>
        <w:rPr>
          <w:rFonts w:hint="eastAsia" w:ascii="宋体" w:hAnsi="宋体" w:eastAsia="宋体" w:cs="宋体"/>
          <w:color w:val="auto"/>
          <w:sz w:val="24"/>
          <w:highlight w:val="none"/>
        </w:rPr>
      </w:pPr>
    </w:p>
    <w:p w14:paraId="3EEE9EC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bookmarkStart w:id="220" w:name="_Toc296891056"/>
      <w:bookmarkStart w:id="221" w:name="_Toc267261699"/>
      <w:bookmarkStart w:id="222" w:name="_Toc296346729"/>
      <w:bookmarkStart w:id="223" w:name="_Toc296891268"/>
      <w:bookmarkStart w:id="224" w:name="_Toc296944567"/>
      <w:bookmarkStart w:id="225" w:name="_Toc296503228"/>
      <w:bookmarkStart w:id="226" w:name="_Toc296347227"/>
      <w:r>
        <w:rPr>
          <w:rFonts w:hint="eastAsia" w:ascii="宋体" w:hAnsi="宋体" w:eastAsia="宋体" w:cs="宋体"/>
          <w:color w:val="auto"/>
          <w:sz w:val="24"/>
          <w:highlight w:val="none"/>
        </w:rPr>
        <w:t>件5：</w:t>
      </w:r>
    </w:p>
    <w:bookmarkEnd w:id="220"/>
    <w:bookmarkEnd w:id="221"/>
    <w:bookmarkEnd w:id="222"/>
    <w:bookmarkEnd w:id="223"/>
    <w:bookmarkEnd w:id="224"/>
    <w:bookmarkEnd w:id="225"/>
    <w:bookmarkEnd w:id="226"/>
    <w:p w14:paraId="634EF65D">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C610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74E411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tcBorders>
              <w:top w:val="single" w:color="auto" w:sz="12" w:space="0"/>
              <w:bottom w:val="double" w:color="auto" w:sz="6" w:space="0"/>
            </w:tcBorders>
            <w:vAlign w:val="center"/>
          </w:tcPr>
          <w:p w14:paraId="40244AD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tcBorders>
              <w:top w:val="single" w:color="auto" w:sz="12" w:space="0"/>
              <w:bottom w:val="double" w:color="auto" w:sz="6" w:space="0"/>
            </w:tcBorders>
            <w:vAlign w:val="center"/>
          </w:tcPr>
          <w:p w14:paraId="4B576C53">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tcBorders>
              <w:top w:val="single" w:color="auto" w:sz="12" w:space="0"/>
              <w:bottom w:val="double" w:color="auto" w:sz="6" w:space="0"/>
            </w:tcBorders>
            <w:vAlign w:val="center"/>
          </w:tcPr>
          <w:p w14:paraId="73E386A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4252" w:type="dxa"/>
            <w:tcBorders>
              <w:top w:val="single" w:color="auto" w:sz="12" w:space="0"/>
              <w:bottom w:val="double" w:color="auto" w:sz="6" w:space="0"/>
            </w:tcBorders>
            <w:vAlign w:val="center"/>
          </w:tcPr>
          <w:p w14:paraId="7AB211C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14:paraId="00AEC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5058FB55">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3ACBF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4B349D6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tcBorders>
              <w:top w:val="nil"/>
            </w:tcBorders>
            <w:vAlign w:val="center"/>
          </w:tcPr>
          <w:p w14:paraId="3C876704">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3187C74A">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40F53C9F">
            <w:pPr>
              <w:pStyle w:val="34"/>
              <w:keepNext/>
              <w:spacing w:line="440" w:lineRule="exact"/>
              <w:ind w:left="63" w:right="63"/>
              <w:rPr>
                <w:rFonts w:hint="eastAsia" w:ascii="宋体" w:hAnsi="宋体" w:cs="宋体"/>
                <w:color w:val="auto"/>
                <w:sz w:val="24"/>
                <w:szCs w:val="24"/>
                <w:highlight w:val="none"/>
              </w:rPr>
            </w:pPr>
          </w:p>
        </w:tc>
        <w:tc>
          <w:tcPr>
            <w:tcW w:w="4252" w:type="dxa"/>
            <w:tcBorders>
              <w:top w:val="nil"/>
            </w:tcBorders>
            <w:vAlign w:val="center"/>
          </w:tcPr>
          <w:p w14:paraId="1B237854">
            <w:pPr>
              <w:pStyle w:val="34"/>
              <w:keepNext/>
              <w:spacing w:line="440" w:lineRule="exact"/>
              <w:ind w:left="63" w:right="63"/>
              <w:rPr>
                <w:rFonts w:hint="eastAsia" w:ascii="宋体" w:hAnsi="宋体" w:cs="宋体"/>
                <w:color w:val="auto"/>
                <w:sz w:val="24"/>
                <w:szCs w:val="24"/>
                <w:highlight w:val="none"/>
              </w:rPr>
            </w:pPr>
          </w:p>
        </w:tc>
      </w:tr>
      <w:tr w14:paraId="01553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3EAEB0A6">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4EBB982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DC93E2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C622F29">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DB845A8">
            <w:pPr>
              <w:pStyle w:val="34"/>
              <w:keepNext/>
              <w:spacing w:line="440" w:lineRule="exact"/>
              <w:ind w:left="63" w:right="63"/>
              <w:rPr>
                <w:rFonts w:hint="eastAsia" w:ascii="宋体" w:hAnsi="宋体" w:cs="宋体"/>
                <w:color w:val="auto"/>
                <w:sz w:val="24"/>
                <w:szCs w:val="24"/>
                <w:highlight w:val="none"/>
              </w:rPr>
            </w:pPr>
          </w:p>
        </w:tc>
      </w:tr>
      <w:tr w14:paraId="7B8DB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3C52EBB7">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42990CA">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9A47B5C">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61D5A6E">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F22F7E9">
            <w:pPr>
              <w:pStyle w:val="34"/>
              <w:keepNext/>
              <w:spacing w:line="440" w:lineRule="exact"/>
              <w:ind w:left="63" w:right="63"/>
              <w:rPr>
                <w:rFonts w:hint="eastAsia" w:ascii="宋体" w:hAnsi="宋体" w:cs="宋体"/>
                <w:color w:val="auto"/>
                <w:sz w:val="24"/>
                <w:szCs w:val="24"/>
                <w:highlight w:val="none"/>
              </w:rPr>
            </w:pPr>
          </w:p>
        </w:tc>
      </w:tr>
      <w:tr w14:paraId="1DB9F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05BB552A">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EBEDF6E">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B8E817C">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50A5C1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197AF948">
            <w:pPr>
              <w:pStyle w:val="34"/>
              <w:keepNext/>
              <w:spacing w:line="440" w:lineRule="exact"/>
              <w:ind w:left="63" w:right="63"/>
              <w:rPr>
                <w:rFonts w:hint="eastAsia" w:ascii="宋体" w:hAnsi="宋体" w:cs="宋体"/>
                <w:color w:val="auto"/>
                <w:sz w:val="24"/>
                <w:szCs w:val="24"/>
                <w:highlight w:val="none"/>
              </w:rPr>
            </w:pPr>
          </w:p>
        </w:tc>
      </w:tr>
      <w:tr w14:paraId="53269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016D24B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54FC8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BD23552">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418" w:type="dxa"/>
            <w:vAlign w:val="center"/>
          </w:tcPr>
          <w:p w14:paraId="1A54512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FB9E7C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9FDE0B7">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BA28606">
            <w:pPr>
              <w:pStyle w:val="34"/>
              <w:keepNext/>
              <w:spacing w:line="440" w:lineRule="exact"/>
              <w:ind w:left="63" w:right="63"/>
              <w:rPr>
                <w:rFonts w:hint="eastAsia" w:ascii="宋体" w:hAnsi="宋体" w:cs="宋体"/>
                <w:color w:val="auto"/>
                <w:sz w:val="24"/>
                <w:szCs w:val="24"/>
                <w:highlight w:val="none"/>
              </w:rPr>
            </w:pPr>
          </w:p>
        </w:tc>
      </w:tr>
      <w:tr w14:paraId="1A35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5F5667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vAlign w:val="center"/>
          </w:tcPr>
          <w:p w14:paraId="626863AE">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9C4E7A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1F7922F">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41B00ED5">
            <w:pPr>
              <w:pStyle w:val="34"/>
              <w:keepNext/>
              <w:spacing w:line="440" w:lineRule="exact"/>
              <w:ind w:left="63" w:right="63"/>
              <w:rPr>
                <w:rFonts w:hint="eastAsia" w:ascii="宋体" w:hAnsi="宋体" w:cs="宋体"/>
                <w:color w:val="auto"/>
                <w:sz w:val="24"/>
                <w:szCs w:val="24"/>
                <w:highlight w:val="none"/>
              </w:rPr>
            </w:pPr>
          </w:p>
        </w:tc>
      </w:tr>
      <w:tr w14:paraId="5A437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01EF9E5">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施工管理</w:t>
            </w:r>
          </w:p>
        </w:tc>
        <w:tc>
          <w:tcPr>
            <w:tcW w:w="1418" w:type="dxa"/>
            <w:vAlign w:val="center"/>
          </w:tcPr>
          <w:p w14:paraId="5F65967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749352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E882927">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89F81CE">
            <w:pPr>
              <w:pStyle w:val="34"/>
              <w:keepNext/>
              <w:spacing w:line="440" w:lineRule="exact"/>
              <w:ind w:left="63" w:right="63"/>
              <w:rPr>
                <w:rFonts w:hint="eastAsia" w:ascii="宋体" w:hAnsi="宋体" w:cs="宋体"/>
                <w:color w:val="auto"/>
                <w:sz w:val="24"/>
                <w:szCs w:val="24"/>
                <w:highlight w:val="none"/>
              </w:rPr>
            </w:pPr>
          </w:p>
        </w:tc>
      </w:tr>
      <w:tr w14:paraId="174D0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A458862">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vAlign w:val="center"/>
          </w:tcPr>
          <w:p w14:paraId="088E1543">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DD24FE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8504356">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A33FBBA">
            <w:pPr>
              <w:pStyle w:val="34"/>
              <w:keepNext/>
              <w:spacing w:line="440" w:lineRule="exact"/>
              <w:ind w:left="63" w:right="63"/>
              <w:rPr>
                <w:rFonts w:hint="eastAsia" w:ascii="宋体" w:hAnsi="宋体" w:cs="宋体"/>
                <w:color w:val="auto"/>
                <w:sz w:val="24"/>
                <w:szCs w:val="24"/>
                <w:highlight w:val="none"/>
              </w:rPr>
            </w:pPr>
          </w:p>
        </w:tc>
      </w:tr>
      <w:tr w14:paraId="0E3BB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0D263E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vAlign w:val="center"/>
          </w:tcPr>
          <w:p w14:paraId="224F361D">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3DBBBEB">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FC5135B">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6845849">
            <w:pPr>
              <w:pStyle w:val="34"/>
              <w:keepNext/>
              <w:spacing w:line="440" w:lineRule="exact"/>
              <w:ind w:left="63" w:right="63"/>
              <w:rPr>
                <w:rFonts w:hint="eastAsia" w:ascii="宋体" w:hAnsi="宋体" w:cs="宋体"/>
                <w:color w:val="auto"/>
                <w:sz w:val="24"/>
                <w:szCs w:val="24"/>
                <w:highlight w:val="none"/>
              </w:rPr>
            </w:pPr>
          </w:p>
        </w:tc>
      </w:tr>
      <w:tr w14:paraId="0422A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37FAD6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vAlign w:val="center"/>
          </w:tcPr>
          <w:p w14:paraId="742C4FA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62F9014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5B2D671">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8D951C4">
            <w:pPr>
              <w:pStyle w:val="34"/>
              <w:keepNext/>
              <w:spacing w:line="440" w:lineRule="exact"/>
              <w:ind w:left="63" w:right="63"/>
              <w:rPr>
                <w:rFonts w:hint="eastAsia" w:ascii="宋体" w:hAnsi="宋体" w:cs="宋体"/>
                <w:color w:val="auto"/>
                <w:sz w:val="24"/>
                <w:szCs w:val="24"/>
                <w:highlight w:val="none"/>
              </w:rPr>
            </w:pPr>
          </w:p>
        </w:tc>
      </w:tr>
      <w:tr w14:paraId="37FEA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04E856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vAlign w:val="center"/>
          </w:tcPr>
          <w:p w14:paraId="1F60DE4B">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623CB23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D8DF96A">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AA64700">
            <w:pPr>
              <w:pStyle w:val="34"/>
              <w:keepNext/>
              <w:spacing w:line="440" w:lineRule="exact"/>
              <w:ind w:left="63" w:right="63"/>
              <w:rPr>
                <w:rFonts w:hint="eastAsia" w:ascii="宋体" w:hAnsi="宋体" w:cs="宋体"/>
                <w:color w:val="auto"/>
                <w:sz w:val="24"/>
                <w:szCs w:val="24"/>
                <w:highlight w:val="none"/>
              </w:rPr>
            </w:pPr>
          </w:p>
        </w:tc>
      </w:tr>
      <w:tr w14:paraId="3CFEE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40A48B2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037B44F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B10890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464885D">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0FD01694">
            <w:pPr>
              <w:pStyle w:val="34"/>
              <w:keepNext/>
              <w:spacing w:line="440" w:lineRule="exact"/>
              <w:ind w:left="63" w:right="63"/>
              <w:rPr>
                <w:rFonts w:hint="eastAsia" w:ascii="宋体" w:hAnsi="宋体" w:cs="宋体"/>
                <w:color w:val="auto"/>
                <w:sz w:val="24"/>
                <w:szCs w:val="24"/>
                <w:highlight w:val="none"/>
              </w:rPr>
            </w:pPr>
          </w:p>
        </w:tc>
      </w:tr>
      <w:tr w14:paraId="7C3CA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1A0350F9">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nil"/>
            </w:tcBorders>
            <w:vAlign w:val="center"/>
          </w:tcPr>
          <w:p w14:paraId="0C461A88">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78747E1D">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28170CE8">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nil"/>
            </w:tcBorders>
            <w:vAlign w:val="center"/>
          </w:tcPr>
          <w:p w14:paraId="1756E930">
            <w:pPr>
              <w:pStyle w:val="34"/>
              <w:keepNext/>
              <w:spacing w:line="440" w:lineRule="exact"/>
              <w:ind w:left="63" w:right="63"/>
              <w:rPr>
                <w:rFonts w:hint="eastAsia" w:ascii="宋体" w:hAnsi="宋体" w:cs="宋体"/>
                <w:color w:val="auto"/>
                <w:sz w:val="24"/>
                <w:szCs w:val="24"/>
                <w:highlight w:val="none"/>
              </w:rPr>
            </w:pPr>
          </w:p>
        </w:tc>
      </w:tr>
      <w:tr w14:paraId="41194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3DBF56ED">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0768874">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E5DB97D">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CA1A0E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1FA61250">
            <w:pPr>
              <w:pStyle w:val="34"/>
              <w:keepNext/>
              <w:spacing w:line="440" w:lineRule="exact"/>
              <w:ind w:left="63" w:right="63"/>
              <w:rPr>
                <w:rFonts w:hint="eastAsia" w:ascii="宋体" w:hAnsi="宋体" w:cs="宋体"/>
                <w:color w:val="auto"/>
                <w:sz w:val="24"/>
                <w:szCs w:val="24"/>
                <w:highlight w:val="none"/>
              </w:rPr>
            </w:pPr>
          </w:p>
        </w:tc>
      </w:tr>
      <w:tr w14:paraId="0276B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018B3EED">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5F9C943">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6AAAEDE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A757EB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488A7351">
            <w:pPr>
              <w:pStyle w:val="34"/>
              <w:keepNext/>
              <w:spacing w:line="440" w:lineRule="exact"/>
              <w:ind w:left="63" w:right="63"/>
              <w:rPr>
                <w:rFonts w:hint="eastAsia" w:ascii="宋体" w:hAnsi="宋体" w:cs="宋体"/>
                <w:color w:val="auto"/>
                <w:sz w:val="24"/>
                <w:szCs w:val="24"/>
                <w:highlight w:val="none"/>
              </w:rPr>
            </w:pPr>
          </w:p>
        </w:tc>
      </w:tr>
      <w:tr w14:paraId="3AA05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209F1E86">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1362CB2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0188B2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89F5E4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4F01D48">
            <w:pPr>
              <w:pStyle w:val="34"/>
              <w:keepNext/>
              <w:spacing w:line="440" w:lineRule="exact"/>
              <w:ind w:left="63" w:right="63"/>
              <w:rPr>
                <w:rFonts w:hint="eastAsia" w:ascii="宋体" w:hAnsi="宋体" w:cs="宋体"/>
                <w:color w:val="auto"/>
                <w:sz w:val="24"/>
                <w:szCs w:val="24"/>
                <w:highlight w:val="none"/>
              </w:rPr>
            </w:pPr>
          </w:p>
        </w:tc>
      </w:tr>
      <w:tr w14:paraId="750F2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3445FB30">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single" w:color="auto" w:sz="12" w:space="0"/>
            </w:tcBorders>
            <w:vAlign w:val="center"/>
          </w:tcPr>
          <w:p w14:paraId="7BC22212">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61A2113C">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217C1F03">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single" w:color="auto" w:sz="12" w:space="0"/>
            </w:tcBorders>
            <w:vAlign w:val="center"/>
          </w:tcPr>
          <w:p w14:paraId="31BE855D">
            <w:pPr>
              <w:pStyle w:val="34"/>
              <w:keepNext/>
              <w:spacing w:line="440" w:lineRule="exact"/>
              <w:ind w:left="63" w:right="63"/>
              <w:rPr>
                <w:rFonts w:hint="eastAsia" w:ascii="宋体" w:hAnsi="宋体" w:cs="宋体"/>
                <w:color w:val="auto"/>
                <w:sz w:val="24"/>
                <w:szCs w:val="24"/>
                <w:highlight w:val="none"/>
              </w:rPr>
            </w:pPr>
          </w:p>
        </w:tc>
      </w:tr>
    </w:tbl>
    <w:p w14:paraId="607FF22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附件6：</w:t>
      </w:r>
    </w:p>
    <w:p w14:paraId="2779CEA9">
      <w:pPr>
        <w:spacing w:before="156" w:beforeLines="50" w:after="156" w:afterLines="50"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4A5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6F9F2F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tcBorders>
              <w:top w:val="single" w:color="auto" w:sz="12" w:space="0"/>
              <w:bottom w:val="double" w:color="auto" w:sz="6" w:space="0"/>
            </w:tcBorders>
            <w:vAlign w:val="center"/>
          </w:tcPr>
          <w:p w14:paraId="3DEB228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tcBorders>
              <w:top w:val="single" w:color="auto" w:sz="12" w:space="0"/>
              <w:bottom w:val="double" w:color="auto" w:sz="6" w:space="0"/>
            </w:tcBorders>
            <w:vAlign w:val="center"/>
          </w:tcPr>
          <w:p w14:paraId="0098A0B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tcBorders>
              <w:top w:val="single" w:color="auto" w:sz="12" w:space="0"/>
              <w:bottom w:val="double" w:color="auto" w:sz="6" w:space="0"/>
            </w:tcBorders>
            <w:vAlign w:val="center"/>
          </w:tcPr>
          <w:p w14:paraId="7A5A2FC5">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4252" w:type="dxa"/>
            <w:tcBorders>
              <w:top w:val="single" w:color="auto" w:sz="12" w:space="0"/>
              <w:bottom w:val="double" w:color="auto" w:sz="6" w:space="0"/>
            </w:tcBorders>
            <w:vAlign w:val="center"/>
          </w:tcPr>
          <w:p w14:paraId="70E7879C">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14:paraId="0386F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282DE3C0">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1F1B6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6B502C04">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tcBorders>
              <w:top w:val="nil"/>
            </w:tcBorders>
            <w:vAlign w:val="center"/>
          </w:tcPr>
          <w:p w14:paraId="7DB57EB9">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36CB875A">
            <w:pPr>
              <w:pStyle w:val="34"/>
              <w:keepNext/>
              <w:spacing w:line="440" w:lineRule="exact"/>
              <w:ind w:left="63" w:right="63"/>
              <w:rPr>
                <w:rFonts w:hint="eastAsia" w:ascii="宋体" w:hAnsi="宋体" w:cs="宋体"/>
                <w:color w:val="auto"/>
                <w:sz w:val="24"/>
                <w:szCs w:val="24"/>
                <w:highlight w:val="none"/>
              </w:rPr>
            </w:pPr>
          </w:p>
        </w:tc>
        <w:tc>
          <w:tcPr>
            <w:tcW w:w="1134" w:type="dxa"/>
            <w:tcBorders>
              <w:top w:val="nil"/>
            </w:tcBorders>
            <w:vAlign w:val="center"/>
          </w:tcPr>
          <w:p w14:paraId="3914632F">
            <w:pPr>
              <w:pStyle w:val="34"/>
              <w:keepNext/>
              <w:spacing w:line="440" w:lineRule="exact"/>
              <w:ind w:left="63" w:right="63"/>
              <w:rPr>
                <w:rFonts w:hint="eastAsia" w:ascii="宋体" w:hAnsi="宋体" w:cs="宋体"/>
                <w:color w:val="auto"/>
                <w:sz w:val="24"/>
                <w:szCs w:val="24"/>
                <w:highlight w:val="none"/>
              </w:rPr>
            </w:pPr>
          </w:p>
        </w:tc>
        <w:tc>
          <w:tcPr>
            <w:tcW w:w="4252" w:type="dxa"/>
            <w:tcBorders>
              <w:top w:val="nil"/>
            </w:tcBorders>
            <w:vAlign w:val="center"/>
          </w:tcPr>
          <w:p w14:paraId="5E2DD398">
            <w:pPr>
              <w:pStyle w:val="34"/>
              <w:keepNext/>
              <w:spacing w:line="440" w:lineRule="exact"/>
              <w:ind w:left="63" w:right="63"/>
              <w:rPr>
                <w:rFonts w:hint="eastAsia" w:ascii="宋体" w:hAnsi="宋体" w:cs="宋体"/>
                <w:color w:val="auto"/>
                <w:sz w:val="24"/>
                <w:szCs w:val="24"/>
                <w:highlight w:val="none"/>
              </w:rPr>
            </w:pPr>
          </w:p>
        </w:tc>
      </w:tr>
      <w:tr w14:paraId="2110C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78400FBC">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4CA890AA">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9C29CDA">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A0841E5">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9D4BAD7">
            <w:pPr>
              <w:pStyle w:val="34"/>
              <w:keepNext/>
              <w:spacing w:line="440" w:lineRule="exact"/>
              <w:ind w:left="63" w:right="63"/>
              <w:rPr>
                <w:rFonts w:hint="eastAsia" w:ascii="宋体" w:hAnsi="宋体" w:cs="宋体"/>
                <w:color w:val="auto"/>
                <w:sz w:val="24"/>
                <w:szCs w:val="24"/>
                <w:highlight w:val="none"/>
              </w:rPr>
            </w:pPr>
          </w:p>
        </w:tc>
      </w:tr>
      <w:tr w14:paraId="63582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1B22B667">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1DBC4012">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9F2C44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16104E0">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1204F5D8">
            <w:pPr>
              <w:pStyle w:val="34"/>
              <w:keepNext/>
              <w:spacing w:line="440" w:lineRule="exact"/>
              <w:ind w:left="63" w:right="63"/>
              <w:rPr>
                <w:rFonts w:hint="eastAsia" w:ascii="宋体" w:hAnsi="宋体" w:cs="宋体"/>
                <w:color w:val="auto"/>
                <w:sz w:val="24"/>
                <w:szCs w:val="24"/>
                <w:highlight w:val="none"/>
              </w:rPr>
            </w:pPr>
          </w:p>
        </w:tc>
      </w:tr>
      <w:tr w14:paraId="3A7CD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488D550A">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71042CE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83BBD0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6CFECBE">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1BA1322">
            <w:pPr>
              <w:pStyle w:val="34"/>
              <w:keepNext/>
              <w:spacing w:line="440" w:lineRule="exact"/>
              <w:ind w:left="63" w:right="63"/>
              <w:rPr>
                <w:rFonts w:hint="eastAsia" w:ascii="宋体" w:hAnsi="宋体" w:cs="宋体"/>
                <w:color w:val="auto"/>
                <w:sz w:val="24"/>
                <w:szCs w:val="24"/>
                <w:highlight w:val="none"/>
              </w:rPr>
            </w:pPr>
          </w:p>
        </w:tc>
      </w:tr>
      <w:tr w14:paraId="72910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6373F529">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58FA5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1255028">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418" w:type="dxa"/>
            <w:vAlign w:val="center"/>
          </w:tcPr>
          <w:p w14:paraId="4F80E94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F81D4A2">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2C71927">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B1CBFE4">
            <w:pPr>
              <w:pStyle w:val="34"/>
              <w:keepNext/>
              <w:spacing w:line="440" w:lineRule="exact"/>
              <w:ind w:left="63" w:right="63"/>
              <w:rPr>
                <w:rFonts w:hint="eastAsia" w:ascii="宋体" w:hAnsi="宋体" w:cs="宋体"/>
                <w:color w:val="auto"/>
                <w:sz w:val="24"/>
                <w:szCs w:val="24"/>
                <w:highlight w:val="none"/>
              </w:rPr>
            </w:pPr>
          </w:p>
        </w:tc>
      </w:tr>
      <w:tr w14:paraId="0CE4F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6B5FBD6">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vAlign w:val="center"/>
          </w:tcPr>
          <w:p w14:paraId="5E8AEB6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274A947">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08ED5BF">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22AAC8C5">
            <w:pPr>
              <w:pStyle w:val="34"/>
              <w:keepNext/>
              <w:spacing w:line="440" w:lineRule="exact"/>
              <w:ind w:left="63" w:right="63"/>
              <w:rPr>
                <w:rFonts w:hint="eastAsia" w:ascii="宋体" w:hAnsi="宋体" w:cs="宋体"/>
                <w:color w:val="auto"/>
                <w:sz w:val="24"/>
                <w:szCs w:val="24"/>
                <w:highlight w:val="none"/>
              </w:rPr>
            </w:pPr>
          </w:p>
        </w:tc>
      </w:tr>
      <w:tr w14:paraId="010A7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64655E3">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vAlign w:val="center"/>
          </w:tcPr>
          <w:p w14:paraId="1359CF7E">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7779C912">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623AF81">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21093FE">
            <w:pPr>
              <w:pStyle w:val="34"/>
              <w:keepNext/>
              <w:spacing w:line="440" w:lineRule="exact"/>
              <w:ind w:left="63" w:right="63"/>
              <w:rPr>
                <w:rFonts w:hint="eastAsia" w:ascii="宋体" w:hAnsi="宋体" w:cs="宋体"/>
                <w:color w:val="auto"/>
                <w:sz w:val="24"/>
                <w:szCs w:val="24"/>
                <w:highlight w:val="none"/>
              </w:rPr>
            </w:pPr>
          </w:p>
        </w:tc>
      </w:tr>
      <w:tr w14:paraId="2521D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98235E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vAlign w:val="center"/>
          </w:tcPr>
          <w:p w14:paraId="635A886D">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330BB1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F8547E8">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572442C2">
            <w:pPr>
              <w:pStyle w:val="34"/>
              <w:keepNext/>
              <w:spacing w:line="440" w:lineRule="exact"/>
              <w:ind w:left="63" w:right="63"/>
              <w:rPr>
                <w:rFonts w:hint="eastAsia" w:ascii="宋体" w:hAnsi="宋体" w:cs="宋体"/>
                <w:color w:val="auto"/>
                <w:sz w:val="24"/>
                <w:szCs w:val="24"/>
                <w:highlight w:val="none"/>
              </w:rPr>
            </w:pPr>
          </w:p>
        </w:tc>
      </w:tr>
      <w:tr w14:paraId="11C9E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F543132">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vAlign w:val="center"/>
          </w:tcPr>
          <w:p w14:paraId="7BF01963">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50ADD1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CD03AAE">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6B680D0F">
            <w:pPr>
              <w:pStyle w:val="34"/>
              <w:keepNext/>
              <w:spacing w:line="440" w:lineRule="exact"/>
              <w:ind w:left="63" w:right="63"/>
              <w:rPr>
                <w:rFonts w:hint="eastAsia" w:ascii="宋体" w:hAnsi="宋体" w:cs="宋体"/>
                <w:color w:val="auto"/>
                <w:sz w:val="24"/>
                <w:szCs w:val="24"/>
                <w:highlight w:val="none"/>
              </w:rPr>
            </w:pPr>
          </w:p>
        </w:tc>
      </w:tr>
      <w:tr w14:paraId="67CD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AEAC0B7">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418" w:type="dxa"/>
            <w:vAlign w:val="center"/>
          </w:tcPr>
          <w:p w14:paraId="6AEFD4A4">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DBD7F35">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9C5CFD3">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74C294A3">
            <w:pPr>
              <w:pStyle w:val="34"/>
              <w:keepNext/>
              <w:spacing w:line="440" w:lineRule="exact"/>
              <w:ind w:left="63" w:right="63"/>
              <w:rPr>
                <w:rFonts w:hint="eastAsia" w:ascii="宋体" w:hAnsi="宋体" w:cs="宋体"/>
                <w:color w:val="auto"/>
                <w:sz w:val="24"/>
                <w:szCs w:val="24"/>
                <w:highlight w:val="none"/>
              </w:rPr>
            </w:pPr>
          </w:p>
        </w:tc>
      </w:tr>
      <w:tr w14:paraId="488D5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267103A">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vAlign w:val="center"/>
          </w:tcPr>
          <w:p w14:paraId="06E6571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4DA7D4E9">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3A9FDA6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218A0FD0">
            <w:pPr>
              <w:pStyle w:val="34"/>
              <w:keepNext/>
              <w:spacing w:line="440" w:lineRule="exact"/>
              <w:ind w:left="63" w:right="63"/>
              <w:rPr>
                <w:rFonts w:hint="eastAsia" w:ascii="宋体" w:hAnsi="宋体" w:cs="宋体"/>
                <w:color w:val="auto"/>
                <w:sz w:val="24"/>
                <w:szCs w:val="24"/>
                <w:highlight w:val="none"/>
              </w:rPr>
            </w:pPr>
          </w:p>
        </w:tc>
      </w:tr>
      <w:tr w14:paraId="1A1FA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725FE67B">
            <w:pPr>
              <w:pStyle w:val="34"/>
              <w:keepNext/>
              <w:spacing w:line="440" w:lineRule="exact"/>
              <w:ind w:left="63" w:right="63"/>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6419F11F">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2441697">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923810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021927FC">
            <w:pPr>
              <w:pStyle w:val="34"/>
              <w:keepNext/>
              <w:spacing w:line="440" w:lineRule="exact"/>
              <w:ind w:left="63" w:right="63"/>
              <w:rPr>
                <w:rFonts w:hint="eastAsia" w:ascii="宋体" w:hAnsi="宋体" w:cs="宋体"/>
                <w:color w:val="auto"/>
                <w:sz w:val="24"/>
                <w:szCs w:val="24"/>
                <w:highlight w:val="none"/>
              </w:rPr>
            </w:pPr>
          </w:p>
        </w:tc>
      </w:tr>
      <w:tr w14:paraId="323BC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4AF66D96">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nil"/>
            </w:tcBorders>
            <w:vAlign w:val="center"/>
          </w:tcPr>
          <w:p w14:paraId="6AD6EEFA">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529AE4B4">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nil"/>
            </w:tcBorders>
            <w:vAlign w:val="center"/>
          </w:tcPr>
          <w:p w14:paraId="1B44BF36">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nil"/>
            </w:tcBorders>
            <w:vAlign w:val="center"/>
          </w:tcPr>
          <w:p w14:paraId="37682AB9">
            <w:pPr>
              <w:pStyle w:val="34"/>
              <w:keepNext/>
              <w:spacing w:line="440" w:lineRule="exact"/>
              <w:ind w:left="63" w:right="63"/>
              <w:rPr>
                <w:rFonts w:hint="eastAsia" w:ascii="宋体" w:hAnsi="宋体" w:cs="宋体"/>
                <w:color w:val="auto"/>
                <w:sz w:val="24"/>
                <w:szCs w:val="24"/>
                <w:highlight w:val="none"/>
              </w:rPr>
            </w:pPr>
          </w:p>
        </w:tc>
      </w:tr>
      <w:tr w14:paraId="3DF3F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3A2FD8A3">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5896C8F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BA7BCB0">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5CFE7E6F">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2A4541A4">
            <w:pPr>
              <w:pStyle w:val="34"/>
              <w:keepNext/>
              <w:spacing w:line="440" w:lineRule="exact"/>
              <w:ind w:left="63" w:right="63"/>
              <w:rPr>
                <w:rFonts w:hint="eastAsia" w:ascii="宋体" w:hAnsi="宋体" w:cs="宋体"/>
                <w:color w:val="auto"/>
                <w:sz w:val="24"/>
                <w:szCs w:val="24"/>
                <w:highlight w:val="none"/>
              </w:rPr>
            </w:pPr>
          </w:p>
        </w:tc>
      </w:tr>
      <w:tr w14:paraId="729BD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3779C9D">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2EC02501">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C585568">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03D1398C">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0C995D45">
            <w:pPr>
              <w:pStyle w:val="34"/>
              <w:keepNext/>
              <w:spacing w:line="440" w:lineRule="exact"/>
              <w:ind w:left="63" w:right="63"/>
              <w:rPr>
                <w:rFonts w:hint="eastAsia" w:ascii="宋体" w:hAnsi="宋体" w:cs="宋体"/>
                <w:color w:val="auto"/>
                <w:sz w:val="24"/>
                <w:szCs w:val="24"/>
                <w:highlight w:val="none"/>
              </w:rPr>
            </w:pPr>
          </w:p>
        </w:tc>
      </w:tr>
      <w:tr w14:paraId="6937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F7C8841">
            <w:pPr>
              <w:pStyle w:val="34"/>
              <w:keepNext/>
              <w:spacing w:line="440" w:lineRule="exact"/>
              <w:ind w:left="63" w:right="63"/>
              <w:rPr>
                <w:rFonts w:hint="eastAsia" w:ascii="宋体" w:hAnsi="宋体" w:cs="宋体"/>
                <w:color w:val="auto"/>
                <w:sz w:val="24"/>
                <w:szCs w:val="24"/>
                <w:highlight w:val="none"/>
              </w:rPr>
            </w:pPr>
          </w:p>
        </w:tc>
        <w:tc>
          <w:tcPr>
            <w:tcW w:w="1418" w:type="dxa"/>
            <w:vAlign w:val="center"/>
          </w:tcPr>
          <w:p w14:paraId="4783FBDB">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2D61DD06">
            <w:pPr>
              <w:pStyle w:val="34"/>
              <w:keepNext/>
              <w:spacing w:line="440" w:lineRule="exact"/>
              <w:ind w:left="63" w:right="63"/>
              <w:rPr>
                <w:rFonts w:hint="eastAsia" w:ascii="宋体" w:hAnsi="宋体" w:cs="宋体"/>
                <w:color w:val="auto"/>
                <w:sz w:val="24"/>
                <w:szCs w:val="24"/>
                <w:highlight w:val="none"/>
              </w:rPr>
            </w:pPr>
          </w:p>
        </w:tc>
        <w:tc>
          <w:tcPr>
            <w:tcW w:w="1134" w:type="dxa"/>
            <w:vAlign w:val="center"/>
          </w:tcPr>
          <w:p w14:paraId="1E68E834">
            <w:pPr>
              <w:pStyle w:val="34"/>
              <w:keepNext/>
              <w:spacing w:line="440" w:lineRule="exact"/>
              <w:ind w:left="63" w:right="63"/>
              <w:rPr>
                <w:rFonts w:hint="eastAsia" w:ascii="宋体" w:hAnsi="宋体" w:cs="宋体"/>
                <w:color w:val="auto"/>
                <w:sz w:val="24"/>
                <w:szCs w:val="24"/>
                <w:highlight w:val="none"/>
              </w:rPr>
            </w:pPr>
          </w:p>
        </w:tc>
        <w:tc>
          <w:tcPr>
            <w:tcW w:w="4252" w:type="dxa"/>
            <w:vAlign w:val="center"/>
          </w:tcPr>
          <w:p w14:paraId="39A0CF22">
            <w:pPr>
              <w:pStyle w:val="34"/>
              <w:keepNext/>
              <w:spacing w:line="440" w:lineRule="exact"/>
              <w:ind w:left="63" w:right="63"/>
              <w:rPr>
                <w:rFonts w:hint="eastAsia" w:ascii="宋体" w:hAnsi="宋体" w:cs="宋体"/>
                <w:color w:val="auto"/>
                <w:sz w:val="24"/>
                <w:szCs w:val="24"/>
                <w:highlight w:val="none"/>
              </w:rPr>
            </w:pPr>
          </w:p>
        </w:tc>
      </w:tr>
      <w:tr w14:paraId="3C817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03D417E4">
            <w:pPr>
              <w:pStyle w:val="34"/>
              <w:keepNext/>
              <w:spacing w:line="440" w:lineRule="exact"/>
              <w:ind w:left="63" w:right="63"/>
              <w:rPr>
                <w:rFonts w:hint="eastAsia" w:ascii="宋体" w:hAnsi="宋体" w:cs="宋体"/>
                <w:color w:val="auto"/>
                <w:sz w:val="24"/>
                <w:szCs w:val="24"/>
                <w:highlight w:val="none"/>
              </w:rPr>
            </w:pPr>
          </w:p>
        </w:tc>
        <w:tc>
          <w:tcPr>
            <w:tcW w:w="1418" w:type="dxa"/>
            <w:tcBorders>
              <w:bottom w:val="single" w:color="auto" w:sz="12" w:space="0"/>
            </w:tcBorders>
            <w:vAlign w:val="center"/>
          </w:tcPr>
          <w:p w14:paraId="7AA53328">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2EA8819D">
            <w:pPr>
              <w:pStyle w:val="34"/>
              <w:keepNext/>
              <w:spacing w:line="440" w:lineRule="exact"/>
              <w:ind w:left="63" w:right="63"/>
              <w:rPr>
                <w:rFonts w:hint="eastAsia" w:ascii="宋体" w:hAnsi="宋体" w:cs="宋体"/>
                <w:color w:val="auto"/>
                <w:sz w:val="24"/>
                <w:szCs w:val="24"/>
                <w:highlight w:val="none"/>
              </w:rPr>
            </w:pPr>
          </w:p>
        </w:tc>
        <w:tc>
          <w:tcPr>
            <w:tcW w:w="1134" w:type="dxa"/>
            <w:tcBorders>
              <w:bottom w:val="single" w:color="auto" w:sz="12" w:space="0"/>
            </w:tcBorders>
            <w:vAlign w:val="center"/>
          </w:tcPr>
          <w:p w14:paraId="11813616">
            <w:pPr>
              <w:pStyle w:val="34"/>
              <w:keepNext/>
              <w:spacing w:line="440" w:lineRule="exact"/>
              <w:ind w:left="63" w:right="63"/>
              <w:rPr>
                <w:rFonts w:hint="eastAsia" w:ascii="宋体" w:hAnsi="宋体" w:cs="宋体"/>
                <w:color w:val="auto"/>
                <w:sz w:val="24"/>
                <w:szCs w:val="24"/>
                <w:highlight w:val="none"/>
              </w:rPr>
            </w:pPr>
          </w:p>
        </w:tc>
        <w:tc>
          <w:tcPr>
            <w:tcW w:w="4252" w:type="dxa"/>
            <w:tcBorders>
              <w:bottom w:val="single" w:color="auto" w:sz="12" w:space="0"/>
            </w:tcBorders>
            <w:vAlign w:val="center"/>
          </w:tcPr>
          <w:p w14:paraId="25049980">
            <w:pPr>
              <w:pStyle w:val="34"/>
              <w:keepNext/>
              <w:spacing w:line="440" w:lineRule="exact"/>
              <w:ind w:left="63" w:right="63"/>
              <w:rPr>
                <w:rFonts w:hint="eastAsia" w:ascii="宋体" w:hAnsi="宋体" w:cs="宋体"/>
                <w:color w:val="auto"/>
                <w:sz w:val="24"/>
                <w:szCs w:val="24"/>
                <w:highlight w:val="none"/>
              </w:rPr>
            </w:pPr>
          </w:p>
        </w:tc>
      </w:tr>
    </w:tbl>
    <w:p w14:paraId="4EA9DBE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5657432">
      <w:pPr>
        <w:spacing w:line="360" w:lineRule="auto"/>
        <w:ind w:right="-233" w:rightChars="-111"/>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附件7：</w:t>
      </w:r>
    </w:p>
    <w:p w14:paraId="00278F1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建设工程廉政责任书</w:t>
      </w:r>
    </w:p>
    <w:p w14:paraId="08AA031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 xml:space="preserve">南通市机关事务管理局 </w:t>
      </w:r>
    </w:p>
    <w:p w14:paraId="7D4420C7">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p>
    <w:p w14:paraId="39AA61B4">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87304D7">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一、双方的责任</w:t>
      </w:r>
    </w:p>
    <w:p w14:paraId="4F8D8CC3">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1.1应严格遵守国家关于建设工程的有关法律、法规，相关政策，以及廉政建设的各项规定。</w:t>
      </w:r>
    </w:p>
    <w:p w14:paraId="045DFAD2">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1.2严格执行建设工程合同文件，自觉按合同办事。</w:t>
      </w:r>
    </w:p>
    <w:p w14:paraId="246C05EF">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5F2C6BC7">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1.4发现对方在业务活动中有违规、违纪、违法行为的，应及时提醒对方，情节严重的，应向其上级主管部门或纪检监察、司法等有关机关举报。</w:t>
      </w:r>
    </w:p>
    <w:p w14:paraId="462F95D9">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二、发包人责任</w:t>
      </w:r>
    </w:p>
    <w:p w14:paraId="2A947688">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发包人的领导和从事该建设工程项目的工作人员，在工程建设的事前、事中、事后应遵守以下规定：</w:t>
      </w:r>
    </w:p>
    <w:p w14:paraId="1C940AF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2.1不得向承包人和相关单位索要或接受回扣、礼金、有价证券、贵重物品和好处费、感谢费等。</w:t>
      </w:r>
    </w:p>
    <w:p w14:paraId="76745042">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2.2不得在承包人和相关单位报销任何应由发包人或个人支付的费用。</w:t>
      </w:r>
    </w:p>
    <w:p w14:paraId="6737E138">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2.3不得要求、暗示或接受承包人和相关单位为个人装修住房、婚丧嫁娶、配偶子女的工作安排以及出国(境)、旅游等提供方便。</w:t>
      </w:r>
    </w:p>
    <w:p w14:paraId="65C81B4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2.4不得参加有可能影响公正执行公务的承包人和相关单位的宴请、健身、娱乐等活动。</w:t>
      </w:r>
    </w:p>
    <w:p w14:paraId="48CA5465">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2.5不得向承包人和相关单位介绍或为配偶、子女、亲属参与同发包人工程建设管理合同有关的业务活动；不得以任何理由要求承包人和相关单位使用某种产品、材料和设备。</w:t>
      </w:r>
    </w:p>
    <w:p w14:paraId="151480FC">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三、承包人责任</w:t>
      </w:r>
    </w:p>
    <w:p w14:paraId="4EA4F24D">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应与发包人保持正常的业务交往，按照有关法律法规和程序开展业务工作，严格执行工程建设的有关方针、政策，执行工程建设强制性标准，并遵守以下规定：</w:t>
      </w:r>
    </w:p>
    <w:p w14:paraId="28F05B0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3.1不得以任何理由向发包人及其工作人员索要、接受或赠送礼金、有价证券、贵重物品及回扣、好处费、感谢费等。</w:t>
      </w:r>
    </w:p>
    <w:p w14:paraId="27DFDF7A">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3.2不得以任何理由为发包人和相关单位报销应由对方或个人支付的费用。</w:t>
      </w:r>
    </w:p>
    <w:p w14:paraId="528D01F1">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3.3不得接受或暗示为发包人、相关单位或个人装修住房、婚丧嫁娶、配偶子女的工作安排以及出国(境)、旅游等提供方便。</w:t>
      </w:r>
    </w:p>
    <w:p w14:paraId="0690645A">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3.4不得以任何理由为发包人、相关单位或个人组织有可能影响公正执行公务的宴请、健身、娱乐等活动。</w:t>
      </w:r>
    </w:p>
    <w:p w14:paraId="6C669673">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四、违约责任</w:t>
      </w:r>
    </w:p>
    <w:p w14:paraId="36A6BE1A">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4.1发包人工作人员有违反本责任书第一、二条责任行为的，依据有关法律、法规给予处理；涉嫌犯罪的，移交司法机关追究刑事责任；给承包人单位造成经济损失的，应予以赔偿。</w:t>
      </w:r>
    </w:p>
    <w:p w14:paraId="35D7BCE5">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4.2承包人工作人员有违反本责任书第一、三条责任行为的，依据有关法律法规处理；涉嫌犯罪的，移交司法机关追究刑事责任；给发包人单位造成经济损失的，应予以赔偿。</w:t>
      </w:r>
    </w:p>
    <w:p w14:paraId="307661AD">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4.3本责任书作为建设工程合同的组成部分，与建设工程合同具有同等法律效力。经双方签署后立即生效。</w:t>
      </w:r>
    </w:p>
    <w:p w14:paraId="488E0470">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五、责任书有效期</w:t>
      </w:r>
    </w:p>
    <w:p w14:paraId="0B4D0752">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本责任书的有效期为双方签署之日起至该工程项目竣工验收合格时止。</w:t>
      </w:r>
    </w:p>
    <w:p w14:paraId="251E84F8">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六、责任书份数</w:t>
      </w:r>
    </w:p>
    <w:p w14:paraId="1EDFF011">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本责任书一式二份，发包人承包人各执一份，具有同等效力。</w:t>
      </w:r>
    </w:p>
    <w:p w14:paraId="10098B14">
      <w:pPr>
        <w:spacing w:line="360" w:lineRule="auto"/>
        <w:ind w:firstLine="420"/>
        <w:rPr>
          <w:rFonts w:hint="eastAsia" w:ascii="宋体" w:hAnsi="宋体" w:eastAsia="宋体" w:cs="宋体"/>
          <w:color w:val="auto"/>
          <w:sz w:val="24"/>
          <w:highlight w:val="none"/>
        </w:rPr>
      </w:pPr>
    </w:p>
    <w:p w14:paraId="59293C01">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    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(公章)</w:t>
      </w:r>
    </w:p>
    <w:p w14:paraId="1DEFE5FB">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法定地址：</w:t>
      </w:r>
      <w:r>
        <w:rPr>
          <w:rFonts w:hint="eastAsia" w:ascii="宋体" w:hAnsi="宋体" w:eastAsia="宋体" w:cs="宋体"/>
          <w:color w:val="auto"/>
          <w:sz w:val="24"/>
          <w:highlight w:val="none"/>
          <w:u w:val="single"/>
        </w:rPr>
        <w:t xml:space="preserve">                   </w:t>
      </w:r>
    </w:p>
    <w:p w14:paraId="17568C14">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14:paraId="6E489016">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w:t>
      </w:r>
    </w:p>
    <w:p w14:paraId="70CC9E5D">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74E45815">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77141908">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p>
    <w:p w14:paraId="59114E67">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开户银行：</w:t>
      </w:r>
      <w:r>
        <w:rPr>
          <w:rFonts w:hint="eastAsia" w:ascii="宋体" w:hAnsi="宋体" w:eastAsia="宋体" w:cs="宋体"/>
          <w:color w:val="auto"/>
          <w:sz w:val="24"/>
          <w:highlight w:val="none"/>
          <w:u w:val="single"/>
        </w:rPr>
        <w:t xml:space="preserve">                   </w:t>
      </w:r>
    </w:p>
    <w:p w14:paraId="07F9A10F">
      <w:pPr>
        <w:spacing w:line="276"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0EA4758C">
      <w:pPr>
        <w:spacing w:line="276" w:lineRule="auto"/>
        <w:ind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p>
    <w:p w14:paraId="563E3F12">
      <w:pPr>
        <w:spacing w:line="480" w:lineRule="auto"/>
        <w:jc w:val="center"/>
        <w:rPr>
          <w:rFonts w:hint="eastAsia" w:ascii="宋体" w:hAnsi="宋体"/>
          <w:color w:val="auto"/>
          <w:sz w:val="24"/>
          <w:highlight w:val="none"/>
        </w:rPr>
      </w:pPr>
    </w:p>
    <w:p w14:paraId="2D066CC2">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ascii="宋体" w:hAnsi="宋体"/>
          <w:color w:val="auto"/>
          <w:sz w:val="36"/>
          <w:highlight w:val="none"/>
        </w:rPr>
        <w:br w:type="page"/>
      </w:r>
      <w:r>
        <w:rPr>
          <w:rFonts w:hint="eastAsia" w:ascii="宋体" w:hAnsi="宋体" w:eastAsia="宋体" w:cs="宋体"/>
          <w:b/>
          <w:bCs/>
          <w:snapToGrid/>
          <w:color w:val="auto"/>
          <w:w w:val="80"/>
          <w:kern w:val="2"/>
          <w:sz w:val="44"/>
          <w:szCs w:val="44"/>
          <w:highlight w:val="none"/>
        </w:rPr>
        <w:t>第六部分  响应文件组成</w:t>
      </w:r>
    </w:p>
    <w:p w14:paraId="6A87126F">
      <w:pPr>
        <w:widowControl/>
        <w:snapToGrid w:val="0"/>
        <w:spacing w:line="360" w:lineRule="auto"/>
        <w:ind w:firstLine="472" w:firstLineChars="196"/>
        <w:jc w:val="left"/>
        <w:rPr>
          <w:rFonts w:hint="eastAsia" w:ascii="宋体" w:hAnsi="宋体" w:eastAsia="宋体" w:cs="宋体"/>
          <w:b/>
          <w:bCs/>
          <w:snapToGrid/>
          <w:color w:val="auto"/>
          <w:kern w:val="2"/>
          <w:sz w:val="24"/>
          <w:highlight w:val="none"/>
        </w:rPr>
      </w:pPr>
    </w:p>
    <w:p w14:paraId="5ADB22DC">
      <w:pPr>
        <w:widowControl/>
        <w:snapToGrid w:val="0"/>
        <w:spacing w:line="360" w:lineRule="auto"/>
        <w:ind w:firstLine="472" w:firstLineChars="196"/>
        <w:jc w:val="left"/>
        <w:rPr>
          <w:rFonts w:ascii="宋体" w:hAnsi="Times New Roman" w:eastAsia="宋体"/>
          <w:b/>
          <w:bCs/>
          <w:snapToGrid/>
          <w:color w:val="auto"/>
          <w:kern w:val="2"/>
          <w:sz w:val="24"/>
          <w:highlight w:val="none"/>
        </w:rPr>
      </w:pPr>
      <w:r>
        <w:rPr>
          <w:rFonts w:hint="eastAsia" w:ascii="宋体" w:hAnsi="宋体" w:eastAsia="宋体" w:cs="宋体"/>
          <w:b/>
          <w:bCs/>
          <w:snapToGrid/>
          <w:color w:val="auto"/>
          <w:kern w:val="2"/>
          <w:sz w:val="24"/>
          <w:highlight w:val="none"/>
        </w:rPr>
        <w:t>响应文件由资格审查文件、</w:t>
      </w:r>
      <w:r>
        <w:rPr>
          <w:rFonts w:hint="eastAsia" w:ascii="宋体" w:hAnsi="宋体" w:eastAsia="宋体" w:cs="宋体"/>
          <w:b/>
          <w:color w:val="auto"/>
          <w:sz w:val="24"/>
          <w:highlight w:val="none"/>
        </w:rPr>
        <w:t>商务技术响应文件</w:t>
      </w:r>
      <w:r>
        <w:rPr>
          <w:rFonts w:hint="eastAsia" w:ascii="宋体" w:hAnsi="宋体" w:eastAsia="宋体" w:cs="宋体"/>
          <w:b/>
          <w:bCs/>
          <w:snapToGrid/>
          <w:color w:val="auto"/>
          <w:kern w:val="2"/>
          <w:sz w:val="24"/>
          <w:highlight w:val="none"/>
        </w:rPr>
        <w:t>、</w:t>
      </w:r>
      <w:r>
        <w:rPr>
          <w:rFonts w:hint="eastAsia" w:ascii="宋体" w:hAnsi="宋体" w:eastAsia="宋体" w:cs="宋体"/>
          <w:b/>
          <w:color w:val="auto"/>
          <w:sz w:val="24"/>
          <w:highlight w:val="none"/>
        </w:rPr>
        <w:t>报价响应文件</w:t>
      </w:r>
      <w:r>
        <w:rPr>
          <w:rFonts w:hint="eastAsia" w:ascii="宋体" w:hAnsi="宋体" w:eastAsia="宋体" w:cs="宋体"/>
          <w:b/>
          <w:bCs/>
          <w:snapToGrid/>
          <w:color w:val="auto"/>
          <w:kern w:val="2"/>
          <w:sz w:val="24"/>
          <w:highlight w:val="none"/>
        </w:rPr>
        <w:t>、电子响应文件四部分组成。本次采购应采用资格后审方式，供应商须将资格审查文件作为响应文件组成部分，按采购文件要求装订密封后一起递交。</w:t>
      </w:r>
    </w:p>
    <w:p w14:paraId="23D53966">
      <w:pPr>
        <w:snapToGrid w:val="0"/>
        <w:spacing w:line="360" w:lineRule="auto"/>
        <w:ind w:firstLine="496" w:firstLineChars="206"/>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（一）资格审查文件（单独密封，不能出现报价响应文件的内容）</w:t>
      </w:r>
    </w:p>
    <w:p w14:paraId="4607D1F9">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1、法定代表人身份证明书（格式见附件）；</w:t>
      </w:r>
    </w:p>
    <w:p w14:paraId="350F2815">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2、法人授权书（如有授权则须提供，格式见附件）；</w:t>
      </w:r>
    </w:p>
    <w:p w14:paraId="21817350">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3、供应商符合资格条件的声明函（格式见附件）；</w:t>
      </w:r>
    </w:p>
    <w:p w14:paraId="7E319B0D">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4、供应商提供法人或者其他组织的营业执照等证明文件复印件加盖公章；</w:t>
      </w:r>
    </w:p>
    <w:p w14:paraId="50163D81">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snapToGrid/>
          <w:color w:val="auto"/>
          <w:kern w:val="2"/>
          <w:sz w:val="24"/>
          <w:highlight w:val="none"/>
        </w:rPr>
        <w:t>5、供应商须具有建设行政主管部门颁发的</w:t>
      </w:r>
      <w:r>
        <w:rPr>
          <w:rFonts w:hint="eastAsia" w:ascii="宋体" w:hAnsi="宋体" w:eastAsia="宋体"/>
          <w:b/>
          <w:bCs/>
          <w:color w:val="auto"/>
          <w:sz w:val="24"/>
          <w:highlight w:val="none"/>
          <w:u w:val="single"/>
        </w:rPr>
        <w:t>消防设施工程专业承包二级及以上资质或建筑机电安装工程专业承包三级及以上资质</w:t>
      </w:r>
      <w:r>
        <w:rPr>
          <w:rFonts w:hint="eastAsia" w:ascii="宋体" w:hAnsi="宋体" w:eastAsia="宋体" w:cs="宋体"/>
          <w:snapToGrid/>
          <w:color w:val="auto"/>
          <w:kern w:val="2"/>
          <w:sz w:val="24"/>
          <w:highlight w:val="none"/>
        </w:rPr>
        <w:t>。</w:t>
      </w:r>
      <w:r>
        <w:rPr>
          <w:rFonts w:hint="eastAsia" w:ascii="宋体" w:hAnsi="宋体" w:eastAsia="宋体" w:cs="宋体"/>
          <w:color w:val="auto"/>
          <w:sz w:val="24"/>
          <w:highlight w:val="none"/>
        </w:rPr>
        <w:t>须提供有效的</w:t>
      </w:r>
      <w:r>
        <w:rPr>
          <w:rFonts w:hint="eastAsia" w:ascii="宋体" w:hAnsi="宋体" w:eastAsia="宋体" w:cs="宋体"/>
          <w:snapToGrid/>
          <w:color w:val="auto"/>
          <w:kern w:val="2"/>
          <w:sz w:val="24"/>
          <w:highlight w:val="none"/>
        </w:rPr>
        <w:t>资质</w:t>
      </w:r>
      <w:r>
        <w:rPr>
          <w:rFonts w:hint="eastAsia" w:ascii="宋体" w:hAnsi="宋体" w:eastAsia="宋体" w:cs="宋体"/>
          <w:color w:val="auto"/>
          <w:sz w:val="24"/>
          <w:highlight w:val="none"/>
        </w:rPr>
        <w:t>证书原件的复印件并加盖单位公章。</w:t>
      </w:r>
    </w:p>
    <w:p w14:paraId="00425A67">
      <w:pPr>
        <w:snapToGrid w:val="0"/>
        <w:spacing w:line="360" w:lineRule="auto"/>
        <w:ind w:firstLine="494" w:firstLineChars="206"/>
        <w:outlineLvl w:val="1"/>
        <w:rPr>
          <w:rFonts w:hint="eastAsia" w:ascii="宋体" w:hAnsi="宋体" w:eastAsia="宋体" w:cs="宋体"/>
          <w:color w:val="auto"/>
          <w:highlight w:val="none"/>
        </w:rPr>
      </w:pPr>
      <w:r>
        <w:rPr>
          <w:rFonts w:hint="eastAsia" w:ascii="宋体" w:hAnsi="宋体" w:eastAsia="宋体"/>
          <w:color w:val="auto"/>
          <w:sz w:val="24"/>
          <w:highlight w:val="none"/>
        </w:rPr>
        <w:t>6、</w:t>
      </w:r>
      <w:r>
        <w:rPr>
          <w:rFonts w:hint="eastAsia" w:ascii="宋体" w:hAnsi="宋体" w:eastAsia="宋体" w:cs="宋体"/>
          <w:snapToGrid/>
          <w:color w:val="auto"/>
          <w:kern w:val="2"/>
          <w:sz w:val="24"/>
          <w:highlight w:val="none"/>
        </w:rPr>
        <w:t>供应商须具有效的安全生产许可证。须提供：有效的安全生产许可证原件的复印件</w:t>
      </w:r>
      <w:r>
        <w:rPr>
          <w:rFonts w:hint="eastAsia" w:ascii="宋体" w:hAnsi="宋体" w:eastAsia="宋体" w:cs="宋体"/>
          <w:color w:val="auto"/>
          <w:sz w:val="24"/>
          <w:highlight w:val="none"/>
        </w:rPr>
        <w:t>并加盖单位公章</w:t>
      </w:r>
      <w:r>
        <w:rPr>
          <w:rFonts w:hint="eastAsia" w:ascii="宋体" w:hAnsi="宋体" w:eastAsia="宋体"/>
          <w:color w:val="auto"/>
          <w:sz w:val="24"/>
          <w:highlight w:val="none"/>
        </w:rPr>
        <w:t>。</w:t>
      </w:r>
    </w:p>
    <w:p w14:paraId="0C92E169">
      <w:pPr>
        <w:adjustRightInd w:val="0"/>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拟派项目负责人须具有有效的机电工程专业贰级及以上的注册建造师资格，同时具有安全生产考核合格证（B证）。须同时提供拟派项目负责人注册建造师证书及安全生产考核合格证（B证）原件的复印件并加盖单位公章；</w:t>
      </w:r>
    </w:p>
    <w:p w14:paraId="79DE3144">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8、拟派项目负责人必须为供应商的正式员工。须提供供应商与其双方签订的有效劳动合同书及社保机构出具并盖章的供应商为其缴纳的2025年9月-2025年11月任意一个月</w:t>
      </w:r>
      <w:r>
        <w:rPr>
          <w:rFonts w:ascii="宋体" w:hAnsi="宋体" w:eastAsia="宋体" w:cs="宋体"/>
          <w:color w:val="auto"/>
          <w:sz w:val="24"/>
          <w:highlight w:val="none"/>
        </w:rPr>
        <w:t>的社会保险缴费清单</w:t>
      </w:r>
      <w:r>
        <w:rPr>
          <w:rFonts w:hint="eastAsia" w:ascii="宋体" w:hAnsi="宋体" w:eastAsia="宋体" w:cs="宋体"/>
          <w:color w:val="auto"/>
          <w:sz w:val="24"/>
          <w:highlight w:val="none"/>
        </w:rPr>
        <w:t>（可提供官网打印的具有二维码或验证码的缴费清单）复印件并加盖单位公章；</w:t>
      </w:r>
    </w:p>
    <w:p w14:paraId="5C14E7CA">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9、提供供应商拟派项目负责人的无在建工程承诺原件（格式见附件，正本中必须为原件）；</w:t>
      </w:r>
    </w:p>
    <w:p w14:paraId="290D293E">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10、中小企业声明函或残疾人福利性单位声明函或监狱和戒毒企业证明材料（格式见附件，正本中必须为原件）；</w:t>
      </w:r>
    </w:p>
    <w:p w14:paraId="78F408D6">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11、其他需要提交的资格审查证明材料。</w:t>
      </w:r>
    </w:p>
    <w:p w14:paraId="4503E75D">
      <w:pPr>
        <w:snapToGrid w:val="0"/>
        <w:spacing w:line="360" w:lineRule="auto"/>
        <w:ind w:firstLine="496" w:firstLineChars="206"/>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以上材料如为复印件均需加盖投标供应商公章。</w:t>
      </w:r>
    </w:p>
    <w:p w14:paraId="41CFAABC">
      <w:pPr>
        <w:snapToGrid w:val="0"/>
        <w:spacing w:line="360" w:lineRule="auto"/>
        <w:ind w:firstLine="496" w:firstLineChars="206"/>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（二）商务技术响应文件（单独密封，不能出现报价响应文件的内容）</w:t>
      </w:r>
    </w:p>
    <w:p w14:paraId="56D5C0DE">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1、合同条款偏离表（格式见附件）；</w:t>
      </w:r>
    </w:p>
    <w:p w14:paraId="6154E4EE">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2、采购需求偏离表（格式见附件）；</w:t>
      </w:r>
    </w:p>
    <w:p w14:paraId="10DF67F7">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snapToGrid/>
          <w:color w:val="auto"/>
          <w:sz w:val="24"/>
          <w:highlight w:val="none"/>
        </w:rPr>
        <w:t>本项目因涉及完工后与原消防设备调试，响应供应商需自行踏勘现场并承诺与原供应商对接（现有的消防主机为能美产品），且对接所需费用包含在本次响应报价中。同时承诺对现场原有设备进行保护，如因供应商施工原因造成的损坏需自行承担。供应商提供承诺函加盖单位公章，格式自拟。未提供或未按要求提供作无效响应处理。</w:t>
      </w:r>
    </w:p>
    <w:p w14:paraId="65A4189D">
      <w:pPr>
        <w:snapToGrid w:val="0"/>
        <w:spacing w:line="360" w:lineRule="auto"/>
        <w:ind w:firstLine="470" w:firstLineChars="196"/>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4、商务技术评分标准中须提供的相关得分佐证材料；</w:t>
      </w:r>
    </w:p>
    <w:p w14:paraId="63512D7A">
      <w:pPr>
        <w:snapToGrid w:val="0"/>
        <w:spacing w:line="360" w:lineRule="auto"/>
        <w:ind w:firstLine="494" w:firstLineChars="20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5、供应商认为需要提交的其他商务技术材料。</w:t>
      </w:r>
    </w:p>
    <w:p w14:paraId="3C4A977C">
      <w:pPr>
        <w:widowControl/>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（三）报价响应文件（单独装订密封）</w:t>
      </w:r>
    </w:p>
    <w:p w14:paraId="14A234AF">
      <w:pPr>
        <w:snapToGrid w:val="0"/>
        <w:spacing w:line="360" w:lineRule="auto"/>
        <w:ind w:firstLine="494" w:firstLineChars="20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1、磋商响应报价总表；</w:t>
      </w:r>
    </w:p>
    <w:p w14:paraId="2DCBDFBD">
      <w:pPr>
        <w:snapToGrid w:val="0"/>
        <w:spacing w:line="360" w:lineRule="auto"/>
        <w:ind w:firstLine="494" w:firstLineChars="20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2、已标价工程量清单（应用预算软件编制并打印）。</w:t>
      </w:r>
    </w:p>
    <w:p w14:paraId="0153180D">
      <w:pPr>
        <w:snapToGrid w:val="0"/>
        <w:spacing w:line="360" w:lineRule="auto"/>
        <w:ind w:firstLine="463" w:firstLineChars="192"/>
        <w:contextualSpacing/>
        <w:rPr>
          <w:rFonts w:hint="eastAsia" w:ascii="宋体" w:hAnsi="宋体" w:eastAsia="宋体" w:cs="宋体"/>
          <w:b/>
          <w:bCs/>
          <w:color w:val="auto"/>
          <w:sz w:val="24"/>
          <w:highlight w:val="none"/>
          <w:lang w:val="zh-CN"/>
        </w:rPr>
      </w:pPr>
      <w:r>
        <w:rPr>
          <w:rFonts w:hint="eastAsia" w:eastAsia="宋体" w:cs="宋体"/>
          <w:b/>
          <w:bCs/>
          <w:color w:val="auto"/>
          <w:sz w:val="24"/>
          <w:szCs w:val="21"/>
          <w:highlight w:val="none"/>
        </w:rPr>
        <w:t>（四）</w:t>
      </w:r>
      <w:r>
        <w:rPr>
          <w:rFonts w:hint="eastAsia" w:ascii="宋体" w:hAnsi="宋体" w:eastAsia="宋体" w:cs="宋体"/>
          <w:b/>
          <w:bCs/>
          <w:color w:val="auto"/>
          <w:sz w:val="24"/>
          <w:highlight w:val="none"/>
          <w:lang w:val="zh-CN"/>
        </w:rPr>
        <w:t>电子响应文件（一份、单独密封提供）</w:t>
      </w:r>
    </w:p>
    <w:p w14:paraId="6BCE5BA6">
      <w:pPr>
        <w:snapToGrid w:val="0"/>
        <w:spacing w:line="360" w:lineRule="auto"/>
        <w:ind w:firstLine="460" w:firstLineChars="192"/>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子响应文件的内容为“资格审查文件、商务技术响应文件、报价响应文件”的打印盖章（或电子签章）后的响应文件的扫描件（资格审查文件、商务技术响应文件、报价响应文件需分别逐页连续扫描为三个独立的PDF文件）。</w:t>
      </w:r>
    </w:p>
    <w:p w14:paraId="669EE098">
      <w:pPr>
        <w:pStyle w:val="2"/>
        <w:rPr>
          <w:color w:val="auto"/>
          <w:highlight w:val="none"/>
        </w:rPr>
      </w:pPr>
    </w:p>
    <w:p w14:paraId="781B252C">
      <w:pPr>
        <w:snapToGrid w:val="0"/>
        <w:spacing w:line="360" w:lineRule="auto"/>
        <w:ind w:firstLine="494" w:firstLineChars="206"/>
        <w:outlineLvl w:val="1"/>
        <w:rPr>
          <w:rFonts w:hint="eastAsia" w:ascii="宋体" w:hAnsi="宋体" w:eastAsia="宋体" w:cs="宋体"/>
          <w:color w:val="auto"/>
          <w:sz w:val="24"/>
          <w:highlight w:val="none"/>
        </w:rPr>
      </w:pPr>
    </w:p>
    <w:p w14:paraId="446DEFC9">
      <w:pPr>
        <w:widowControl/>
        <w:snapToGrid w:val="0"/>
        <w:spacing w:line="360" w:lineRule="auto"/>
        <w:jc w:val="left"/>
        <w:rPr>
          <w:rFonts w:ascii="宋体" w:hAnsi="Times New Roman" w:eastAsia="宋体"/>
          <w:b/>
          <w:bCs/>
          <w:snapToGrid/>
          <w:color w:val="auto"/>
          <w:kern w:val="2"/>
          <w:sz w:val="28"/>
          <w:szCs w:val="28"/>
          <w:highlight w:val="none"/>
        </w:rPr>
      </w:pPr>
      <w:r>
        <w:rPr>
          <w:rFonts w:hint="eastAsia" w:ascii="宋体" w:hAnsi="宋体" w:eastAsia="宋体" w:cs="宋体"/>
          <w:bCs/>
          <w:color w:val="auto"/>
          <w:sz w:val="24"/>
          <w:highlight w:val="none"/>
        </w:rPr>
        <w:br w:type="page"/>
      </w:r>
      <w:r>
        <w:rPr>
          <w:rFonts w:hint="eastAsia" w:ascii="宋体" w:hAnsi="宋体" w:eastAsia="宋体" w:cs="宋体"/>
          <w:b/>
          <w:bCs/>
          <w:snapToGrid/>
          <w:color w:val="auto"/>
          <w:kern w:val="2"/>
          <w:sz w:val="28"/>
          <w:szCs w:val="28"/>
          <w:highlight w:val="none"/>
        </w:rPr>
        <w:t>附件：</w:t>
      </w:r>
    </w:p>
    <w:p w14:paraId="4894D3F3">
      <w:pPr>
        <w:adjustRightInd w:val="0"/>
        <w:snapToGrid w:val="0"/>
        <w:spacing w:line="420" w:lineRule="exact"/>
        <w:jc w:val="center"/>
        <w:outlineLvl w:val="1"/>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（封面）</w:t>
      </w:r>
    </w:p>
    <w:p w14:paraId="1093FAA1">
      <w:pPr>
        <w:spacing w:before="312" w:beforeLines="100" w:line="360" w:lineRule="exact"/>
        <w:jc w:val="center"/>
        <w:rPr>
          <w:rFonts w:hint="eastAsia" w:asciiTheme="majorEastAsia" w:hAnsiTheme="majorEastAsia" w:eastAsiaTheme="majorEastAsia" w:cstheme="majorEastAsia"/>
          <w:color w:val="auto"/>
          <w:w w:val="80"/>
          <w:kern w:val="44"/>
          <w:sz w:val="24"/>
          <w:highlight w:val="none"/>
        </w:rPr>
      </w:pPr>
    </w:p>
    <w:p w14:paraId="1802B4CD">
      <w:pPr>
        <w:spacing w:line="360" w:lineRule="auto"/>
        <w:jc w:val="center"/>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32"/>
          <w:szCs w:val="32"/>
          <w:highlight w:val="none"/>
        </w:rPr>
        <w:t>南通市政务中心电气火灾监控系统改造工程</w:t>
      </w:r>
    </w:p>
    <w:p w14:paraId="3ADEECCC">
      <w:pPr>
        <w:spacing w:line="360" w:lineRule="auto"/>
        <w:jc w:val="center"/>
        <w:rPr>
          <w:rFonts w:hint="eastAsia" w:asciiTheme="majorEastAsia" w:hAnsiTheme="majorEastAsia" w:eastAsiaTheme="majorEastAsia" w:cstheme="majorEastAsia"/>
          <w:b/>
          <w:bCs/>
          <w:color w:val="auto"/>
          <w:sz w:val="24"/>
          <w:highlight w:val="none"/>
        </w:rPr>
      </w:pPr>
    </w:p>
    <w:p w14:paraId="152F1D29">
      <w:pPr>
        <w:spacing w:line="360" w:lineRule="auto"/>
        <w:jc w:val="center"/>
        <w:rPr>
          <w:rFonts w:hint="eastAsia" w:asciiTheme="majorEastAsia" w:hAnsiTheme="majorEastAsia" w:eastAsiaTheme="majorEastAsia" w:cstheme="majorEastAsia"/>
          <w:b/>
          <w:bCs/>
          <w:color w:val="auto"/>
          <w:sz w:val="24"/>
          <w:highlight w:val="none"/>
        </w:rPr>
      </w:pPr>
    </w:p>
    <w:p w14:paraId="4B7E7992">
      <w:pPr>
        <w:spacing w:line="360" w:lineRule="auto"/>
        <w:jc w:val="center"/>
        <w:rPr>
          <w:rFonts w:hint="eastAsia" w:asciiTheme="majorEastAsia" w:hAnsiTheme="majorEastAsia" w:eastAsiaTheme="majorEastAsia" w:cstheme="majorEastAsia"/>
          <w:b/>
          <w:bCs/>
          <w:color w:val="auto"/>
          <w:sz w:val="24"/>
          <w:highlight w:val="none"/>
        </w:rPr>
      </w:pPr>
    </w:p>
    <w:p w14:paraId="4E0AC169">
      <w:pPr>
        <w:spacing w:line="360" w:lineRule="auto"/>
        <w:jc w:val="center"/>
        <w:rPr>
          <w:rFonts w:ascii="Times New Roman" w:hAnsi="Times New Roman" w:eastAsia="宋体" w:cs="宋体"/>
          <w:b/>
          <w:bCs/>
          <w:snapToGrid/>
          <w:color w:val="auto"/>
          <w:kern w:val="2"/>
          <w:sz w:val="36"/>
          <w:szCs w:val="36"/>
          <w:highlight w:val="none"/>
        </w:rPr>
      </w:pPr>
      <w:r>
        <w:rPr>
          <w:rFonts w:hint="eastAsia" w:ascii="Times New Roman" w:hAnsi="Times New Roman" w:eastAsia="宋体" w:cs="宋体"/>
          <w:b/>
          <w:bCs/>
          <w:snapToGrid/>
          <w:color w:val="auto"/>
          <w:kern w:val="2"/>
          <w:sz w:val="36"/>
          <w:szCs w:val="36"/>
          <w:highlight w:val="none"/>
        </w:rPr>
        <w:t>竞争性磋商响应文件</w:t>
      </w:r>
    </w:p>
    <w:p w14:paraId="0DAABE27">
      <w:pPr>
        <w:spacing w:line="520" w:lineRule="exact"/>
        <w:jc w:val="center"/>
        <w:rPr>
          <w:rFonts w:hint="eastAsia" w:asciiTheme="majorEastAsia" w:hAnsiTheme="majorEastAsia" w:eastAsiaTheme="majorEastAsia" w:cstheme="majorEastAsia"/>
          <w:color w:val="auto"/>
          <w:sz w:val="24"/>
          <w:highlight w:val="none"/>
        </w:rPr>
      </w:pPr>
    </w:p>
    <w:p w14:paraId="6A4D8BF2">
      <w:pPr>
        <w:spacing w:line="360" w:lineRule="auto"/>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对应竞争性磋商响应文件，相应填写：资格审查文件</w:t>
      </w:r>
    </w:p>
    <w:p w14:paraId="3BFEC271">
      <w:pPr>
        <w:spacing w:line="360" w:lineRule="auto"/>
        <w:ind w:firstLine="6160" w:firstLineChars="220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商务技术响应文件</w:t>
      </w:r>
    </w:p>
    <w:p w14:paraId="377648BC">
      <w:pPr>
        <w:spacing w:line="360" w:lineRule="auto"/>
        <w:ind w:firstLine="6160" w:firstLineChars="220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报价响应文件</w:t>
      </w:r>
    </w:p>
    <w:p w14:paraId="4FD12C69">
      <w:pPr>
        <w:spacing w:line="360" w:lineRule="auto"/>
        <w:ind w:firstLine="6160" w:firstLineChars="220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电子响应文件</w:t>
      </w:r>
    </w:p>
    <w:p w14:paraId="26A1A95D">
      <w:pPr>
        <w:spacing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w:t>
      </w:r>
    </w:p>
    <w:p w14:paraId="22EB19DF">
      <w:pPr>
        <w:spacing w:line="360" w:lineRule="exact"/>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8"/>
          <w:szCs w:val="28"/>
          <w:highlight w:val="none"/>
        </w:rPr>
        <w:t xml:space="preserve">项目编号： </w:t>
      </w:r>
    </w:p>
    <w:p w14:paraId="304C459F">
      <w:pPr>
        <w:spacing w:line="360" w:lineRule="exact"/>
        <w:jc w:val="center"/>
        <w:rPr>
          <w:rFonts w:hint="eastAsia" w:asciiTheme="majorEastAsia" w:hAnsiTheme="majorEastAsia" w:eastAsiaTheme="majorEastAsia" w:cstheme="majorEastAsia"/>
          <w:color w:val="auto"/>
          <w:sz w:val="24"/>
          <w:highlight w:val="none"/>
        </w:rPr>
      </w:pPr>
    </w:p>
    <w:p w14:paraId="7917B4C8">
      <w:pPr>
        <w:spacing w:line="360" w:lineRule="exact"/>
        <w:jc w:val="center"/>
        <w:rPr>
          <w:rFonts w:hint="eastAsia" w:asciiTheme="majorEastAsia" w:hAnsiTheme="majorEastAsia" w:eastAsiaTheme="majorEastAsia" w:cstheme="majorEastAsia"/>
          <w:color w:val="auto"/>
          <w:sz w:val="24"/>
          <w:highlight w:val="none"/>
        </w:rPr>
      </w:pPr>
    </w:p>
    <w:p w14:paraId="1D7F5C90">
      <w:pPr>
        <w:spacing w:line="360" w:lineRule="exact"/>
        <w:jc w:val="center"/>
        <w:rPr>
          <w:rFonts w:hint="eastAsia" w:asciiTheme="majorEastAsia" w:hAnsiTheme="majorEastAsia" w:eastAsiaTheme="majorEastAsia" w:cstheme="majorEastAsia"/>
          <w:color w:val="auto"/>
          <w:sz w:val="24"/>
          <w:highlight w:val="none"/>
        </w:rPr>
      </w:pPr>
    </w:p>
    <w:p w14:paraId="3A0EB630">
      <w:pPr>
        <w:spacing w:line="360" w:lineRule="exact"/>
        <w:jc w:val="center"/>
        <w:rPr>
          <w:rFonts w:hint="eastAsia" w:asciiTheme="majorEastAsia" w:hAnsiTheme="majorEastAsia" w:eastAsiaTheme="majorEastAsia" w:cstheme="majorEastAsia"/>
          <w:color w:val="auto"/>
          <w:sz w:val="24"/>
          <w:highlight w:val="none"/>
        </w:rPr>
      </w:pPr>
    </w:p>
    <w:p w14:paraId="617019EA">
      <w:pPr>
        <w:spacing w:line="360" w:lineRule="exact"/>
        <w:jc w:val="center"/>
        <w:rPr>
          <w:rFonts w:hint="eastAsia" w:asciiTheme="majorEastAsia" w:hAnsiTheme="majorEastAsia" w:eastAsiaTheme="majorEastAsia" w:cstheme="majorEastAsia"/>
          <w:color w:val="auto"/>
          <w:sz w:val="24"/>
          <w:highlight w:val="none"/>
        </w:rPr>
      </w:pPr>
    </w:p>
    <w:p w14:paraId="249F14FB">
      <w:pPr>
        <w:spacing w:line="360" w:lineRule="exact"/>
        <w:jc w:val="center"/>
        <w:rPr>
          <w:rFonts w:hint="eastAsia" w:asciiTheme="majorEastAsia" w:hAnsiTheme="majorEastAsia" w:eastAsiaTheme="majorEastAsia" w:cstheme="majorEastAsia"/>
          <w:color w:val="auto"/>
          <w:sz w:val="24"/>
          <w:highlight w:val="none"/>
        </w:rPr>
      </w:pPr>
    </w:p>
    <w:p w14:paraId="05F4950A">
      <w:pPr>
        <w:spacing w:line="360" w:lineRule="exact"/>
        <w:jc w:val="center"/>
        <w:rPr>
          <w:rFonts w:hint="eastAsia" w:asciiTheme="majorEastAsia" w:hAnsiTheme="majorEastAsia" w:eastAsiaTheme="majorEastAsia" w:cstheme="majorEastAsia"/>
          <w:color w:val="auto"/>
          <w:sz w:val="24"/>
          <w:highlight w:val="none"/>
        </w:rPr>
      </w:pPr>
    </w:p>
    <w:p w14:paraId="1306486C">
      <w:pPr>
        <w:spacing w:line="360" w:lineRule="exact"/>
        <w:jc w:val="center"/>
        <w:rPr>
          <w:rFonts w:hint="eastAsia" w:asciiTheme="majorEastAsia" w:hAnsiTheme="majorEastAsia" w:eastAsiaTheme="majorEastAsia" w:cstheme="majorEastAsia"/>
          <w:color w:val="auto"/>
          <w:sz w:val="24"/>
          <w:highlight w:val="none"/>
        </w:rPr>
      </w:pPr>
    </w:p>
    <w:p w14:paraId="73151C04">
      <w:pPr>
        <w:spacing w:line="360" w:lineRule="exact"/>
        <w:jc w:val="center"/>
        <w:rPr>
          <w:rFonts w:hint="eastAsia" w:asciiTheme="majorEastAsia" w:hAnsiTheme="majorEastAsia" w:eastAsiaTheme="majorEastAsia" w:cstheme="majorEastAsia"/>
          <w:color w:val="auto"/>
          <w:sz w:val="24"/>
          <w:highlight w:val="none"/>
        </w:rPr>
      </w:pPr>
    </w:p>
    <w:p w14:paraId="0BE0BBEB">
      <w:pPr>
        <w:spacing w:line="360" w:lineRule="exact"/>
        <w:jc w:val="center"/>
        <w:rPr>
          <w:rFonts w:hint="eastAsia" w:asciiTheme="majorEastAsia" w:hAnsiTheme="majorEastAsia" w:eastAsiaTheme="majorEastAsia" w:cstheme="majorEastAsia"/>
          <w:color w:val="auto"/>
          <w:sz w:val="24"/>
          <w:highlight w:val="none"/>
        </w:rPr>
      </w:pPr>
    </w:p>
    <w:p w14:paraId="4795E097">
      <w:pPr>
        <w:rPr>
          <w:rFonts w:hint="eastAsia" w:asciiTheme="majorEastAsia" w:hAnsiTheme="majorEastAsia" w:eastAsiaTheme="majorEastAsia" w:cstheme="majorEastAsia"/>
          <w:color w:val="auto"/>
          <w:sz w:val="24"/>
          <w:highlight w:val="none"/>
        </w:rPr>
      </w:pPr>
    </w:p>
    <w:p w14:paraId="5BD5DFDD">
      <w:pPr>
        <w:spacing w:line="360" w:lineRule="exact"/>
        <w:jc w:val="center"/>
        <w:rPr>
          <w:rFonts w:hint="eastAsia" w:asciiTheme="majorEastAsia" w:hAnsiTheme="majorEastAsia" w:eastAsiaTheme="majorEastAsia" w:cstheme="majorEastAsia"/>
          <w:color w:val="auto"/>
          <w:sz w:val="30"/>
          <w:szCs w:val="30"/>
          <w:highlight w:val="none"/>
        </w:rPr>
      </w:pPr>
    </w:p>
    <w:p w14:paraId="36FA076A">
      <w:pPr>
        <w:adjustRightInd w:val="0"/>
        <w:snapToGrid w:val="0"/>
        <w:spacing w:line="480" w:lineRule="auto"/>
        <w:jc w:val="center"/>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z w:val="30"/>
          <w:szCs w:val="30"/>
          <w:highlight w:val="none"/>
        </w:rPr>
        <w:t>供应商：供应商全称</w:t>
      </w:r>
    </w:p>
    <w:p w14:paraId="30FB3717">
      <w:pPr>
        <w:jc w:val="center"/>
        <w:rPr>
          <w:rFonts w:hint="eastAsia" w:asciiTheme="majorEastAsia" w:hAnsiTheme="majorEastAsia" w:eastAsiaTheme="majorEastAsia" w:cstheme="majorEastAsia"/>
          <w:b/>
          <w:color w:val="auto"/>
          <w:sz w:val="30"/>
          <w:szCs w:val="30"/>
          <w:highlight w:val="none"/>
        </w:rPr>
      </w:pPr>
      <w:r>
        <w:rPr>
          <w:rFonts w:hint="eastAsia" w:asciiTheme="majorEastAsia" w:hAnsiTheme="majorEastAsia" w:eastAsiaTheme="majorEastAsia" w:cstheme="majorEastAsia"/>
          <w:color w:val="auto"/>
          <w:sz w:val="30"/>
          <w:szCs w:val="30"/>
          <w:highlight w:val="none"/>
        </w:rPr>
        <w:t>二〇二五年  月  日</w:t>
      </w:r>
    </w:p>
    <w:p w14:paraId="307D2F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D83847A">
      <w:pPr>
        <w:snapToGrid w:val="0"/>
        <w:spacing w:line="520" w:lineRule="exact"/>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1、法定代表人身份证明</w:t>
      </w:r>
    </w:p>
    <w:p w14:paraId="497E2C56">
      <w:pPr>
        <w:snapToGrid w:val="0"/>
        <w:spacing w:line="520" w:lineRule="exact"/>
        <w:jc w:val="center"/>
        <w:textAlignment w:val="baseline"/>
        <w:rPr>
          <w:rFonts w:hint="eastAsia" w:ascii="宋体" w:hAnsi="宋体" w:eastAsia="宋体" w:cs="宋体"/>
          <w:color w:val="auto"/>
          <w:sz w:val="24"/>
          <w:highlight w:val="none"/>
        </w:rPr>
      </w:pPr>
    </w:p>
    <w:p w14:paraId="0877CE4A">
      <w:pPr>
        <w:snapToGrid w:val="0"/>
        <w:spacing w:line="360" w:lineRule="auto"/>
        <w:ind w:firstLine="480" w:firstLineChars="200"/>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u w:val="single"/>
        </w:rPr>
        <w:t xml:space="preserve"> 南通市机关事务管理局 ：</w:t>
      </w:r>
    </w:p>
    <w:p w14:paraId="7731A7B3">
      <w:p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color="000000"/>
        </w:rPr>
        <w:t>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color="000000"/>
        </w:rPr>
        <w:t>　　　　 　　　</w:t>
      </w:r>
      <w:r>
        <w:rPr>
          <w:rFonts w:hint="eastAsia" w:ascii="宋体" w:hAnsi="宋体" w:eastAsia="宋体" w:cs="宋体"/>
          <w:color w:val="auto"/>
          <w:sz w:val="24"/>
          <w:highlight w:val="none"/>
        </w:rPr>
        <w:t>职务，为法定代表人，特此证明。</w:t>
      </w:r>
    </w:p>
    <w:p w14:paraId="46FB6E6B">
      <w:p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36C7EA65">
      <w:pPr>
        <w:snapToGrid w:val="0"/>
        <w:spacing w:line="420" w:lineRule="exact"/>
        <w:ind w:firstLine="480" w:firstLineChars="200"/>
        <w:textAlignment w:val="baseline"/>
        <w:rPr>
          <w:rFonts w:hint="eastAsia" w:ascii="宋体" w:hAnsi="宋体" w:eastAsia="宋体" w:cs="宋体"/>
          <w:color w:val="auto"/>
          <w:sz w:val="24"/>
          <w:highlight w:val="none"/>
        </w:rPr>
      </w:pPr>
    </w:p>
    <w:p w14:paraId="2E77F145">
      <w:pPr>
        <w:snapToGrid w:val="0"/>
        <w:spacing w:line="420" w:lineRule="exact"/>
        <w:ind w:firstLine="480" w:firstLineChars="200"/>
        <w:textAlignment w:val="baseline"/>
        <w:rPr>
          <w:rFonts w:hint="eastAsia" w:ascii="宋体" w:hAnsi="宋体" w:eastAsia="宋体" w:cs="宋体"/>
          <w:color w:val="auto"/>
          <w:sz w:val="24"/>
          <w:highlight w:val="none"/>
          <w:u w:val="single"/>
        </w:rPr>
      </w:pPr>
    </w:p>
    <w:p w14:paraId="4A6FAFF8">
      <w:pPr>
        <w:snapToGrid w:val="0"/>
        <w:spacing w:line="480" w:lineRule="auto"/>
        <w:ind w:right="79"/>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竞争性磋商响应供应商：（单位盖章）</w:t>
      </w:r>
    </w:p>
    <w:p w14:paraId="39BE9702">
      <w:pPr>
        <w:snapToGrid w:val="0"/>
        <w:spacing w:line="420" w:lineRule="exact"/>
        <w:ind w:right="960" w:firstLine="484" w:firstLineChars="202"/>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w:t>
      </w:r>
    </w:p>
    <w:p w14:paraId="5FB4005D">
      <w:pPr>
        <w:snapToGrid w:val="0"/>
        <w:spacing w:line="420" w:lineRule="exact"/>
        <w:ind w:firstLine="484" w:firstLineChars="202"/>
        <w:jc w:val="left"/>
        <w:textAlignment w:val="baseline"/>
        <w:rPr>
          <w:rFonts w:hint="eastAsia" w:ascii="宋体" w:hAnsi="宋体" w:eastAsia="宋体" w:cs="宋体"/>
          <w:color w:val="auto"/>
          <w:sz w:val="24"/>
          <w:highlight w:val="none"/>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142C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trPr>
        <w:tc>
          <w:tcPr>
            <w:tcW w:w="7848" w:type="dxa"/>
          </w:tcPr>
          <w:p w14:paraId="177EEB6B">
            <w:pPr>
              <w:snapToGrid w:val="0"/>
              <w:spacing w:line="420" w:lineRule="exact"/>
              <w:ind w:firstLine="484" w:firstLineChars="202"/>
              <w:jc w:val="left"/>
              <w:textAlignment w:val="baseline"/>
              <w:rPr>
                <w:rFonts w:hint="eastAsia" w:ascii="宋体" w:hAnsi="宋体" w:eastAsia="宋体" w:cs="宋体"/>
                <w:color w:val="auto"/>
                <w:kern w:val="2"/>
                <w:sz w:val="24"/>
                <w:highlight w:val="none"/>
              </w:rPr>
            </w:pPr>
          </w:p>
          <w:p w14:paraId="7B1A3678">
            <w:pPr>
              <w:snapToGrid w:val="0"/>
              <w:spacing w:line="420" w:lineRule="exact"/>
              <w:ind w:firstLine="484" w:firstLineChars="202"/>
              <w:jc w:val="left"/>
              <w:textAlignment w:val="baseline"/>
              <w:rPr>
                <w:rFonts w:hint="eastAsia" w:ascii="宋体" w:hAnsi="宋体" w:eastAsia="宋体" w:cs="宋体"/>
                <w:color w:val="auto"/>
                <w:kern w:val="2"/>
                <w:sz w:val="24"/>
                <w:highlight w:val="none"/>
              </w:rPr>
            </w:pPr>
          </w:p>
          <w:p w14:paraId="37A88830">
            <w:pPr>
              <w:snapToGrid w:val="0"/>
              <w:spacing w:line="420" w:lineRule="exact"/>
              <w:jc w:val="center"/>
              <w:textAlignment w:val="baseline"/>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法定代表人身份证</w:t>
            </w:r>
            <w:r>
              <w:rPr>
                <w:rFonts w:hint="eastAsia" w:ascii="宋体" w:hAnsi="宋体" w:eastAsia="宋体" w:cs="宋体"/>
                <w:b/>
                <w:color w:val="auto"/>
                <w:kern w:val="2"/>
                <w:sz w:val="24"/>
                <w:highlight w:val="none"/>
              </w:rPr>
              <w:t>（正、反面）</w:t>
            </w:r>
            <w:r>
              <w:rPr>
                <w:rFonts w:hint="eastAsia" w:ascii="宋体" w:hAnsi="宋体" w:eastAsia="宋体" w:cs="宋体"/>
                <w:b/>
                <w:bCs/>
                <w:color w:val="auto"/>
                <w:kern w:val="2"/>
                <w:sz w:val="24"/>
                <w:highlight w:val="none"/>
              </w:rPr>
              <w:t>复印件或扫描件</w:t>
            </w:r>
          </w:p>
          <w:p w14:paraId="577D772C">
            <w:pPr>
              <w:snapToGrid w:val="0"/>
              <w:spacing w:line="420" w:lineRule="exact"/>
              <w:jc w:val="center"/>
              <w:textAlignment w:val="baseline"/>
              <w:rPr>
                <w:rFonts w:hint="eastAsia" w:ascii="宋体" w:hAnsi="宋体" w:eastAsia="宋体" w:cs="宋体"/>
                <w:b/>
                <w:bCs/>
                <w:color w:val="auto"/>
                <w:kern w:val="2"/>
                <w:sz w:val="24"/>
                <w:highlight w:val="none"/>
              </w:rPr>
            </w:pPr>
          </w:p>
          <w:p w14:paraId="0351B5BE">
            <w:pPr>
              <w:snapToGrid w:val="0"/>
              <w:spacing w:line="420" w:lineRule="exact"/>
              <w:jc w:val="center"/>
              <w:textAlignment w:val="baseline"/>
              <w:rPr>
                <w:rFonts w:hint="eastAsia" w:ascii="宋体" w:hAnsi="宋体" w:eastAsia="宋体" w:cs="宋体"/>
                <w:b/>
                <w:bCs/>
                <w:color w:val="auto"/>
                <w:kern w:val="2"/>
                <w:sz w:val="24"/>
                <w:highlight w:val="none"/>
              </w:rPr>
            </w:pPr>
          </w:p>
          <w:p w14:paraId="70B5FCEF">
            <w:pPr>
              <w:snapToGrid w:val="0"/>
              <w:spacing w:line="420" w:lineRule="exact"/>
              <w:jc w:val="center"/>
              <w:textAlignment w:val="baseline"/>
              <w:rPr>
                <w:rFonts w:hint="eastAsia" w:ascii="宋体" w:hAnsi="宋体" w:eastAsia="宋体" w:cs="宋体"/>
                <w:b/>
                <w:bCs/>
                <w:color w:val="auto"/>
                <w:kern w:val="2"/>
                <w:sz w:val="24"/>
                <w:highlight w:val="none"/>
              </w:rPr>
            </w:pPr>
          </w:p>
          <w:p w14:paraId="10B53E89">
            <w:pPr>
              <w:snapToGrid w:val="0"/>
              <w:spacing w:line="420" w:lineRule="exact"/>
              <w:jc w:val="center"/>
              <w:textAlignment w:val="baseline"/>
              <w:rPr>
                <w:rFonts w:hint="eastAsia" w:ascii="宋体" w:hAnsi="宋体" w:eastAsia="宋体" w:cs="宋体"/>
                <w:color w:val="auto"/>
                <w:kern w:val="2"/>
                <w:sz w:val="24"/>
                <w:highlight w:val="none"/>
              </w:rPr>
            </w:pPr>
          </w:p>
        </w:tc>
      </w:tr>
    </w:tbl>
    <w:p w14:paraId="16A4C10A">
      <w:pPr>
        <w:snapToGrid w:val="0"/>
        <w:spacing w:line="420" w:lineRule="exact"/>
        <w:jc w:val="center"/>
        <w:textAlignment w:val="baseline"/>
        <w:rPr>
          <w:rFonts w:hint="eastAsia" w:ascii="宋体" w:hAnsi="宋体" w:eastAsia="宋体" w:cs="宋体"/>
          <w:color w:val="auto"/>
          <w:sz w:val="24"/>
          <w:highlight w:val="none"/>
        </w:rPr>
      </w:pPr>
    </w:p>
    <w:p w14:paraId="498E6889">
      <w:pPr>
        <w:snapToGrid w:val="0"/>
        <w:spacing w:line="420" w:lineRule="exact"/>
        <w:jc w:val="center"/>
        <w:textAlignment w:val="baseline"/>
        <w:rPr>
          <w:rFonts w:hint="eastAsia" w:ascii="宋体" w:hAnsi="宋体" w:eastAsia="宋体" w:cs="宋体"/>
          <w:color w:val="auto"/>
          <w:sz w:val="24"/>
          <w:highlight w:val="none"/>
        </w:rPr>
      </w:pPr>
    </w:p>
    <w:p w14:paraId="774D29AE">
      <w:pPr>
        <w:snapToGrid w:val="0"/>
        <w:spacing w:line="420" w:lineRule="exact"/>
        <w:jc w:val="center"/>
        <w:textAlignment w:val="baseline"/>
        <w:rPr>
          <w:rFonts w:hint="eastAsia" w:ascii="宋体" w:hAnsi="宋体" w:eastAsia="宋体" w:cs="宋体"/>
          <w:color w:val="auto"/>
          <w:sz w:val="24"/>
          <w:highlight w:val="none"/>
        </w:rPr>
      </w:pPr>
    </w:p>
    <w:p w14:paraId="6644F736">
      <w:pPr>
        <w:snapToGrid w:val="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textWrapping"/>
      </w:r>
    </w:p>
    <w:p w14:paraId="7ECCCE52">
      <w:pPr>
        <w:snapToGrid w:val="0"/>
        <w:spacing w:line="520" w:lineRule="exact"/>
        <w:jc w:val="center"/>
        <w:textAlignment w:val="baseline"/>
        <w:rPr>
          <w:rFonts w:hint="eastAsia" w:ascii="宋体" w:hAnsi="宋体" w:eastAsia="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eastAsia="宋体" w:cs="宋体"/>
          <w:b/>
          <w:color w:val="auto"/>
          <w:sz w:val="28"/>
          <w:szCs w:val="28"/>
          <w:highlight w:val="none"/>
        </w:rPr>
        <w:t>授权委托书</w:t>
      </w:r>
    </w:p>
    <w:p w14:paraId="12141BB9">
      <w:pPr>
        <w:snapToGrid w:val="0"/>
        <w:spacing w:line="520" w:lineRule="exact"/>
        <w:jc w:val="center"/>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（如委托代理人参加磋商，须出示此证明）</w:t>
      </w:r>
    </w:p>
    <w:p w14:paraId="28784C78">
      <w:pPr>
        <w:snapToGrid w:val="0"/>
        <w:spacing w:line="520" w:lineRule="exact"/>
        <w:jc w:val="center"/>
        <w:textAlignment w:val="baseline"/>
        <w:rPr>
          <w:rFonts w:hint="eastAsia" w:ascii="宋体" w:hAnsi="宋体" w:eastAsia="宋体" w:cs="宋体"/>
          <w:bCs/>
          <w:color w:val="auto"/>
          <w:sz w:val="24"/>
          <w:highlight w:val="none"/>
        </w:rPr>
      </w:pPr>
    </w:p>
    <w:p w14:paraId="2A1A5D47">
      <w:pPr>
        <w:snapToGrid w:val="0"/>
        <w:spacing w:line="360" w:lineRule="auto"/>
        <w:textAlignment w:val="baseline"/>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u w:val="single"/>
        </w:rPr>
        <w:t xml:space="preserve"> 南通市机关事务管理局 ：</w:t>
      </w:r>
    </w:p>
    <w:p w14:paraId="507943C9">
      <w:pPr>
        <w:snapToGrid w:val="0"/>
        <w:spacing w:line="360" w:lineRule="auto"/>
        <w:ind w:firstLine="484" w:firstLineChars="202"/>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（供应商名称）的法定代表人，现授权委托</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rPr>
        <w:t>（姓名）为我公司代理人，以本公司的名义参加本项目的竞争性磋商响应活动。</w:t>
      </w: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在开标、评审磋商活动、合同谈判过程中所签署的一切文件和处理与之有关的一切事务，我均予以承认。</w:t>
      </w:r>
    </w:p>
    <w:p w14:paraId="572A4B70">
      <w:pPr>
        <w:snapToGrid w:val="0"/>
        <w:spacing w:line="360" w:lineRule="auto"/>
        <w:ind w:firstLine="484" w:firstLineChars="202"/>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无转委权。特此委托。</w:t>
      </w:r>
    </w:p>
    <w:p w14:paraId="0C9CE43A">
      <w:pPr>
        <w:pStyle w:val="34"/>
        <w:snapToGrid w:val="0"/>
        <w:spacing w:line="360" w:lineRule="auto"/>
        <w:textAlignment w:val="baseline"/>
        <w:rPr>
          <w:rFonts w:hint="eastAsia" w:ascii="宋体" w:hAnsi="宋体" w:cs="宋体"/>
          <w:color w:val="auto"/>
          <w:sz w:val="24"/>
          <w:szCs w:val="24"/>
          <w:highlight w:val="none"/>
        </w:rPr>
      </w:pPr>
    </w:p>
    <w:p w14:paraId="79EC450E">
      <w:pPr>
        <w:snapToGrid w:val="0"/>
        <w:spacing w:line="360" w:lineRule="auto"/>
        <w:ind w:firstLine="972" w:firstLineChars="405"/>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78222EEE">
      <w:pPr>
        <w:snapToGrid w:val="0"/>
        <w:spacing w:line="360" w:lineRule="auto"/>
        <w:ind w:firstLine="972" w:firstLineChars="405"/>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身份证号：</w:t>
      </w:r>
    </w:p>
    <w:p w14:paraId="526F629C">
      <w:pPr>
        <w:snapToGrid w:val="0"/>
        <w:spacing w:line="360" w:lineRule="auto"/>
        <w:ind w:firstLine="972" w:firstLineChars="405"/>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委托代理人</w:t>
      </w:r>
      <w:r>
        <w:rPr>
          <w:rFonts w:hint="eastAsia" w:ascii="宋体" w:hAnsi="宋体" w:eastAsia="宋体" w:cs="宋体"/>
          <w:color w:val="auto"/>
          <w:sz w:val="24"/>
          <w:highlight w:val="none"/>
        </w:rPr>
        <w:t>签字：</w:t>
      </w:r>
    </w:p>
    <w:p w14:paraId="1626E825">
      <w:pPr>
        <w:pStyle w:val="34"/>
        <w:rPr>
          <w:rFonts w:hint="eastAsia" w:ascii="宋体" w:hAnsi="宋体" w:cs="宋体"/>
          <w:color w:val="auto"/>
          <w:sz w:val="24"/>
          <w:szCs w:val="24"/>
          <w:highlight w:val="none"/>
        </w:rPr>
      </w:pPr>
    </w:p>
    <w:p w14:paraId="6DA49560">
      <w:pPr>
        <w:snapToGrid w:val="0"/>
        <w:spacing w:line="480" w:lineRule="auto"/>
        <w:ind w:right="79" w:firstLine="5040" w:firstLineChars="2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竞争性磋商响应供应商：（单位盖章）</w:t>
      </w:r>
    </w:p>
    <w:p w14:paraId="5E037E15">
      <w:pPr>
        <w:snapToGrid w:val="0"/>
        <w:spacing w:line="420" w:lineRule="exact"/>
        <w:ind w:firstLine="5040" w:firstLineChars="2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w:t>
      </w:r>
    </w:p>
    <w:p w14:paraId="4708CF5C">
      <w:pPr>
        <w:snapToGrid w:val="0"/>
        <w:spacing w:line="420" w:lineRule="exact"/>
        <w:ind w:firstLine="484" w:firstLineChars="202"/>
        <w:jc w:val="left"/>
        <w:textAlignment w:val="baseline"/>
        <w:rPr>
          <w:rFonts w:hint="eastAsia" w:ascii="宋体" w:hAnsi="宋体" w:eastAsia="宋体" w:cs="宋体"/>
          <w:color w:val="auto"/>
          <w:sz w:val="24"/>
          <w:highlight w:val="none"/>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0AAD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6" w:hRule="atLeast"/>
        </w:trPr>
        <w:tc>
          <w:tcPr>
            <w:tcW w:w="7236" w:type="dxa"/>
          </w:tcPr>
          <w:p w14:paraId="3807CD32">
            <w:pPr>
              <w:snapToGrid w:val="0"/>
              <w:spacing w:line="420" w:lineRule="exact"/>
              <w:ind w:firstLine="484" w:firstLineChars="202"/>
              <w:jc w:val="left"/>
              <w:textAlignment w:val="baseline"/>
              <w:rPr>
                <w:rFonts w:hint="eastAsia" w:ascii="宋体" w:hAnsi="宋体" w:eastAsia="宋体" w:cs="宋体"/>
                <w:color w:val="auto"/>
                <w:kern w:val="2"/>
                <w:sz w:val="24"/>
                <w:highlight w:val="none"/>
              </w:rPr>
            </w:pPr>
          </w:p>
          <w:p w14:paraId="1E57C9AA">
            <w:pPr>
              <w:snapToGrid w:val="0"/>
              <w:spacing w:line="420" w:lineRule="exact"/>
              <w:jc w:val="center"/>
              <w:textAlignment w:val="baseline"/>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委托代理人身份证</w:t>
            </w:r>
            <w:r>
              <w:rPr>
                <w:rFonts w:hint="eastAsia" w:ascii="宋体" w:hAnsi="宋体" w:eastAsia="宋体" w:cs="宋体"/>
                <w:b/>
                <w:color w:val="auto"/>
                <w:kern w:val="2"/>
                <w:sz w:val="24"/>
                <w:highlight w:val="none"/>
              </w:rPr>
              <w:t>（正、反面）</w:t>
            </w:r>
            <w:r>
              <w:rPr>
                <w:rFonts w:hint="eastAsia" w:ascii="宋体" w:hAnsi="宋体" w:eastAsia="宋体" w:cs="宋体"/>
                <w:b/>
                <w:bCs/>
                <w:color w:val="auto"/>
                <w:kern w:val="2"/>
                <w:sz w:val="24"/>
                <w:highlight w:val="none"/>
              </w:rPr>
              <w:t>复印件或扫描件</w:t>
            </w:r>
          </w:p>
          <w:p w14:paraId="28E031B6">
            <w:pPr>
              <w:snapToGrid w:val="0"/>
              <w:spacing w:line="420" w:lineRule="exact"/>
              <w:jc w:val="center"/>
              <w:textAlignment w:val="baseline"/>
              <w:rPr>
                <w:rFonts w:hint="eastAsia" w:ascii="宋体" w:hAnsi="宋体" w:eastAsia="宋体" w:cs="宋体"/>
                <w:b/>
                <w:bCs/>
                <w:color w:val="auto"/>
                <w:kern w:val="2"/>
                <w:sz w:val="24"/>
                <w:highlight w:val="none"/>
              </w:rPr>
            </w:pPr>
          </w:p>
          <w:p w14:paraId="3BDFDA60">
            <w:pPr>
              <w:snapToGrid w:val="0"/>
              <w:spacing w:line="420" w:lineRule="exact"/>
              <w:jc w:val="center"/>
              <w:textAlignment w:val="baseline"/>
              <w:rPr>
                <w:rFonts w:hint="eastAsia" w:ascii="宋体" w:hAnsi="宋体" w:eastAsia="宋体" w:cs="宋体"/>
                <w:b/>
                <w:bCs/>
                <w:color w:val="auto"/>
                <w:kern w:val="2"/>
                <w:sz w:val="24"/>
                <w:highlight w:val="none"/>
              </w:rPr>
            </w:pPr>
          </w:p>
          <w:p w14:paraId="15C964C0">
            <w:pPr>
              <w:snapToGrid w:val="0"/>
              <w:spacing w:line="420" w:lineRule="exact"/>
              <w:jc w:val="center"/>
              <w:textAlignment w:val="baseline"/>
              <w:rPr>
                <w:rFonts w:hint="eastAsia" w:ascii="宋体" w:hAnsi="宋体" w:eastAsia="宋体" w:cs="宋体"/>
                <w:color w:val="auto"/>
                <w:kern w:val="2"/>
                <w:sz w:val="24"/>
                <w:highlight w:val="none"/>
              </w:rPr>
            </w:pPr>
          </w:p>
          <w:p w14:paraId="6A2AE55A">
            <w:pPr>
              <w:snapToGrid w:val="0"/>
              <w:spacing w:line="420" w:lineRule="exact"/>
              <w:jc w:val="center"/>
              <w:textAlignment w:val="baseline"/>
              <w:rPr>
                <w:rFonts w:hint="eastAsia" w:ascii="宋体" w:hAnsi="宋体" w:eastAsia="宋体" w:cs="宋体"/>
                <w:color w:val="auto"/>
                <w:kern w:val="2"/>
                <w:sz w:val="24"/>
                <w:highlight w:val="none"/>
              </w:rPr>
            </w:pPr>
          </w:p>
        </w:tc>
      </w:tr>
    </w:tbl>
    <w:p w14:paraId="3FCAB235">
      <w:pPr>
        <w:snapToGrid w:val="0"/>
        <w:spacing w:line="420" w:lineRule="exact"/>
        <w:jc w:val="center"/>
        <w:textAlignment w:val="baseline"/>
        <w:rPr>
          <w:rFonts w:hint="eastAsia" w:ascii="宋体" w:hAnsi="宋体" w:eastAsia="宋体" w:cs="宋体"/>
          <w:color w:val="auto"/>
          <w:sz w:val="24"/>
          <w:highlight w:val="none"/>
        </w:rPr>
      </w:pPr>
    </w:p>
    <w:p w14:paraId="5E236F06">
      <w:pPr>
        <w:snapToGrid w:val="0"/>
        <w:spacing w:line="420" w:lineRule="exact"/>
        <w:jc w:val="center"/>
        <w:textAlignment w:val="baseline"/>
        <w:rPr>
          <w:rFonts w:hint="eastAsia" w:ascii="宋体" w:hAnsi="宋体" w:eastAsia="宋体" w:cs="宋体"/>
          <w:color w:val="auto"/>
          <w:sz w:val="24"/>
          <w:highlight w:val="none"/>
        </w:rPr>
      </w:pPr>
    </w:p>
    <w:p w14:paraId="106715DF">
      <w:pPr>
        <w:snapToGrid w:val="0"/>
        <w:spacing w:line="42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注：如为委托代理人参加项目竞争性磋商响应，须将身份证原件带至竞争性磋商现场备查。</w:t>
      </w:r>
    </w:p>
    <w:p w14:paraId="5DBEB393">
      <w:pPr>
        <w:jc w:val="center"/>
        <w:rPr>
          <w:rFonts w:hint="eastAsia" w:ascii="宋体" w:hAnsi="宋体" w:eastAsia="宋体" w:cs="宋体"/>
          <w:b/>
          <w:snapToGrid/>
          <w:color w:val="auto"/>
          <w:kern w:val="2"/>
          <w:sz w:val="28"/>
          <w:szCs w:val="28"/>
          <w:highlight w:val="none"/>
        </w:rPr>
      </w:pPr>
      <w:r>
        <w:rPr>
          <w:rFonts w:hint="eastAsia" w:cs="宋体"/>
          <w:color w:val="auto"/>
          <w:sz w:val="24"/>
          <w:highlight w:val="none"/>
        </w:rPr>
        <w:br w:type="page"/>
      </w:r>
      <w:r>
        <w:rPr>
          <w:rFonts w:hint="eastAsia" w:ascii="宋体" w:hAnsi="宋体" w:eastAsia="宋体" w:cs="宋体"/>
          <w:b/>
          <w:snapToGrid/>
          <w:color w:val="auto"/>
          <w:kern w:val="2"/>
          <w:sz w:val="28"/>
          <w:szCs w:val="28"/>
          <w:highlight w:val="none"/>
        </w:rPr>
        <w:t>3、</w:t>
      </w:r>
      <w:bookmarkStart w:id="227" w:name="_Hlk129703696"/>
      <w:r>
        <w:rPr>
          <w:rFonts w:hint="eastAsia" w:ascii="宋体" w:hAnsi="宋体" w:eastAsia="宋体" w:cs="宋体"/>
          <w:b/>
          <w:snapToGrid/>
          <w:color w:val="auto"/>
          <w:kern w:val="2"/>
          <w:sz w:val="28"/>
          <w:szCs w:val="28"/>
          <w:highlight w:val="none"/>
        </w:rPr>
        <w:t>投标人符合资格条件的声明函</w:t>
      </w:r>
      <w:bookmarkEnd w:id="227"/>
    </w:p>
    <w:p w14:paraId="77FBE4A4">
      <w:pPr>
        <w:spacing w:line="460" w:lineRule="exact"/>
        <w:rPr>
          <w:rFonts w:hint="eastAsia" w:ascii="宋体" w:hAnsi="宋体" w:eastAsia="宋体"/>
          <w:b/>
          <w:bCs/>
          <w:snapToGrid/>
          <w:color w:val="auto"/>
          <w:kern w:val="2"/>
          <w:sz w:val="44"/>
          <w:szCs w:val="44"/>
          <w:highlight w:val="none"/>
        </w:rPr>
      </w:pPr>
    </w:p>
    <w:p w14:paraId="157F6A68">
      <w:pPr>
        <w:spacing w:line="460" w:lineRule="exact"/>
        <w:ind w:firstLine="480" w:firstLineChars="200"/>
        <w:rPr>
          <w:rFonts w:hint="eastAsia" w:ascii="宋体" w:hAnsi="宋体" w:eastAsia="宋体" w:cs="仿宋_GB2312"/>
          <w:b/>
          <w:bCs/>
          <w:snapToGrid/>
          <w:color w:val="auto"/>
          <w:kern w:val="2"/>
          <w:sz w:val="24"/>
          <w:highlight w:val="none"/>
        </w:rPr>
      </w:pPr>
      <w:r>
        <w:rPr>
          <w:rFonts w:hint="eastAsia" w:ascii="宋体" w:hAnsi="宋体" w:eastAsia="宋体" w:cs="仿宋_GB2312"/>
          <w:bCs/>
          <w:snapToGrid/>
          <w:color w:val="auto"/>
          <w:kern w:val="2"/>
          <w:sz w:val="24"/>
          <w:highlight w:val="none"/>
        </w:rPr>
        <w:t>我单位参加</w:t>
      </w:r>
      <w:r>
        <w:rPr>
          <w:rFonts w:hint="eastAsia" w:ascii="宋体" w:hAnsi="宋体" w:eastAsia="宋体" w:cs="仿宋_GB2312"/>
          <w:bCs/>
          <w:snapToGrid/>
          <w:color w:val="auto"/>
          <w:kern w:val="2"/>
          <w:sz w:val="24"/>
          <w:szCs w:val="21"/>
          <w:highlight w:val="none"/>
          <w:u w:val="single"/>
        </w:rPr>
        <w:t>________________ _</w:t>
      </w:r>
      <w:r>
        <w:rPr>
          <w:rFonts w:hint="eastAsia" w:ascii="宋体" w:hAnsi="宋体" w:eastAsia="宋体" w:cs="仿宋_GB2312"/>
          <w:bCs/>
          <w:snapToGrid/>
          <w:color w:val="auto"/>
          <w:kern w:val="2"/>
          <w:sz w:val="24"/>
          <w:szCs w:val="21"/>
          <w:highlight w:val="none"/>
        </w:rPr>
        <w:t>（项目名称）投标活动。针对采购文件规定做出如下声明：</w:t>
      </w:r>
    </w:p>
    <w:p w14:paraId="5421D0F3">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bCs/>
          <w:snapToGrid/>
          <w:color w:val="auto"/>
          <w:kern w:val="2"/>
          <w:sz w:val="24"/>
          <w:szCs w:val="21"/>
          <w:highlight w:val="none"/>
        </w:rPr>
        <w:t>1.我单位具有独立承担民事责任的能力；</w:t>
      </w:r>
    </w:p>
    <w:p w14:paraId="3059EAD2">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snapToGrid/>
          <w:color w:val="auto"/>
          <w:kern w:val="2"/>
          <w:sz w:val="24"/>
          <w:highlight w:val="none"/>
        </w:rPr>
        <w:t>2.我单位具有良好的商业信誉和健全的财务会计制度；</w:t>
      </w:r>
    </w:p>
    <w:p w14:paraId="04924D63">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snapToGrid/>
          <w:color w:val="auto"/>
          <w:kern w:val="2"/>
          <w:sz w:val="24"/>
          <w:highlight w:val="none"/>
        </w:rPr>
        <w:t>3.我单位具有履行合同所必需的设备和专业技术能力；</w:t>
      </w:r>
    </w:p>
    <w:p w14:paraId="7BAF934C">
      <w:pPr>
        <w:spacing w:line="460" w:lineRule="exact"/>
        <w:ind w:firstLine="480" w:firstLineChars="200"/>
        <w:rPr>
          <w:rFonts w:hint="eastAsia" w:ascii="宋体" w:hAnsi="宋体" w:eastAsia="宋体" w:cs="仿宋_GB2312"/>
          <w:snapToGrid/>
          <w:color w:val="auto"/>
          <w:kern w:val="2"/>
          <w:sz w:val="24"/>
          <w:highlight w:val="none"/>
        </w:rPr>
      </w:pPr>
      <w:r>
        <w:rPr>
          <w:rFonts w:hint="eastAsia" w:ascii="宋体" w:hAnsi="宋体" w:eastAsia="宋体" w:cs="仿宋_GB2312"/>
          <w:snapToGrid/>
          <w:color w:val="auto"/>
          <w:kern w:val="2"/>
          <w:sz w:val="24"/>
          <w:highlight w:val="none"/>
        </w:rPr>
        <w:t>4.我单位有依法缴纳税收和社会保障资金的良好记录；</w:t>
      </w:r>
    </w:p>
    <w:p w14:paraId="19B2BDA1">
      <w:pPr>
        <w:spacing w:line="460" w:lineRule="exact"/>
        <w:ind w:firstLine="480" w:firstLineChars="200"/>
        <w:rPr>
          <w:rFonts w:hint="eastAsia" w:ascii="宋体" w:hAnsi="宋体" w:eastAsia="宋体" w:cs="仿宋_GB2312"/>
          <w:snapToGrid/>
          <w:color w:val="auto"/>
          <w:kern w:val="2"/>
          <w:sz w:val="24"/>
          <w:highlight w:val="none"/>
        </w:rPr>
      </w:pPr>
      <w:r>
        <w:rPr>
          <w:rFonts w:ascii="宋体" w:hAnsi="宋体" w:eastAsia="宋体" w:cs="仿宋_GB2312"/>
          <w:snapToGrid/>
          <w:color w:val="auto"/>
          <w:kern w:val="2"/>
          <w:sz w:val="24"/>
          <w:highlight w:val="none"/>
        </w:rPr>
        <w:t>5</w:t>
      </w:r>
      <w:r>
        <w:rPr>
          <w:rFonts w:hint="eastAsia" w:ascii="宋体" w:hAnsi="宋体" w:eastAsia="宋体" w:cs="仿宋_GB2312"/>
          <w:snapToGrid/>
          <w:color w:val="auto"/>
          <w:kern w:val="2"/>
          <w:sz w:val="24"/>
          <w:highlight w:val="none"/>
        </w:rPr>
        <w:t>.我单位满足法律、行政法规规定的其他条件。</w:t>
      </w:r>
    </w:p>
    <w:p w14:paraId="79217611">
      <w:pPr>
        <w:spacing w:line="460" w:lineRule="exact"/>
        <w:ind w:firstLine="480" w:firstLineChars="200"/>
        <w:rPr>
          <w:rFonts w:hint="eastAsia" w:ascii="宋体" w:hAnsi="宋体" w:eastAsia="宋体" w:cs="仿宋_GB2312"/>
          <w:snapToGrid/>
          <w:color w:val="auto"/>
          <w:kern w:val="2"/>
          <w:sz w:val="24"/>
          <w:highlight w:val="none"/>
        </w:rPr>
      </w:pPr>
    </w:p>
    <w:p w14:paraId="13BB6D4E">
      <w:pPr>
        <w:spacing w:line="460" w:lineRule="exact"/>
        <w:ind w:firstLine="480" w:firstLineChars="200"/>
        <w:rPr>
          <w:rFonts w:hint="eastAsia" w:ascii="宋体" w:hAnsi="宋体" w:eastAsia="宋体" w:cs="仿宋_GB2312"/>
          <w:snapToGrid/>
          <w:color w:val="auto"/>
          <w:kern w:val="2"/>
          <w:sz w:val="24"/>
          <w:highlight w:val="none"/>
        </w:rPr>
      </w:pPr>
    </w:p>
    <w:p w14:paraId="185CF805">
      <w:pPr>
        <w:spacing w:line="460" w:lineRule="exact"/>
        <w:ind w:firstLine="480" w:firstLineChars="200"/>
        <w:rPr>
          <w:rFonts w:hint="eastAsia" w:ascii="宋体" w:hAnsi="宋体" w:eastAsia="宋体" w:cs="仿宋_GB2312"/>
          <w:bCs/>
          <w:snapToGrid/>
          <w:color w:val="auto"/>
          <w:kern w:val="2"/>
          <w:sz w:val="24"/>
          <w:szCs w:val="21"/>
          <w:highlight w:val="none"/>
        </w:rPr>
      </w:pPr>
    </w:p>
    <w:p w14:paraId="41A39183">
      <w:pPr>
        <w:spacing w:line="460" w:lineRule="exact"/>
        <w:ind w:firstLine="480" w:firstLineChars="200"/>
        <w:rPr>
          <w:rFonts w:hint="eastAsia" w:ascii="宋体" w:hAnsi="宋体" w:eastAsia="宋体" w:cs="仿宋_GB2312"/>
          <w:bCs/>
          <w:snapToGrid/>
          <w:color w:val="auto"/>
          <w:kern w:val="2"/>
          <w:sz w:val="24"/>
          <w:szCs w:val="21"/>
          <w:highlight w:val="none"/>
        </w:rPr>
      </w:pPr>
    </w:p>
    <w:p w14:paraId="3B12232F">
      <w:pPr>
        <w:spacing w:line="460" w:lineRule="exact"/>
        <w:ind w:firstLine="480" w:firstLineChars="200"/>
        <w:rPr>
          <w:rFonts w:hint="eastAsia" w:ascii="宋体" w:hAnsi="宋体" w:eastAsia="宋体" w:cs="仿宋_GB2312"/>
          <w:bCs/>
          <w:snapToGrid/>
          <w:color w:val="auto"/>
          <w:kern w:val="2"/>
          <w:sz w:val="24"/>
          <w:szCs w:val="21"/>
          <w:highlight w:val="none"/>
        </w:rPr>
      </w:pPr>
    </w:p>
    <w:p w14:paraId="41DC9EB0">
      <w:pPr>
        <w:spacing w:line="460" w:lineRule="exact"/>
        <w:ind w:firstLine="480" w:firstLineChars="200"/>
        <w:jc w:val="center"/>
        <w:rPr>
          <w:rFonts w:hint="eastAsia" w:ascii="宋体" w:hAnsi="宋体" w:eastAsia="宋体" w:cs="仿宋_GB2312"/>
          <w:bCs/>
          <w:snapToGrid/>
          <w:color w:val="auto"/>
          <w:kern w:val="2"/>
          <w:sz w:val="24"/>
          <w:szCs w:val="21"/>
          <w:highlight w:val="none"/>
        </w:rPr>
      </w:pPr>
      <w:r>
        <w:rPr>
          <w:rFonts w:hint="eastAsia" w:ascii="宋体" w:hAnsi="宋体" w:eastAsia="宋体" w:cs="仿宋_GB2312"/>
          <w:bCs/>
          <w:snapToGrid/>
          <w:color w:val="auto"/>
          <w:kern w:val="2"/>
          <w:sz w:val="24"/>
          <w:szCs w:val="21"/>
          <w:highlight w:val="none"/>
        </w:rPr>
        <w:t xml:space="preserve">                                             声明人名称（公章）：</w:t>
      </w:r>
    </w:p>
    <w:p w14:paraId="47C08CE5">
      <w:pPr>
        <w:spacing w:line="460" w:lineRule="exact"/>
        <w:ind w:firstLine="480" w:firstLineChars="200"/>
        <w:jc w:val="right"/>
        <w:rPr>
          <w:rFonts w:hint="eastAsia" w:ascii="宋体" w:hAnsi="宋体" w:eastAsia="宋体" w:cs="仿宋_GB2312"/>
          <w:bCs/>
          <w:snapToGrid/>
          <w:color w:val="auto"/>
          <w:kern w:val="2"/>
          <w:sz w:val="24"/>
          <w:szCs w:val="21"/>
          <w:highlight w:val="none"/>
        </w:rPr>
      </w:pPr>
    </w:p>
    <w:p w14:paraId="40EA078E">
      <w:pPr>
        <w:spacing w:line="460" w:lineRule="exact"/>
        <w:ind w:firstLine="480" w:firstLineChars="200"/>
        <w:jc w:val="right"/>
        <w:rPr>
          <w:rFonts w:hint="eastAsia" w:ascii="宋体" w:hAnsi="宋体" w:eastAsia="宋体" w:cs="仿宋_GB2312"/>
          <w:bCs/>
          <w:snapToGrid/>
          <w:color w:val="auto"/>
          <w:kern w:val="2"/>
          <w:sz w:val="24"/>
          <w:szCs w:val="21"/>
          <w:highlight w:val="none"/>
        </w:rPr>
      </w:pPr>
      <w:r>
        <w:rPr>
          <w:rFonts w:hint="eastAsia" w:ascii="宋体" w:hAnsi="宋体" w:eastAsia="宋体" w:cs="仿宋_GB2312"/>
          <w:bCs/>
          <w:snapToGrid/>
          <w:color w:val="auto"/>
          <w:kern w:val="2"/>
          <w:sz w:val="24"/>
          <w:szCs w:val="21"/>
          <w:highlight w:val="none"/>
        </w:rPr>
        <w:t xml:space="preserve">                                 日期：  年  月  日</w:t>
      </w:r>
    </w:p>
    <w:p w14:paraId="6D30AEAC">
      <w:pPr>
        <w:widowControl/>
        <w:jc w:val="left"/>
        <w:rPr>
          <w:rFonts w:hint="eastAsia" w:ascii="宋体" w:hAnsi="宋体" w:eastAsia="宋体" w:cs="宋体"/>
          <w:b/>
          <w:bCs/>
          <w:snapToGrid/>
          <w:color w:val="auto"/>
          <w:kern w:val="2"/>
          <w:sz w:val="28"/>
          <w:szCs w:val="28"/>
          <w:highlight w:val="none"/>
        </w:rPr>
      </w:pPr>
      <w:r>
        <w:rPr>
          <w:rFonts w:hint="eastAsia" w:ascii="宋体" w:hAnsi="宋体" w:eastAsia="宋体" w:cs="宋体"/>
          <w:b/>
          <w:bCs/>
          <w:snapToGrid/>
          <w:color w:val="auto"/>
          <w:kern w:val="2"/>
          <w:sz w:val="28"/>
          <w:szCs w:val="28"/>
          <w:highlight w:val="none"/>
        </w:rPr>
        <w:br w:type="page"/>
      </w:r>
    </w:p>
    <w:p w14:paraId="7FA9DF63">
      <w:pPr>
        <w:spacing w:before="240" w:line="312" w:lineRule="auto"/>
        <w:jc w:val="center"/>
        <w:rPr>
          <w:rFonts w:hint="eastAsia" w:ascii="宋体" w:hAnsi="宋体" w:eastAsia="宋体" w:cs="宋体"/>
          <w:b/>
          <w:bCs/>
          <w:snapToGrid/>
          <w:color w:val="auto"/>
          <w:kern w:val="2"/>
          <w:sz w:val="28"/>
          <w:szCs w:val="28"/>
          <w:highlight w:val="none"/>
        </w:rPr>
      </w:pPr>
      <w:r>
        <w:rPr>
          <w:rFonts w:hint="eastAsia" w:ascii="宋体" w:hAnsi="宋体" w:eastAsia="宋体" w:cs="宋体"/>
          <w:b/>
          <w:bCs/>
          <w:snapToGrid/>
          <w:color w:val="auto"/>
          <w:kern w:val="2"/>
          <w:sz w:val="28"/>
          <w:szCs w:val="28"/>
          <w:highlight w:val="none"/>
        </w:rPr>
        <w:t>4、无在建工程承诺</w:t>
      </w:r>
    </w:p>
    <w:p w14:paraId="32EBD02D">
      <w:pPr>
        <w:spacing w:line="560" w:lineRule="exact"/>
        <w:rPr>
          <w:rFonts w:hint="eastAsia" w:ascii="宋体" w:hAnsi="宋体" w:eastAsia="宋体" w:cs="宋体"/>
          <w:snapToGrid/>
          <w:color w:val="auto"/>
          <w:kern w:val="2"/>
          <w:sz w:val="24"/>
          <w:highlight w:val="none"/>
          <w:u w:val="single"/>
        </w:rPr>
      </w:pPr>
    </w:p>
    <w:p w14:paraId="1B9E27E4">
      <w:pPr>
        <w:spacing w:line="560" w:lineRule="exact"/>
        <w:rPr>
          <w:rFonts w:hint="eastAsia" w:ascii="宋体" w:hAnsi="宋体" w:eastAsia="宋体" w:cs="宋体"/>
          <w:snapToGrid/>
          <w:color w:val="auto"/>
          <w:kern w:val="2"/>
          <w:sz w:val="24"/>
          <w:highlight w:val="none"/>
          <w:u w:val="single"/>
        </w:rPr>
      </w:pPr>
      <w:r>
        <w:rPr>
          <w:rFonts w:hint="eastAsia" w:ascii="宋体" w:hAnsi="宋体" w:eastAsia="宋体" w:cs="宋体"/>
          <w:snapToGrid/>
          <w:color w:val="auto"/>
          <w:kern w:val="2"/>
          <w:sz w:val="24"/>
          <w:highlight w:val="none"/>
          <w:u w:val="single"/>
        </w:rPr>
        <w:t xml:space="preserve">  南通市机关事务管理局：</w:t>
      </w:r>
    </w:p>
    <w:p w14:paraId="1D6D0BA1">
      <w:pPr>
        <w:spacing w:line="5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我公司参加南通市政务中心电气火灾监控系统改造工程竞争性磋商活动的申请，拟派项目负责人为</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。现我公司向贵公司慎重承诺：</w:t>
      </w:r>
    </w:p>
    <w:p w14:paraId="7B63E2FF">
      <w:pPr>
        <w:spacing w:line="5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拟派项目负责人为</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 xml:space="preserve"> ，注册证号为</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420843BA">
      <w:pPr>
        <w:spacing w:line="560" w:lineRule="exact"/>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对违反承诺内容所引发的一切后果，我单位愿负法律责任。</w:t>
      </w:r>
    </w:p>
    <w:p w14:paraId="521B1069">
      <w:pPr>
        <w:spacing w:line="600" w:lineRule="exact"/>
        <w:ind w:firstLine="468" w:firstLineChars="195"/>
        <w:rPr>
          <w:rFonts w:hint="eastAsia" w:ascii="宋体" w:hAnsi="宋体" w:eastAsia="宋体"/>
          <w:color w:val="auto"/>
          <w:kern w:val="2"/>
          <w:sz w:val="24"/>
          <w:highlight w:val="none"/>
        </w:rPr>
      </w:pPr>
    </w:p>
    <w:p w14:paraId="73515DD0">
      <w:pPr>
        <w:spacing w:line="600" w:lineRule="exact"/>
        <w:rPr>
          <w:rFonts w:hint="eastAsia" w:ascii="宋体" w:hAnsi="宋体" w:eastAsia="宋体"/>
          <w:color w:val="auto"/>
          <w:kern w:val="2"/>
          <w:sz w:val="24"/>
          <w:highlight w:val="none"/>
        </w:rPr>
      </w:pPr>
    </w:p>
    <w:p w14:paraId="1388F451">
      <w:pPr>
        <w:snapToGrid w:val="0"/>
        <w:spacing w:line="360" w:lineRule="auto"/>
        <w:ind w:right="79" w:firstLine="5040" w:firstLineChars="2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供应商：（单位盖章）</w:t>
      </w:r>
    </w:p>
    <w:p w14:paraId="081195BB">
      <w:pPr>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法定代表人或委托代理人（签字或盖章）：            </w:t>
      </w:r>
    </w:p>
    <w:p w14:paraId="25A9D34B">
      <w:pPr>
        <w:adjustRightInd w:val="0"/>
        <w:snapToGrid w:val="0"/>
        <w:spacing w:line="480" w:lineRule="auto"/>
        <w:ind w:firstLine="5040" w:firstLineChars="2100"/>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日期：  年  月  日</w:t>
      </w:r>
    </w:p>
    <w:p w14:paraId="7F1BAC19">
      <w:pPr>
        <w:tabs>
          <w:tab w:val="left" w:pos="3585"/>
        </w:tabs>
        <w:spacing w:line="500" w:lineRule="exact"/>
        <w:rPr>
          <w:rFonts w:hint="eastAsia" w:ascii="宋体" w:hAnsi="宋体" w:eastAsia="宋体" w:cs="宋体"/>
          <w:color w:val="auto"/>
          <w:sz w:val="28"/>
          <w:szCs w:val="28"/>
          <w:highlight w:val="none"/>
        </w:rPr>
      </w:pPr>
    </w:p>
    <w:p w14:paraId="63A642B3">
      <w:pPr>
        <w:tabs>
          <w:tab w:val="left" w:pos="3585"/>
        </w:tabs>
        <w:spacing w:line="500" w:lineRule="exact"/>
        <w:rPr>
          <w:rFonts w:hint="eastAsia" w:ascii="宋体" w:hAnsi="宋体" w:eastAsia="宋体" w:cs="宋体"/>
          <w:color w:val="auto"/>
          <w:sz w:val="28"/>
          <w:szCs w:val="28"/>
          <w:highlight w:val="none"/>
        </w:rPr>
      </w:pPr>
    </w:p>
    <w:p w14:paraId="7C59C489">
      <w:pPr>
        <w:widowControl/>
        <w:jc w:val="left"/>
        <w:rPr>
          <w:rFonts w:hint="eastAsia" w:ascii="宋体" w:hAnsi="宋体" w:eastAsia="宋体"/>
          <w:b/>
          <w:bCs/>
          <w:color w:val="auto"/>
          <w:sz w:val="32"/>
          <w:szCs w:val="32"/>
          <w:highlight w:val="none"/>
        </w:rPr>
      </w:pPr>
    </w:p>
    <w:p w14:paraId="1AD5B11C">
      <w:pPr>
        <w:adjustRightInd w:val="0"/>
        <w:snapToGrid w:val="0"/>
        <w:spacing w:line="520" w:lineRule="exact"/>
        <w:jc w:val="center"/>
        <w:outlineLvl w:val="3"/>
        <w:rPr>
          <w:rFonts w:hint="eastAsia" w:ascii="宋体" w:hAnsi="宋体" w:eastAsia="宋体" w:cs="宋体"/>
          <w:snapToGrid/>
          <w:color w:val="auto"/>
          <w:kern w:val="2"/>
          <w:sz w:val="24"/>
          <w:highlight w:val="none"/>
        </w:rPr>
      </w:pPr>
      <w:r>
        <w:rPr>
          <w:rFonts w:eastAsia="仿宋_GB2312"/>
          <w:b/>
          <w:bCs/>
          <w:color w:val="auto"/>
          <w:sz w:val="32"/>
          <w:szCs w:val="32"/>
          <w:highlight w:val="none"/>
        </w:rPr>
        <w:br w:type="page"/>
      </w:r>
    </w:p>
    <w:p w14:paraId="12F84409">
      <w:pPr>
        <w:snapToGrid w:val="0"/>
        <w:spacing w:line="520" w:lineRule="exact"/>
        <w:ind w:firstLine="562" w:firstLineChars="200"/>
        <w:jc w:val="center"/>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5.1中小企业声明函（格式）</w:t>
      </w:r>
    </w:p>
    <w:p w14:paraId="5956BDF9">
      <w:pPr>
        <w:snapToGrid w:val="0"/>
        <w:spacing w:before="24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 号）的规定，本公司参加</w:t>
      </w:r>
      <w:r>
        <w:rPr>
          <w:rFonts w:hint="eastAsia" w:ascii="宋体" w:hAnsi="宋体" w:eastAsia="宋体" w:cs="宋体"/>
          <w:color w:val="auto"/>
          <w:sz w:val="24"/>
          <w:highlight w:val="none"/>
          <w:u w:val="single"/>
          <w:lang w:val="zh-CN"/>
        </w:rPr>
        <w:t>南通市机关事务管理局</w:t>
      </w:r>
      <w:r>
        <w:rPr>
          <w:rFonts w:hint="eastAsia" w:ascii="宋体" w:hAnsi="宋体" w:eastAsia="宋体" w:cs="宋体"/>
          <w:color w:val="auto"/>
          <w:sz w:val="24"/>
          <w:highlight w:val="none"/>
        </w:rPr>
        <w:t>的</w:t>
      </w:r>
      <w:r>
        <w:rPr>
          <w:rFonts w:hint="eastAsia" w:ascii="宋体" w:hAnsi="宋体" w:eastAsia="宋体" w:cs="宋体"/>
          <w:snapToGrid/>
          <w:color w:val="auto"/>
          <w:kern w:val="2"/>
          <w:sz w:val="24"/>
          <w:highlight w:val="none"/>
          <w:u w:val="single"/>
        </w:rPr>
        <w:t>南通市政务中心电气火灾监控系统改造工程（项目编号：      )</w:t>
      </w:r>
      <w:r>
        <w:rPr>
          <w:rFonts w:hint="eastAsia" w:ascii="宋体" w:hAnsi="宋体" w:eastAsia="宋体" w:cs="宋体"/>
          <w:color w:val="auto"/>
          <w:sz w:val="24"/>
          <w:highlight w:val="none"/>
        </w:rPr>
        <w:t xml:space="preserve">采购活动，该项目服务全部由符合政策要求的中小企业提供。具体情况如下： </w:t>
      </w:r>
    </w:p>
    <w:p w14:paraId="6FC2D5D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color w:val="auto"/>
          <w:kern w:val="2"/>
          <w:sz w:val="24"/>
          <w:highlight w:val="none"/>
          <w:u w:val="single"/>
        </w:rPr>
        <w:t>南通市政务中心电气火灾监控系统改造工程</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建筑业 </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w:t>
      </w:r>
      <w:r>
        <w:rPr>
          <w:rFonts w:hint="eastAsia" w:ascii="宋体" w:hAnsi="宋体" w:eastAsia="宋体" w:cs="宋体"/>
          <w:color w:val="auto"/>
          <w:sz w:val="24"/>
          <w:highlight w:val="none"/>
          <w:vertAlign w:val="superscript"/>
        </w:rPr>
        <w:t xml:space="preserve">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09297E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以上企业，不属于大企业的分支机构，不存在控股股东为大企业的情形，也不存在与大企业的负责人为同一人的情形。 </w:t>
      </w:r>
    </w:p>
    <w:p w14:paraId="32D99FD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1D562FA">
      <w:pPr>
        <w:snapToGrid w:val="0"/>
        <w:spacing w:line="360" w:lineRule="auto"/>
        <w:rPr>
          <w:rFonts w:hint="eastAsia" w:ascii="宋体" w:hAnsi="宋体" w:eastAsia="宋体" w:cs="宋体"/>
          <w:color w:val="auto"/>
          <w:sz w:val="24"/>
          <w:highlight w:val="none"/>
        </w:rPr>
      </w:pPr>
    </w:p>
    <w:p w14:paraId="5242FE4A">
      <w:pPr>
        <w:snapToGrid w:val="0"/>
        <w:spacing w:line="360" w:lineRule="auto"/>
        <w:ind w:firstLine="480" w:firstLineChars="200"/>
        <w:rPr>
          <w:rFonts w:hint="eastAsia" w:ascii="宋体" w:hAnsi="宋体" w:eastAsia="宋体" w:cs="宋体"/>
          <w:color w:val="auto"/>
          <w:sz w:val="24"/>
          <w:highlight w:val="none"/>
        </w:rPr>
      </w:pPr>
    </w:p>
    <w:p w14:paraId="6F22452E">
      <w:pPr>
        <w:snapToGrid w:val="0"/>
        <w:spacing w:line="360" w:lineRule="auto"/>
        <w:ind w:firstLine="4320" w:firstLineChars="18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供应商：（单位盖章）</w:t>
      </w:r>
    </w:p>
    <w:p w14:paraId="10C4EFEC">
      <w:pPr>
        <w:snapToGrid w:val="0"/>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法定代表人或委托代理人：（签字或盖章）</w:t>
      </w:r>
    </w:p>
    <w:p w14:paraId="6E34EE19">
      <w:pPr>
        <w:tabs>
          <w:tab w:val="left" w:pos="2040"/>
        </w:tabs>
        <w:ind w:left="2040" w:hanging="3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7F9F2C37">
      <w:pPr>
        <w:tabs>
          <w:tab w:val="left" w:pos="2040"/>
        </w:tabs>
        <w:ind w:left="2040" w:hanging="360"/>
        <w:rPr>
          <w:rFonts w:hint="eastAsia" w:ascii="宋体" w:hAnsi="宋体" w:eastAsia="宋体" w:cs="宋体"/>
          <w:color w:val="auto"/>
          <w:szCs w:val="21"/>
          <w:highlight w:val="none"/>
        </w:rPr>
      </w:pPr>
    </w:p>
    <w:p w14:paraId="187032FE">
      <w:pPr>
        <w:snapToGrid w:val="0"/>
        <w:spacing w:line="44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注：（1）未提供“中小企业声明函或残疾人福利性单位声明函或监狱和戒毒企业证明材料”的，视为资格审查不通过。</w:t>
      </w:r>
    </w:p>
    <w:p w14:paraId="2360FB3D">
      <w:pPr>
        <w:snapToGrid w:val="0"/>
        <w:spacing w:line="44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931924">
      <w:pPr>
        <w:snapToGrid w:val="0"/>
        <w:spacing w:line="44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58386CF1">
      <w:pPr>
        <w:snapToGrid w:val="0"/>
        <w:spacing w:line="440" w:lineRule="exact"/>
        <w:ind w:firstLine="420" w:firstLineChars="200"/>
        <w:textAlignment w:val="baseline"/>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t>（4）从业人员、营业收入、资产总额填报上一年度数据，无上一年度数据的新成立企业可不填报。</w:t>
      </w:r>
      <w:r>
        <w:rPr>
          <w:rFonts w:hint="eastAsia" w:ascii="宋体" w:hAnsi="宋体" w:eastAsia="宋体" w:cs="宋体"/>
          <w:b/>
          <w:bCs/>
          <w:color w:val="auto"/>
          <w:szCs w:val="21"/>
          <w:highlight w:val="none"/>
        </w:rPr>
        <w:br w:type="page"/>
      </w:r>
    </w:p>
    <w:p w14:paraId="07B844DA">
      <w:pPr>
        <w:autoSpaceDE w:val="0"/>
        <w:autoSpaceDN w:val="0"/>
        <w:spacing w:before="162"/>
        <w:jc w:val="center"/>
        <w:outlineLvl w:val="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5.2残疾人福利性单位声明函</w:t>
      </w:r>
    </w:p>
    <w:p w14:paraId="433616DE">
      <w:pPr>
        <w:spacing w:before="240"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南通市机关事务管理局</w:t>
      </w:r>
      <w:r>
        <w:rPr>
          <w:rFonts w:hint="eastAsia" w:ascii="宋体" w:hAnsi="宋体" w:eastAsia="宋体" w:cs="宋体"/>
          <w:color w:val="auto"/>
          <w:sz w:val="24"/>
          <w:highlight w:val="none"/>
        </w:rPr>
        <w:t>的</w:t>
      </w:r>
      <w:r>
        <w:rPr>
          <w:rFonts w:hint="eastAsia" w:ascii="宋体" w:hAnsi="宋体" w:eastAsia="宋体" w:cs="宋体"/>
          <w:snapToGrid/>
          <w:color w:val="auto"/>
          <w:kern w:val="2"/>
          <w:sz w:val="24"/>
          <w:highlight w:val="none"/>
          <w:u w:val="single"/>
        </w:rPr>
        <w:t>南通市政务中心电气火灾监控系统改造工程（项目编号：     )</w:t>
      </w:r>
      <w:r>
        <w:rPr>
          <w:rFonts w:hint="eastAsia" w:ascii="宋体" w:hAnsi="宋体" w:eastAsia="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0D181AEB">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0CD5BCC">
      <w:pPr>
        <w:spacing w:line="588" w:lineRule="exact"/>
        <w:ind w:firstLine="420" w:firstLineChars="200"/>
        <w:rPr>
          <w:rFonts w:hint="eastAsia" w:ascii="宋体" w:hAnsi="宋体" w:eastAsia="宋体" w:cs="宋体"/>
          <w:color w:val="auto"/>
          <w:highlight w:val="none"/>
        </w:rPr>
      </w:pPr>
    </w:p>
    <w:p w14:paraId="11478451">
      <w:pPr>
        <w:spacing w:line="588" w:lineRule="exact"/>
        <w:ind w:firstLine="444" w:firstLineChars="200"/>
        <w:rPr>
          <w:rFonts w:hint="eastAsia" w:ascii="宋体" w:hAnsi="宋体" w:eastAsia="宋体" w:cs="宋体"/>
          <w:color w:val="auto"/>
          <w:spacing w:val="6"/>
          <w:highlight w:val="none"/>
        </w:rPr>
      </w:pPr>
    </w:p>
    <w:p w14:paraId="7FABDDC8">
      <w:pPr>
        <w:spacing w:line="588" w:lineRule="exact"/>
        <w:ind w:firstLine="444" w:firstLineChars="200"/>
        <w:rPr>
          <w:rFonts w:hint="eastAsia" w:ascii="宋体" w:hAnsi="宋体" w:eastAsia="宋体" w:cs="宋体"/>
          <w:color w:val="auto"/>
          <w:spacing w:val="6"/>
          <w:highlight w:val="none"/>
        </w:rPr>
      </w:pPr>
    </w:p>
    <w:p w14:paraId="7F6830FF">
      <w:pPr>
        <w:snapToGrid w:val="0"/>
        <w:spacing w:line="360" w:lineRule="auto"/>
        <w:ind w:firstLine="4320" w:firstLineChars="18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供应商：（单位盖章）</w:t>
      </w:r>
    </w:p>
    <w:p w14:paraId="5B2CA3D7">
      <w:pPr>
        <w:snapToGrid w:val="0"/>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法定代表人或委托代理人：（签字或盖章）</w:t>
      </w:r>
    </w:p>
    <w:p w14:paraId="5A965D06">
      <w:pPr>
        <w:snapToGrid w:val="0"/>
        <w:spacing w:line="360" w:lineRule="auto"/>
        <w:ind w:firstLine="4320" w:firstLineChars="18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日期：      年      月     日</w:t>
      </w: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highlight w:val="none"/>
        </w:rPr>
        <w:t xml:space="preserve">       </w:t>
      </w:r>
      <w:r>
        <w:rPr>
          <w:rFonts w:hint="eastAsia" w:ascii="宋体" w:hAnsi="宋体" w:eastAsia="宋体" w:cs="宋体"/>
          <w:color w:val="auto"/>
          <w:highlight w:val="none"/>
        </w:rPr>
        <w:t xml:space="preserve">          </w:t>
      </w:r>
    </w:p>
    <w:p w14:paraId="557B9AED">
      <w:pPr>
        <w:snapToGrid w:val="0"/>
        <w:spacing w:line="300" w:lineRule="auto"/>
        <w:outlineLvl w:val="0"/>
        <w:rPr>
          <w:rFonts w:hint="eastAsia" w:ascii="宋体" w:hAnsi="宋体" w:eastAsia="宋体" w:cs="宋体"/>
          <w:color w:val="auto"/>
          <w:sz w:val="28"/>
          <w:szCs w:val="28"/>
          <w:highlight w:val="none"/>
        </w:rPr>
      </w:pPr>
    </w:p>
    <w:p w14:paraId="01F35795">
      <w:pPr>
        <w:snapToGrid w:val="0"/>
        <w:spacing w:line="300" w:lineRule="auto"/>
        <w:outlineLvl w:val="0"/>
        <w:rPr>
          <w:rFonts w:hint="eastAsia" w:ascii="宋体" w:hAnsi="宋体" w:eastAsia="宋体" w:cs="宋体"/>
          <w:color w:val="auto"/>
          <w:sz w:val="28"/>
          <w:szCs w:val="28"/>
          <w:highlight w:val="none"/>
        </w:rPr>
      </w:pPr>
    </w:p>
    <w:p w14:paraId="6F73AEAA">
      <w:pPr>
        <w:snapToGrid w:val="0"/>
        <w:spacing w:line="300" w:lineRule="auto"/>
        <w:outlineLvl w:val="0"/>
        <w:rPr>
          <w:rFonts w:hint="eastAsia" w:ascii="宋体" w:hAnsi="宋体" w:eastAsia="宋体" w:cs="宋体"/>
          <w:color w:val="auto"/>
          <w:sz w:val="28"/>
          <w:szCs w:val="28"/>
          <w:highlight w:val="none"/>
        </w:rPr>
      </w:pPr>
    </w:p>
    <w:p w14:paraId="4400B129">
      <w:pPr>
        <w:snapToGrid w:val="0"/>
        <w:spacing w:line="300" w:lineRule="auto"/>
        <w:outlineLvl w:val="0"/>
        <w:rPr>
          <w:rFonts w:hint="eastAsia" w:ascii="宋体" w:hAnsi="宋体" w:eastAsia="宋体" w:cs="宋体"/>
          <w:color w:val="auto"/>
          <w:sz w:val="28"/>
          <w:szCs w:val="28"/>
          <w:highlight w:val="none"/>
        </w:rPr>
      </w:pPr>
    </w:p>
    <w:p w14:paraId="699956F8">
      <w:pPr>
        <w:snapToGrid w:val="0"/>
        <w:spacing w:line="300" w:lineRule="auto"/>
        <w:outlineLvl w:val="0"/>
        <w:rPr>
          <w:rFonts w:hint="eastAsia" w:ascii="宋体" w:hAnsi="宋体" w:eastAsia="宋体" w:cs="宋体"/>
          <w:color w:val="auto"/>
          <w:sz w:val="28"/>
          <w:szCs w:val="28"/>
          <w:highlight w:val="none"/>
        </w:rPr>
      </w:pPr>
    </w:p>
    <w:p w14:paraId="3AAA6992">
      <w:pPr>
        <w:widowControl/>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A0DB15">
      <w:pPr>
        <w:snapToGrid w:val="0"/>
        <w:spacing w:line="420" w:lineRule="exact"/>
        <w:jc w:val="center"/>
        <w:outlineLvl w:val="3"/>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5.3监狱和戒毒企业证明材料</w:t>
      </w:r>
    </w:p>
    <w:p w14:paraId="540194B0">
      <w:pPr>
        <w:snapToGrid w:val="0"/>
        <w:spacing w:line="420" w:lineRule="exact"/>
        <w:ind w:firstLine="371" w:firstLineChars="177"/>
        <w:rPr>
          <w:rFonts w:hint="eastAsia" w:ascii="宋体" w:hAnsi="宋体" w:eastAsia="宋体" w:cs="宋体"/>
          <w:color w:val="auto"/>
          <w:highlight w:val="none"/>
        </w:rPr>
      </w:pPr>
    </w:p>
    <w:p w14:paraId="5BB1F888">
      <w:pPr>
        <w:snapToGrid w:val="0"/>
        <w:spacing w:line="420" w:lineRule="exact"/>
        <w:ind w:firstLine="373" w:firstLineChars="177"/>
        <w:jc w:val="center"/>
        <w:rPr>
          <w:rFonts w:hint="eastAsia" w:ascii="宋体" w:hAnsi="宋体" w:eastAsia="宋体" w:cs="宋体"/>
          <w:b/>
          <w:color w:val="auto"/>
          <w:highlight w:val="none"/>
        </w:rPr>
      </w:pPr>
      <w:r>
        <w:rPr>
          <w:rFonts w:hint="eastAsia" w:ascii="宋体" w:hAnsi="宋体" w:eastAsia="宋体" w:cs="宋体"/>
          <w:b/>
          <w:color w:val="auto"/>
          <w:highlight w:val="none"/>
        </w:rPr>
        <w:t>（格式自拟）</w:t>
      </w:r>
    </w:p>
    <w:p w14:paraId="55985604">
      <w:pPr>
        <w:snapToGrid w:val="0"/>
        <w:spacing w:line="420" w:lineRule="exact"/>
        <w:ind w:firstLine="371" w:firstLineChars="177"/>
        <w:rPr>
          <w:rFonts w:hint="eastAsia" w:ascii="宋体" w:hAnsi="宋体" w:eastAsia="宋体" w:cs="宋体"/>
          <w:color w:val="auto"/>
          <w:highlight w:val="none"/>
        </w:rPr>
      </w:pPr>
    </w:p>
    <w:p w14:paraId="5028C4C6">
      <w:pPr>
        <w:snapToGrid w:val="0"/>
        <w:spacing w:line="360" w:lineRule="auto"/>
        <w:jc w:val="center"/>
        <w:textAlignment w:val="baseline"/>
        <w:rPr>
          <w:rFonts w:hint="eastAsia" w:ascii="宋体" w:hAnsi="宋体" w:cs="宋体"/>
          <w:b/>
          <w:color w:val="auto"/>
          <w:sz w:val="24"/>
          <w:highlight w:val="none"/>
        </w:rPr>
      </w:pPr>
    </w:p>
    <w:p w14:paraId="4711BA4B">
      <w:pPr>
        <w:spacing w:line="360" w:lineRule="auto"/>
        <w:jc w:val="center"/>
        <w:rPr>
          <w:rFonts w:hint="eastAsia" w:ascii="宋体" w:hAnsi="宋体" w:eastAsia="宋体"/>
          <w:color w:val="auto"/>
          <w:sz w:val="24"/>
          <w:highlight w:val="none"/>
        </w:rPr>
      </w:pPr>
      <w:r>
        <w:rPr>
          <w:rFonts w:ascii="宋体" w:hAnsi="宋体" w:eastAsia="宋体" w:cs="宋体"/>
          <w:b/>
          <w:bCs/>
          <w:snapToGrid/>
          <w:color w:val="auto"/>
          <w:kern w:val="2"/>
          <w:sz w:val="28"/>
          <w:szCs w:val="28"/>
          <w:highlight w:val="none"/>
        </w:rPr>
        <w:br w:type="page"/>
      </w:r>
    </w:p>
    <w:p w14:paraId="0E24AB56">
      <w:pPr>
        <w:spacing w:line="420" w:lineRule="exact"/>
        <w:jc w:val="center"/>
        <w:outlineLvl w:val="3"/>
        <w:rPr>
          <w:rFonts w:hint="eastAsia" w:ascii="宋体" w:hAnsi="宋体" w:eastAsia="宋体" w:cs="宋体"/>
          <w:b/>
          <w:bCs/>
          <w:snapToGrid/>
          <w:color w:val="auto"/>
          <w:sz w:val="32"/>
          <w:szCs w:val="32"/>
          <w:highlight w:val="none"/>
        </w:rPr>
      </w:pPr>
      <w:r>
        <w:rPr>
          <w:rFonts w:hint="eastAsia" w:ascii="宋体" w:hAnsi="宋体" w:eastAsia="宋体" w:cs="宋体"/>
          <w:b/>
          <w:bCs/>
          <w:snapToGrid/>
          <w:color w:val="auto"/>
          <w:sz w:val="32"/>
          <w:szCs w:val="32"/>
          <w:highlight w:val="none"/>
        </w:rPr>
        <w:t>6、合同条款偏离表</w:t>
      </w:r>
    </w:p>
    <w:p w14:paraId="2FCDBEC9">
      <w:pPr>
        <w:spacing w:line="360" w:lineRule="auto"/>
        <w:rPr>
          <w:rFonts w:ascii="Times New Roman" w:hAnsi="Times New Roman" w:eastAsia="宋体"/>
          <w:snapToGrid/>
          <w:color w:val="auto"/>
          <w:sz w:val="24"/>
          <w:szCs w:val="20"/>
          <w:highlight w:val="none"/>
        </w:rPr>
      </w:pPr>
    </w:p>
    <w:p w14:paraId="031CF5DF">
      <w:pPr>
        <w:tabs>
          <w:tab w:val="left" w:pos="1800"/>
          <w:tab w:val="left" w:pos="5580"/>
        </w:tabs>
        <w:spacing w:line="360" w:lineRule="auto"/>
        <w:ind w:firstLine="360"/>
        <w:jc w:val="left"/>
        <w:rPr>
          <w:rFonts w:ascii="Times New Roman" w:hAnsi="Times New Roman" w:eastAsia="宋体"/>
          <w:snapToGrid/>
          <w:color w:val="auto"/>
          <w:sz w:val="24"/>
          <w:highlight w:val="none"/>
        </w:rPr>
      </w:pPr>
      <w:r>
        <w:rPr>
          <w:rFonts w:ascii="Times New Roman" w:hAnsi="Times New Roman" w:eastAsia="宋体"/>
          <w:snapToGrid/>
          <w:color w:val="auto"/>
          <w:sz w:val="24"/>
          <w:highlight w:val="none"/>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718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9111F1E">
            <w:pPr>
              <w:jc w:val="left"/>
              <w:rPr>
                <w:rFonts w:hint="eastAsia" w:ascii="宋体" w:hAnsi="宋体" w:eastAsia="宋体"/>
                <w:b/>
                <w:snapToGrid/>
                <w:color w:val="auto"/>
                <w:sz w:val="24"/>
                <w:highlight w:val="none"/>
              </w:rPr>
            </w:pPr>
            <w:r>
              <w:rPr>
                <w:rFonts w:hint="eastAsia" w:ascii="宋体" w:hAnsi="宋体" w:eastAsia="宋体"/>
                <w:b/>
                <w:snapToGrid/>
                <w:color w:val="auto"/>
                <w:sz w:val="24"/>
                <w:highlight w:val="none"/>
              </w:rPr>
              <w:t>对本项目合同条款的偏离情况（请进行勾选）：</w:t>
            </w:r>
          </w:p>
          <w:p w14:paraId="70E370BA">
            <w:pPr>
              <w:jc w:val="left"/>
              <w:rPr>
                <w:rFonts w:hint="eastAsia" w:ascii="宋体" w:hAnsi="宋体" w:eastAsia="宋体"/>
                <w:b/>
                <w:snapToGrid/>
                <w:color w:val="auto"/>
                <w:sz w:val="24"/>
                <w:highlight w:val="none"/>
              </w:rPr>
            </w:pPr>
            <w:r>
              <w:rPr>
                <w:rFonts w:ascii="宋体" w:hAnsi="宋体" w:eastAsia="宋体"/>
                <w:b/>
                <w:snapToGrid/>
                <w:color w:val="auto"/>
                <w:sz w:val="24"/>
                <w:highlight w:val="none"/>
              </w:rPr>
              <w:t>□无偏离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如无偏离，仅勾选无偏离即可</w:t>
            </w:r>
            <w:r>
              <w:rPr>
                <w:rFonts w:ascii="宋体" w:hAnsi="宋体" w:eastAsia="宋体"/>
                <w:snapToGrid/>
                <w:color w:val="auto"/>
                <w:sz w:val="24"/>
                <w:highlight w:val="none"/>
              </w:rPr>
              <w:t>）</w:t>
            </w:r>
          </w:p>
          <w:p w14:paraId="6068948F">
            <w:pPr>
              <w:jc w:val="left"/>
              <w:rPr>
                <w:rFonts w:hint="eastAsia" w:ascii="宋体" w:hAnsi="宋体" w:eastAsia="宋体"/>
                <w:snapToGrid/>
                <w:color w:val="auto"/>
                <w:sz w:val="24"/>
                <w:highlight w:val="none"/>
              </w:rPr>
            </w:pPr>
            <w:r>
              <w:rPr>
                <w:rFonts w:ascii="宋体" w:hAnsi="宋体" w:eastAsia="宋体"/>
                <w:b/>
                <w:snapToGrid/>
                <w:color w:val="auto"/>
                <w:sz w:val="24"/>
                <w:highlight w:val="none"/>
              </w:rPr>
              <w:t>□有偏离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如有负偏离，</w:t>
            </w:r>
            <w:r>
              <w:rPr>
                <w:rFonts w:ascii="宋体" w:hAnsi="宋体" w:eastAsia="宋体"/>
                <w:snapToGrid/>
                <w:color w:val="auto"/>
                <w:sz w:val="24"/>
                <w:highlight w:val="none"/>
              </w:rPr>
              <w:t>则须在本表中对负偏离项逐一列明）</w:t>
            </w:r>
          </w:p>
        </w:tc>
      </w:tr>
      <w:tr w14:paraId="203DC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60A01505">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序号</w:t>
            </w:r>
          </w:p>
        </w:tc>
        <w:tc>
          <w:tcPr>
            <w:tcW w:w="1301" w:type="dxa"/>
            <w:vAlign w:val="center"/>
          </w:tcPr>
          <w:p w14:paraId="78533F99">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szCs w:val="21"/>
                <w:highlight w:val="none"/>
              </w:rPr>
              <w:t>文件</w:t>
            </w:r>
            <w:r>
              <w:rPr>
                <w:rFonts w:ascii="宋体" w:hAnsi="宋体" w:eastAsia="宋体"/>
                <w:snapToGrid/>
                <w:color w:val="auto"/>
                <w:sz w:val="24"/>
                <w:highlight w:val="none"/>
              </w:rPr>
              <w:t>条目号（页码）</w:t>
            </w:r>
          </w:p>
        </w:tc>
        <w:tc>
          <w:tcPr>
            <w:tcW w:w="2007" w:type="dxa"/>
            <w:vAlign w:val="center"/>
          </w:tcPr>
          <w:p w14:paraId="2CBBC82B">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szCs w:val="21"/>
                <w:highlight w:val="none"/>
              </w:rPr>
              <w:t>文件</w:t>
            </w:r>
            <w:r>
              <w:rPr>
                <w:rFonts w:ascii="宋体" w:hAnsi="宋体" w:eastAsia="宋体"/>
                <w:snapToGrid/>
                <w:color w:val="auto"/>
                <w:sz w:val="24"/>
                <w:highlight w:val="none"/>
              </w:rPr>
              <w:t>要求</w:t>
            </w:r>
          </w:p>
        </w:tc>
        <w:tc>
          <w:tcPr>
            <w:tcW w:w="2008" w:type="dxa"/>
            <w:vAlign w:val="center"/>
          </w:tcPr>
          <w:p w14:paraId="3AFAEF91">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响应文件内容</w:t>
            </w:r>
          </w:p>
        </w:tc>
        <w:tc>
          <w:tcPr>
            <w:tcW w:w="2458" w:type="dxa"/>
            <w:vAlign w:val="center"/>
          </w:tcPr>
          <w:p w14:paraId="47C54E44">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偏离情况</w:t>
            </w:r>
          </w:p>
          <w:p w14:paraId="77585034">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（据实填写）</w:t>
            </w:r>
          </w:p>
        </w:tc>
        <w:tc>
          <w:tcPr>
            <w:tcW w:w="788" w:type="dxa"/>
            <w:vAlign w:val="center"/>
          </w:tcPr>
          <w:p w14:paraId="1209E25D">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说明</w:t>
            </w:r>
          </w:p>
        </w:tc>
      </w:tr>
      <w:tr w14:paraId="6C45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DE86A1C">
            <w:pPr>
              <w:jc w:val="center"/>
              <w:rPr>
                <w:rFonts w:hint="eastAsia" w:ascii="宋体" w:hAnsi="宋体" w:eastAsia="宋体"/>
                <w:snapToGrid/>
                <w:color w:val="auto"/>
                <w:sz w:val="24"/>
                <w:highlight w:val="none"/>
              </w:rPr>
            </w:pPr>
          </w:p>
        </w:tc>
        <w:tc>
          <w:tcPr>
            <w:tcW w:w="1301" w:type="dxa"/>
            <w:vAlign w:val="center"/>
          </w:tcPr>
          <w:p w14:paraId="583BA6BC">
            <w:pPr>
              <w:jc w:val="center"/>
              <w:rPr>
                <w:rFonts w:hint="eastAsia" w:ascii="宋体" w:hAnsi="宋体" w:eastAsia="宋体"/>
                <w:snapToGrid/>
                <w:color w:val="auto"/>
                <w:sz w:val="24"/>
                <w:highlight w:val="none"/>
              </w:rPr>
            </w:pPr>
          </w:p>
        </w:tc>
        <w:tc>
          <w:tcPr>
            <w:tcW w:w="2007" w:type="dxa"/>
            <w:vAlign w:val="center"/>
          </w:tcPr>
          <w:p w14:paraId="0378702A">
            <w:pPr>
              <w:jc w:val="center"/>
              <w:rPr>
                <w:rFonts w:hint="eastAsia" w:ascii="宋体" w:hAnsi="宋体" w:eastAsia="宋体"/>
                <w:snapToGrid/>
                <w:color w:val="auto"/>
                <w:sz w:val="24"/>
                <w:highlight w:val="none"/>
              </w:rPr>
            </w:pPr>
          </w:p>
        </w:tc>
        <w:tc>
          <w:tcPr>
            <w:tcW w:w="2008" w:type="dxa"/>
            <w:vAlign w:val="center"/>
          </w:tcPr>
          <w:p w14:paraId="3E73A405">
            <w:pPr>
              <w:jc w:val="center"/>
              <w:rPr>
                <w:rFonts w:hint="eastAsia" w:ascii="宋体" w:hAnsi="宋体" w:eastAsia="宋体"/>
                <w:snapToGrid/>
                <w:color w:val="auto"/>
                <w:sz w:val="24"/>
                <w:highlight w:val="none"/>
              </w:rPr>
            </w:pPr>
          </w:p>
        </w:tc>
        <w:tc>
          <w:tcPr>
            <w:tcW w:w="2458" w:type="dxa"/>
            <w:vAlign w:val="center"/>
          </w:tcPr>
          <w:p w14:paraId="75682676">
            <w:pPr>
              <w:jc w:val="center"/>
              <w:rPr>
                <w:rFonts w:hint="eastAsia" w:ascii="宋体" w:hAnsi="宋体" w:eastAsia="宋体"/>
                <w:snapToGrid/>
                <w:color w:val="auto"/>
                <w:sz w:val="24"/>
                <w:highlight w:val="none"/>
              </w:rPr>
            </w:pPr>
          </w:p>
        </w:tc>
        <w:tc>
          <w:tcPr>
            <w:tcW w:w="788" w:type="dxa"/>
            <w:vAlign w:val="center"/>
          </w:tcPr>
          <w:p w14:paraId="3798641F">
            <w:pPr>
              <w:jc w:val="center"/>
              <w:rPr>
                <w:rFonts w:hint="eastAsia" w:ascii="宋体" w:hAnsi="宋体" w:eastAsia="宋体"/>
                <w:snapToGrid/>
                <w:color w:val="auto"/>
                <w:sz w:val="24"/>
                <w:highlight w:val="none"/>
              </w:rPr>
            </w:pPr>
          </w:p>
        </w:tc>
      </w:tr>
      <w:tr w14:paraId="2DCF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9C10C28">
            <w:pPr>
              <w:jc w:val="center"/>
              <w:rPr>
                <w:rFonts w:hint="eastAsia" w:ascii="宋体" w:hAnsi="宋体" w:eastAsia="宋体"/>
                <w:snapToGrid/>
                <w:color w:val="auto"/>
                <w:sz w:val="24"/>
                <w:highlight w:val="none"/>
              </w:rPr>
            </w:pPr>
          </w:p>
        </w:tc>
        <w:tc>
          <w:tcPr>
            <w:tcW w:w="1301" w:type="dxa"/>
            <w:vAlign w:val="center"/>
          </w:tcPr>
          <w:p w14:paraId="0DFC3D5D">
            <w:pPr>
              <w:jc w:val="center"/>
              <w:rPr>
                <w:rFonts w:hint="eastAsia" w:ascii="宋体" w:hAnsi="宋体" w:eastAsia="宋体"/>
                <w:snapToGrid/>
                <w:color w:val="auto"/>
                <w:sz w:val="24"/>
                <w:highlight w:val="none"/>
              </w:rPr>
            </w:pPr>
          </w:p>
        </w:tc>
        <w:tc>
          <w:tcPr>
            <w:tcW w:w="2007" w:type="dxa"/>
            <w:vAlign w:val="center"/>
          </w:tcPr>
          <w:p w14:paraId="20CAE2AB">
            <w:pPr>
              <w:jc w:val="center"/>
              <w:rPr>
                <w:rFonts w:hint="eastAsia" w:ascii="宋体" w:hAnsi="宋体" w:eastAsia="宋体"/>
                <w:snapToGrid/>
                <w:color w:val="auto"/>
                <w:sz w:val="24"/>
                <w:highlight w:val="none"/>
              </w:rPr>
            </w:pPr>
          </w:p>
        </w:tc>
        <w:tc>
          <w:tcPr>
            <w:tcW w:w="2008" w:type="dxa"/>
            <w:vAlign w:val="center"/>
          </w:tcPr>
          <w:p w14:paraId="22667158">
            <w:pPr>
              <w:jc w:val="center"/>
              <w:rPr>
                <w:rFonts w:hint="eastAsia" w:ascii="宋体" w:hAnsi="宋体" w:eastAsia="宋体"/>
                <w:snapToGrid/>
                <w:color w:val="auto"/>
                <w:sz w:val="24"/>
                <w:highlight w:val="none"/>
              </w:rPr>
            </w:pPr>
          </w:p>
        </w:tc>
        <w:tc>
          <w:tcPr>
            <w:tcW w:w="2458" w:type="dxa"/>
            <w:vAlign w:val="center"/>
          </w:tcPr>
          <w:p w14:paraId="4F1711C9">
            <w:pPr>
              <w:jc w:val="center"/>
              <w:rPr>
                <w:rFonts w:hint="eastAsia" w:ascii="宋体" w:hAnsi="宋体" w:eastAsia="宋体"/>
                <w:snapToGrid/>
                <w:color w:val="auto"/>
                <w:sz w:val="24"/>
                <w:highlight w:val="none"/>
              </w:rPr>
            </w:pPr>
          </w:p>
        </w:tc>
        <w:tc>
          <w:tcPr>
            <w:tcW w:w="788" w:type="dxa"/>
            <w:vAlign w:val="center"/>
          </w:tcPr>
          <w:p w14:paraId="43123D89">
            <w:pPr>
              <w:jc w:val="center"/>
              <w:rPr>
                <w:rFonts w:hint="eastAsia" w:ascii="宋体" w:hAnsi="宋体" w:eastAsia="宋体"/>
                <w:snapToGrid/>
                <w:color w:val="auto"/>
                <w:sz w:val="24"/>
                <w:highlight w:val="none"/>
              </w:rPr>
            </w:pPr>
          </w:p>
        </w:tc>
      </w:tr>
      <w:tr w14:paraId="4C8D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0F166810">
            <w:pPr>
              <w:jc w:val="center"/>
              <w:rPr>
                <w:rFonts w:hint="eastAsia" w:ascii="宋体" w:hAnsi="宋体" w:eastAsia="宋体"/>
                <w:snapToGrid/>
                <w:color w:val="auto"/>
                <w:sz w:val="24"/>
                <w:highlight w:val="none"/>
              </w:rPr>
            </w:pPr>
          </w:p>
        </w:tc>
        <w:tc>
          <w:tcPr>
            <w:tcW w:w="1301" w:type="dxa"/>
            <w:vAlign w:val="center"/>
          </w:tcPr>
          <w:p w14:paraId="69A2D8F8">
            <w:pPr>
              <w:jc w:val="center"/>
              <w:rPr>
                <w:rFonts w:hint="eastAsia" w:ascii="宋体" w:hAnsi="宋体" w:eastAsia="宋体"/>
                <w:snapToGrid/>
                <w:color w:val="auto"/>
                <w:sz w:val="24"/>
                <w:highlight w:val="none"/>
              </w:rPr>
            </w:pPr>
          </w:p>
        </w:tc>
        <w:tc>
          <w:tcPr>
            <w:tcW w:w="2007" w:type="dxa"/>
            <w:vAlign w:val="center"/>
          </w:tcPr>
          <w:p w14:paraId="276A93E9">
            <w:pPr>
              <w:jc w:val="center"/>
              <w:rPr>
                <w:rFonts w:hint="eastAsia" w:ascii="宋体" w:hAnsi="宋体" w:eastAsia="宋体"/>
                <w:snapToGrid/>
                <w:color w:val="auto"/>
                <w:sz w:val="24"/>
                <w:highlight w:val="none"/>
              </w:rPr>
            </w:pPr>
          </w:p>
        </w:tc>
        <w:tc>
          <w:tcPr>
            <w:tcW w:w="2008" w:type="dxa"/>
            <w:vAlign w:val="center"/>
          </w:tcPr>
          <w:p w14:paraId="3EB9281D">
            <w:pPr>
              <w:jc w:val="center"/>
              <w:rPr>
                <w:rFonts w:hint="eastAsia" w:ascii="宋体" w:hAnsi="宋体" w:eastAsia="宋体"/>
                <w:snapToGrid/>
                <w:color w:val="auto"/>
                <w:sz w:val="24"/>
                <w:highlight w:val="none"/>
              </w:rPr>
            </w:pPr>
          </w:p>
        </w:tc>
        <w:tc>
          <w:tcPr>
            <w:tcW w:w="2458" w:type="dxa"/>
            <w:vAlign w:val="center"/>
          </w:tcPr>
          <w:p w14:paraId="6044AB89">
            <w:pPr>
              <w:jc w:val="center"/>
              <w:rPr>
                <w:rFonts w:hint="eastAsia" w:ascii="宋体" w:hAnsi="宋体" w:eastAsia="宋体"/>
                <w:snapToGrid/>
                <w:color w:val="auto"/>
                <w:sz w:val="24"/>
                <w:highlight w:val="none"/>
              </w:rPr>
            </w:pPr>
          </w:p>
        </w:tc>
        <w:tc>
          <w:tcPr>
            <w:tcW w:w="788" w:type="dxa"/>
            <w:vAlign w:val="center"/>
          </w:tcPr>
          <w:p w14:paraId="4575A027">
            <w:pPr>
              <w:jc w:val="center"/>
              <w:rPr>
                <w:rFonts w:hint="eastAsia" w:ascii="宋体" w:hAnsi="宋体" w:eastAsia="宋体"/>
                <w:snapToGrid/>
                <w:color w:val="auto"/>
                <w:sz w:val="24"/>
                <w:highlight w:val="none"/>
              </w:rPr>
            </w:pPr>
          </w:p>
        </w:tc>
      </w:tr>
      <w:tr w14:paraId="73170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939D753">
            <w:pPr>
              <w:jc w:val="center"/>
              <w:rPr>
                <w:rFonts w:hint="eastAsia" w:ascii="宋体" w:hAnsi="宋体" w:eastAsia="宋体"/>
                <w:snapToGrid/>
                <w:color w:val="auto"/>
                <w:sz w:val="24"/>
                <w:highlight w:val="none"/>
              </w:rPr>
            </w:pPr>
          </w:p>
        </w:tc>
        <w:tc>
          <w:tcPr>
            <w:tcW w:w="1301" w:type="dxa"/>
            <w:vAlign w:val="center"/>
          </w:tcPr>
          <w:p w14:paraId="3B068403">
            <w:pPr>
              <w:jc w:val="center"/>
              <w:rPr>
                <w:rFonts w:hint="eastAsia" w:ascii="宋体" w:hAnsi="宋体" w:eastAsia="宋体"/>
                <w:snapToGrid/>
                <w:color w:val="auto"/>
                <w:sz w:val="24"/>
                <w:highlight w:val="none"/>
              </w:rPr>
            </w:pPr>
          </w:p>
        </w:tc>
        <w:tc>
          <w:tcPr>
            <w:tcW w:w="2007" w:type="dxa"/>
            <w:vAlign w:val="center"/>
          </w:tcPr>
          <w:p w14:paraId="0403407C">
            <w:pPr>
              <w:jc w:val="center"/>
              <w:rPr>
                <w:rFonts w:hint="eastAsia" w:ascii="宋体" w:hAnsi="宋体" w:eastAsia="宋体"/>
                <w:snapToGrid/>
                <w:color w:val="auto"/>
                <w:sz w:val="24"/>
                <w:highlight w:val="none"/>
              </w:rPr>
            </w:pPr>
          </w:p>
        </w:tc>
        <w:tc>
          <w:tcPr>
            <w:tcW w:w="2008" w:type="dxa"/>
            <w:vAlign w:val="center"/>
          </w:tcPr>
          <w:p w14:paraId="0BCD7CEA">
            <w:pPr>
              <w:jc w:val="center"/>
              <w:rPr>
                <w:rFonts w:hint="eastAsia" w:ascii="宋体" w:hAnsi="宋体" w:eastAsia="宋体"/>
                <w:snapToGrid/>
                <w:color w:val="auto"/>
                <w:sz w:val="24"/>
                <w:highlight w:val="none"/>
              </w:rPr>
            </w:pPr>
          </w:p>
        </w:tc>
        <w:tc>
          <w:tcPr>
            <w:tcW w:w="2458" w:type="dxa"/>
            <w:vAlign w:val="center"/>
          </w:tcPr>
          <w:p w14:paraId="653DC265">
            <w:pPr>
              <w:jc w:val="center"/>
              <w:rPr>
                <w:rFonts w:hint="eastAsia" w:ascii="宋体" w:hAnsi="宋体" w:eastAsia="宋体"/>
                <w:snapToGrid/>
                <w:color w:val="auto"/>
                <w:sz w:val="24"/>
                <w:highlight w:val="none"/>
              </w:rPr>
            </w:pPr>
          </w:p>
        </w:tc>
        <w:tc>
          <w:tcPr>
            <w:tcW w:w="788" w:type="dxa"/>
            <w:vAlign w:val="center"/>
          </w:tcPr>
          <w:p w14:paraId="0D578F09">
            <w:pPr>
              <w:jc w:val="center"/>
              <w:rPr>
                <w:rFonts w:hint="eastAsia" w:ascii="宋体" w:hAnsi="宋体" w:eastAsia="宋体"/>
                <w:snapToGrid/>
                <w:color w:val="auto"/>
                <w:sz w:val="24"/>
                <w:highlight w:val="none"/>
              </w:rPr>
            </w:pPr>
          </w:p>
        </w:tc>
      </w:tr>
    </w:tbl>
    <w:p w14:paraId="556C47E7">
      <w:pPr>
        <w:tabs>
          <w:tab w:val="left" w:pos="1800"/>
          <w:tab w:val="left" w:pos="5580"/>
        </w:tabs>
        <w:jc w:val="left"/>
        <w:rPr>
          <w:rFonts w:ascii="Times New Roman" w:hAnsi="Times New Roman" w:eastAsia="宋体"/>
          <w:snapToGrid/>
          <w:color w:val="auto"/>
          <w:sz w:val="24"/>
          <w:highlight w:val="none"/>
        </w:rPr>
      </w:pPr>
    </w:p>
    <w:p w14:paraId="360F3E90">
      <w:pPr>
        <w:tabs>
          <w:tab w:val="left" w:pos="1800"/>
          <w:tab w:val="left" w:pos="5580"/>
        </w:tabs>
        <w:jc w:val="left"/>
        <w:rPr>
          <w:rFonts w:hint="eastAsia" w:ascii="宋体" w:hAnsi="宋体" w:eastAsia="宋体"/>
          <w:snapToGrid/>
          <w:color w:val="auto"/>
          <w:sz w:val="24"/>
          <w:highlight w:val="none"/>
        </w:rPr>
      </w:pPr>
      <w:r>
        <w:rPr>
          <w:rFonts w:hint="eastAsia" w:ascii="宋体" w:hAnsi="宋体" w:eastAsia="宋体"/>
          <w:snapToGrid/>
          <w:color w:val="auto"/>
          <w:sz w:val="24"/>
          <w:highlight w:val="none"/>
        </w:rPr>
        <w:t>注：</w:t>
      </w:r>
    </w:p>
    <w:p w14:paraId="01DFE565">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 xml:space="preserve">1. </w:t>
      </w:r>
      <w:r>
        <w:rPr>
          <w:rFonts w:hint="eastAsia" w:ascii="宋体" w:hAnsi="宋体" w:eastAsia="宋体"/>
          <w:snapToGrid/>
          <w:color w:val="auto"/>
          <w:sz w:val="24"/>
          <w:highlight w:val="none"/>
        </w:rPr>
        <w:t>对合同条款中的所有要求，除本表所列明的所有偏离外，均视作供应商已对之理解和响应。</w:t>
      </w:r>
    </w:p>
    <w:p w14:paraId="05700752">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 xml:space="preserve">2. </w:t>
      </w:r>
      <w:r>
        <w:rPr>
          <w:rFonts w:hint="eastAsia" w:ascii="宋体" w:hAnsi="宋体" w:eastAsia="宋体"/>
          <w:snapToGrid/>
          <w:color w:val="auto"/>
          <w:sz w:val="24"/>
          <w:highlight w:val="none"/>
        </w:rPr>
        <w:t>“偏离情况”列应据实填写“正偏离”或“负偏离”。</w:t>
      </w:r>
    </w:p>
    <w:p w14:paraId="35D58E0A">
      <w:pPr>
        <w:spacing w:line="360" w:lineRule="auto"/>
        <w:rPr>
          <w:rFonts w:hint="eastAsia" w:ascii="宋体" w:hAnsi="宋体" w:eastAsia="宋体"/>
          <w:snapToGrid/>
          <w:color w:val="auto"/>
          <w:sz w:val="24"/>
          <w:szCs w:val="20"/>
          <w:highlight w:val="none"/>
        </w:rPr>
      </w:pPr>
    </w:p>
    <w:p w14:paraId="5CB6D769">
      <w:pPr>
        <w:spacing w:before="25" w:after="25" w:line="360" w:lineRule="auto"/>
        <w:rPr>
          <w:rFonts w:ascii="Times New Roman" w:hAnsi="Times New Roman" w:eastAsia="宋体"/>
          <w:snapToGrid/>
          <w:color w:val="auto"/>
          <w:sz w:val="24"/>
          <w:highlight w:val="none"/>
        </w:rPr>
      </w:pPr>
      <w:r>
        <w:rPr>
          <w:rFonts w:ascii="Times New Roman" w:hAnsi="Times New Roman" w:eastAsia="宋体"/>
          <w:snapToGrid/>
          <w:color w:val="auto"/>
          <w:sz w:val="24"/>
          <w:highlight w:val="none"/>
          <w:lang w:val="zh-CN"/>
        </w:rPr>
        <w:t xml:space="preserve">                      </w:t>
      </w:r>
    </w:p>
    <w:p w14:paraId="6D72B421">
      <w:pPr>
        <w:spacing w:before="25" w:after="25" w:line="360" w:lineRule="auto"/>
        <w:rPr>
          <w:rFonts w:ascii="Times New Roman" w:hAnsi="Times New Roman" w:eastAsia="宋体"/>
          <w:snapToGrid/>
          <w:color w:val="auto"/>
          <w:sz w:val="24"/>
          <w:highlight w:val="none"/>
        </w:rPr>
      </w:pPr>
      <w:r>
        <w:rPr>
          <w:rFonts w:ascii="Times New Roman" w:hAnsi="Times New Roman" w:eastAsia="宋体"/>
          <w:snapToGrid/>
          <w:color w:val="auto"/>
          <w:sz w:val="24"/>
          <w:highlight w:val="none"/>
        </w:rPr>
        <w:t>供应商名称（加盖公章）</w:t>
      </w:r>
      <w:r>
        <w:rPr>
          <w:rFonts w:ascii="Times New Roman" w:hAnsi="Times New Roman" w:eastAsia="宋体"/>
          <w:snapToGrid/>
          <w:color w:val="auto"/>
          <w:sz w:val="24"/>
          <w:highlight w:val="none"/>
          <w:lang w:val="zh-CN"/>
        </w:rPr>
        <w:t>：    ____________</w:t>
      </w:r>
    </w:p>
    <w:p w14:paraId="64753FC9">
      <w:pPr>
        <w:spacing w:before="25" w:after="25" w:line="360" w:lineRule="auto"/>
        <w:rPr>
          <w:rFonts w:ascii="Times New Roman" w:hAnsi="Times New Roman" w:eastAsia="宋体"/>
          <w:snapToGrid/>
          <w:color w:val="auto"/>
          <w:sz w:val="24"/>
          <w:highlight w:val="none"/>
        </w:rPr>
      </w:pPr>
      <w:r>
        <w:rPr>
          <w:rFonts w:ascii="Times New Roman" w:hAnsi="Times New Roman" w:eastAsia="宋体"/>
          <w:snapToGrid/>
          <w:color w:val="auto"/>
          <w:sz w:val="24"/>
          <w:szCs w:val="20"/>
          <w:highlight w:val="none"/>
        </w:rPr>
        <w:t xml:space="preserve">日期：_____年______月______日   </w:t>
      </w:r>
    </w:p>
    <w:p w14:paraId="011CEE25">
      <w:pPr>
        <w:spacing w:line="420" w:lineRule="exact"/>
        <w:outlineLvl w:val="3"/>
        <w:rPr>
          <w:rFonts w:hint="eastAsia" w:ascii="宋体" w:hAnsi="宋体" w:eastAsia="宋体"/>
          <w:b/>
          <w:snapToGrid/>
          <w:color w:val="auto"/>
          <w:kern w:val="2"/>
          <w:sz w:val="24"/>
          <w:highlight w:val="none"/>
          <w:lang w:val="zh-CN"/>
        </w:rPr>
      </w:pPr>
      <w:r>
        <w:rPr>
          <w:rFonts w:ascii="Times New Roman" w:hAnsi="Times New Roman" w:eastAsia="宋体"/>
          <w:snapToGrid/>
          <w:color w:val="auto"/>
          <w:sz w:val="24"/>
          <w:szCs w:val="20"/>
          <w:highlight w:val="none"/>
        </w:rPr>
        <w:br w:type="page" w:clear="all"/>
      </w:r>
    </w:p>
    <w:p w14:paraId="4DE8B90A">
      <w:pPr>
        <w:spacing w:line="360" w:lineRule="auto"/>
        <w:outlineLvl w:val="2"/>
        <w:rPr>
          <w:rFonts w:hint="eastAsia" w:ascii="宋体" w:hAnsi="宋体" w:eastAsia="宋体"/>
          <w:b/>
          <w:snapToGrid/>
          <w:color w:val="auto"/>
          <w:sz w:val="24"/>
          <w:szCs w:val="20"/>
          <w:highlight w:val="none"/>
          <w:lang w:val="zh-CN"/>
        </w:rPr>
      </w:pPr>
    </w:p>
    <w:p w14:paraId="740F85EE">
      <w:pPr>
        <w:jc w:val="center"/>
        <w:rPr>
          <w:rFonts w:ascii="Times New Roman" w:hAnsi="Times New Roman" w:eastAsia="宋体"/>
          <w:b/>
          <w:snapToGrid/>
          <w:color w:val="auto"/>
          <w:sz w:val="36"/>
          <w:szCs w:val="36"/>
          <w:highlight w:val="none"/>
        </w:rPr>
      </w:pPr>
      <w:r>
        <w:rPr>
          <w:rFonts w:hint="eastAsia" w:ascii="Times New Roman" w:hAnsi="Times New Roman" w:eastAsia="宋体"/>
          <w:b/>
          <w:snapToGrid/>
          <w:color w:val="auto"/>
          <w:sz w:val="36"/>
          <w:szCs w:val="36"/>
          <w:highlight w:val="none"/>
        </w:rPr>
        <w:t>7、采购需求偏离表</w:t>
      </w:r>
    </w:p>
    <w:p w14:paraId="1291E3D7">
      <w:pPr>
        <w:jc w:val="center"/>
        <w:rPr>
          <w:rFonts w:ascii="Times New Roman" w:hAnsi="Times New Roman" w:eastAsia="宋体"/>
          <w:snapToGrid/>
          <w:color w:val="auto"/>
          <w:sz w:val="36"/>
          <w:szCs w:val="36"/>
          <w:highlight w:val="none"/>
        </w:rPr>
      </w:pPr>
    </w:p>
    <w:p w14:paraId="01DE63A2">
      <w:pPr>
        <w:tabs>
          <w:tab w:val="left" w:pos="1800"/>
          <w:tab w:val="left" w:pos="5580"/>
        </w:tabs>
        <w:spacing w:line="360" w:lineRule="auto"/>
        <w:ind w:firstLine="360"/>
        <w:jc w:val="left"/>
        <w:rPr>
          <w:rFonts w:ascii="Times New Roman" w:hAnsi="Times New Roman" w:eastAsia="宋体"/>
          <w:snapToGrid/>
          <w:color w:val="auto"/>
          <w:sz w:val="24"/>
          <w:highlight w:val="none"/>
          <w:u w:val="single"/>
        </w:rPr>
      </w:pPr>
      <w:r>
        <w:rPr>
          <w:rFonts w:ascii="Times New Roman" w:hAnsi="Times New Roman" w:eastAsia="宋体"/>
          <w:snapToGrid/>
          <w:color w:val="auto"/>
          <w:sz w:val="24"/>
          <w:highlight w:val="none"/>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15EA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4BA0FDFD">
            <w:pPr>
              <w:jc w:val="left"/>
              <w:rPr>
                <w:rFonts w:hint="eastAsia" w:ascii="宋体" w:hAnsi="宋体" w:eastAsia="宋体"/>
                <w:b/>
                <w:snapToGrid/>
                <w:color w:val="auto"/>
                <w:sz w:val="24"/>
                <w:highlight w:val="none"/>
              </w:rPr>
            </w:pPr>
            <w:r>
              <w:rPr>
                <w:rFonts w:hint="eastAsia" w:ascii="宋体" w:hAnsi="宋体" w:eastAsia="宋体"/>
                <w:b/>
                <w:snapToGrid/>
                <w:color w:val="auto"/>
                <w:sz w:val="24"/>
                <w:highlight w:val="none"/>
              </w:rPr>
              <w:t>对本项目采购需求的偏离情况（请进行勾选）：</w:t>
            </w:r>
          </w:p>
          <w:p w14:paraId="7A3CBF55">
            <w:pPr>
              <w:jc w:val="left"/>
              <w:rPr>
                <w:rFonts w:hint="eastAsia" w:ascii="宋体" w:hAnsi="宋体" w:eastAsia="宋体"/>
                <w:b/>
                <w:snapToGrid/>
                <w:color w:val="auto"/>
                <w:sz w:val="24"/>
                <w:highlight w:val="none"/>
              </w:rPr>
            </w:pPr>
            <w:r>
              <w:rPr>
                <w:rFonts w:ascii="宋体" w:hAnsi="宋体" w:eastAsia="宋体"/>
                <w:b/>
                <w:snapToGrid/>
                <w:color w:val="auto"/>
                <w:sz w:val="24"/>
                <w:highlight w:val="none"/>
              </w:rPr>
              <w:t>□无偏离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如无偏离，仅勾选无偏离即可</w:t>
            </w:r>
            <w:r>
              <w:rPr>
                <w:rFonts w:ascii="宋体" w:hAnsi="宋体" w:eastAsia="宋体"/>
                <w:snapToGrid/>
                <w:color w:val="auto"/>
                <w:sz w:val="24"/>
                <w:highlight w:val="none"/>
              </w:rPr>
              <w:t>）</w:t>
            </w:r>
          </w:p>
          <w:p w14:paraId="07850A5B">
            <w:pPr>
              <w:jc w:val="left"/>
              <w:rPr>
                <w:rFonts w:hint="eastAsia" w:ascii="宋体" w:hAnsi="宋体" w:eastAsia="宋体"/>
                <w:snapToGrid/>
                <w:color w:val="auto"/>
                <w:sz w:val="24"/>
                <w:highlight w:val="none"/>
              </w:rPr>
            </w:pPr>
            <w:r>
              <w:rPr>
                <w:rFonts w:ascii="宋体" w:hAnsi="宋体" w:eastAsia="宋体"/>
                <w:b/>
                <w:snapToGrid/>
                <w:color w:val="auto"/>
                <w:sz w:val="24"/>
                <w:highlight w:val="none"/>
              </w:rPr>
              <w:t>□有偏离</w:t>
            </w:r>
            <w:r>
              <w:rPr>
                <w:rFonts w:ascii="宋体" w:hAnsi="宋体" w:eastAsia="宋体"/>
                <w:snapToGrid/>
                <w:color w:val="auto"/>
                <w:sz w:val="24"/>
                <w:highlight w:val="none"/>
              </w:rPr>
              <w:t>（</w:t>
            </w:r>
            <w:r>
              <w:rPr>
                <w:rFonts w:ascii="宋体" w:hAnsi="宋体" w:eastAsia="宋体"/>
                <w:snapToGrid/>
                <w:color w:val="auto"/>
                <w:sz w:val="24"/>
                <w:szCs w:val="21"/>
                <w:highlight w:val="none"/>
              </w:rPr>
              <w:t>如有负偏离，</w:t>
            </w:r>
            <w:r>
              <w:rPr>
                <w:rFonts w:ascii="宋体" w:hAnsi="宋体" w:eastAsia="宋体"/>
                <w:snapToGrid/>
                <w:color w:val="auto"/>
                <w:sz w:val="24"/>
                <w:highlight w:val="none"/>
              </w:rPr>
              <w:t>则须在本表中对负偏离项逐一列明）</w:t>
            </w:r>
          </w:p>
        </w:tc>
      </w:tr>
      <w:tr w14:paraId="4497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72F429F0">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序号</w:t>
            </w:r>
          </w:p>
        </w:tc>
        <w:tc>
          <w:tcPr>
            <w:tcW w:w="1606" w:type="dxa"/>
            <w:vAlign w:val="center"/>
          </w:tcPr>
          <w:p w14:paraId="1BF9D31A">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highlight w:val="none"/>
              </w:rPr>
              <w:t>文件条目号(页码)</w:t>
            </w:r>
          </w:p>
        </w:tc>
        <w:tc>
          <w:tcPr>
            <w:tcW w:w="2237" w:type="dxa"/>
            <w:vAlign w:val="center"/>
          </w:tcPr>
          <w:p w14:paraId="5A244A1C">
            <w:pPr>
              <w:jc w:val="center"/>
              <w:rPr>
                <w:rFonts w:hint="eastAsia" w:ascii="宋体" w:hAnsi="宋体" w:eastAsia="宋体"/>
                <w:snapToGrid/>
                <w:color w:val="auto"/>
                <w:sz w:val="24"/>
                <w:highlight w:val="none"/>
              </w:rPr>
            </w:pPr>
            <w:r>
              <w:rPr>
                <w:rFonts w:hint="eastAsia" w:ascii="宋体" w:hAnsi="宋体" w:eastAsia="宋体"/>
                <w:snapToGrid/>
                <w:color w:val="auto"/>
                <w:sz w:val="24"/>
                <w:szCs w:val="21"/>
                <w:highlight w:val="none"/>
              </w:rPr>
              <w:t>采购</w:t>
            </w:r>
            <w:r>
              <w:rPr>
                <w:rFonts w:ascii="宋体" w:hAnsi="宋体" w:eastAsia="宋体"/>
                <w:snapToGrid/>
                <w:color w:val="auto"/>
                <w:sz w:val="24"/>
                <w:highlight w:val="none"/>
              </w:rPr>
              <w:t>文件要求</w:t>
            </w:r>
          </w:p>
        </w:tc>
        <w:tc>
          <w:tcPr>
            <w:tcW w:w="1471" w:type="dxa"/>
            <w:vAlign w:val="center"/>
          </w:tcPr>
          <w:p w14:paraId="3D3C00D2">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响应内容</w:t>
            </w:r>
          </w:p>
        </w:tc>
        <w:tc>
          <w:tcPr>
            <w:tcW w:w="1895" w:type="dxa"/>
            <w:vAlign w:val="center"/>
          </w:tcPr>
          <w:p w14:paraId="41F83A4D">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偏离情况</w:t>
            </w:r>
          </w:p>
          <w:p w14:paraId="6AE176C9">
            <w:pPr>
              <w:jc w:val="center"/>
              <w:rPr>
                <w:rFonts w:hint="eastAsia" w:ascii="宋体" w:hAnsi="宋体" w:eastAsia="宋体"/>
                <w:snapToGrid/>
                <w:color w:val="auto"/>
                <w:sz w:val="24"/>
                <w:highlight w:val="none"/>
              </w:rPr>
            </w:pPr>
            <w:r>
              <w:rPr>
                <w:rFonts w:ascii="宋体" w:hAnsi="宋体" w:eastAsia="宋体"/>
                <w:snapToGrid/>
                <w:color w:val="auto"/>
                <w:sz w:val="24"/>
                <w:szCs w:val="21"/>
                <w:highlight w:val="none"/>
              </w:rPr>
              <w:t>（据实填写）</w:t>
            </w:r>
          </w:p>
        </w:tc>
        <w:tc>
          <w:tcPr>
            <w:tcW w:w="1425" w:type="dxa"/>
            <w:vAlign w:val="center"/>
          </w:tcPr>
          <w:p w14:paraId="6696DC8D">
            <w:pPr>
              <w:jc w:val="center"/>
              <w:rPr>
                <w:rFonts w:hint="eastAsia" w:ascii="宋体" w:hAnsi="宋体" w:eastAsia="宋体"/>
                <w:snapToGrid/>
                <w:color w:val="auto"/>
                <w:sz w:val="24"/>
                <w:highlight w:val="none"/>
              </w:rPr>
            </w:pPr>
            <w:r>
              <w:rPr>
                <w:rFonts w:ascii="宋体" w:hAnsi="宋体" w:eastAsia="宋体"/>
                <w:snapToGrid/>
                <w:color w:val="auto"/>
                <w:sz w:val="24"/>
                <w:highlight w:val="none"/>
              </w:rPr>
              <w:t>说明</w:t>
            </w:r>
          </w:p>
        </w:tc>
      </w:tr>
      <w:tr w14:paraId="0397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5F1FB2C">
            <w:pPr>
              <w:jc w:val="center"/>
              <w:rPr>
                <w:rFonts w:hint="eastAsia" w:ascii="宋体" w:hAnsi="宋体" w:eastAsia="宋体"/>
                <w:snapToGrid/>
                <w:color w:val="auto"/>
                <w:sz w:val="24"/>
                <w:highlight w:val="none"/>
              </w:rPr>
            </w:pPr>
          </w:p>
        </w:tc>
        <w:tc>
          <w:tcPr>
            <w:tcW w:w="1606" w:type="dxa"/>
            <w:vAlign w:val="center"/>
          </w:tcPr>
          <w:p w14:paraId="7F3D8732">
            <w:pPr>
              <w:jc w:val="center"/>
              <w:rPr>
                <w:rFonts w:hint="eastAsia" w:ascii="宋体" w:hAnsi="宋体" w:eastAsia="宋体"/>
                <w:snapToGrid/>
                <w:color w:val="auto"/>
                <w:sz w:val="24"/>
                <w:highlight w:val="none"/>
              </w:rPr>
            </w:pPr>
          </w:p>
        </w:tc>
        <w:tc>
          <w:tcPr>
            <w:tcW w:w="2237" w:type="dxa"/>
            <w:vAlign w:val="center"/>
          </w:tcPr>
          <w:p w14:paraId="76787C8D">
            <w:pPr>
              <w:jc w:val="center"/>
              <w:rPr>
                <w:rFonts w:hint="eastAsia" w:ascii="宋体" w:hAnsi="宋体" w:eastAsia="宋体"/>
                <w:snapToGrid/>
                <w:color w:val="auto"/>
                <w:sz w:val="24"/>
                <w:highlight w:val="none"/>
              </w:rPr>
            </w:pPr>
          </w:p>
        </w:tc>
        <w:tc>
          <w:tcPr>
            <w:tcW w:w="1471" w:type="dxa"/>
            <w:vAlign w:val="center"/>
          </w:tcPr>
          <w:p w14:paraId="074F22F0">
            <w:pPr>
              <w:jc w:val="center"/>
              <w:rPr>
                <w:rFonts w:hint="eastAsia" w:ascii="宋体" w:hAnsi="宋体" w:eastAsia="宋体"/>
                <w:snapToGrid/>
                <w:color w:val="auto"/>
                <w:sz w:val="24"/>
                <w:highlight w:val="none"/>
              </w:rPr>
            </w:pPr>
          </w:p>
        </w:tc>
        <w:tc>
          <w:tcPr>
            <w:tcW w:w="1895" w:type="dxa"/>
            <w:vAlign w:val="center"/>
          </w:tcPr>
          <w:p w14:paraId="01FC1274">
            <w:pPr>
              <w:jc w:val="center"/>
              <w:rPr>
                <w:rFonts w:hint="eastAsia" w:ascii="宋体" w:hAnsi="宋体" w:eastAsia="宋体"/>
                <w:snapToGrid/>
                <w:color w:val="auto"/>
                <w:sz w:val="24"/>
                <w:highlight w:val="none"/>
              </w:rPr>
            </w:pPr>
          </w:p>
        </w:tc>
        <w:tc>
          <w:tcPr>
            <w:tcW w:w="1425" w:type="dxa"/>
            <w:vAlign w:val="center"/>
          </w:tcPr>
          <w:p w14:paraId="3E5CA7A2">
            <w:pPr>
              <w:jc w:val="center"/>
              <w:rPr>
                <w:rFonts w:hint="eastAsia" w:ascii="宋体" w:hAnsi="宋体" w:eastAsia="宋体"/>
                <w:snapToGrid/>
                <w:color w:val="auto"/>
                <w:sz w:val="24"/>
                <w:highlight w:val="none"/>
              </w:rPr>
            </w:pPr>
          </w:p>
        </w:tc>
      </w:tr>
      <w:tr w14:paraId="42E18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72B5DF3B">
            <w:pPr>
              <w:jc w:val="center"/>
              <w:rPr>
                <w:rFonts w:hint="eastAsia" w:ascii="宋体" w:hAnsi="宋体" w:eastAsia="宋体"/>
                <w:snapToGrid/>
                <w:color w:val="auto"/>
                <w:sz w:val="24"/>
                <w:highlight w:val="none"/>
              </w:rPr>
            </w:pPr>
          </w:p>
        </w:tc>
        <w:tc>
          <w:tcPr>
            <w:tcW w:w="1606" w:type="dxa"/>
            <w:vAlign w:val="center"/>
          </w:tcPr>
          <w:p w14:paraId="4641C7AE">
            <w:pPr>
              <w:jc w:val="center"/>
              <w:rPr>
                <w:rFonts w:hint="eastAsia" w:ascii="宋体" w:hAnsi="宋体" w:eastAsia="宋体"/>
                <w:snapToGrid/>
                <w:color w:val="auto"/>
                <w:sz w:val="24"/>
                <w:highlight w:val="none"/>
              </w:rPr>
            </w:pPr>
          </w:p>
        </w:tc>
        <w:tc>
          <w:tcPr>
            <w:tcW w:w="2237" w:type="dxa"/>
            <w:vAlign w:val="center"/>
          </w:tcPr>
          <w:p w14:paraId="649631C1">
            <w:pPr>
              <w:jc w:val="center"/>
              <w:rPr>
                <w:rFonts w:hint="eastAsia" w:ascii="宋体" w:hAnsi="宋体" w:eastAsia="宋体"/>
                <w:snapToGrid/>
                <w:color w:val="auto"/>
                <w:sz w:val="24"/>
                <w:highlight w:val="none"/>
              </w:rPr>
            </w:pPr>
          </w:p>
        </w:tc>
        <w:tc>
          <w:tcPr>
            <w:tcW w:w="1471" w:type="dxa"/>
            <w:vAlign w:val="center"/>
          </w:tcPr>
          <w:p w14:paraId="70FFA741">
            <w:pPr>
              <w:jc w:val="center"/>
              <w:rPr>
                <w:rFonts w:hint="eastAsia" w:ascii="宋体" w:hAnsi="宋体" w:eastAsia="宋体"/>
                <w:snapToGrid/>
                <w:color w:val="auto"/>
                <w:sz w:val="24"/>
                <w:highlight w:val="none"/>
              </w:rPr>
            </w:pPr>
          </w:p>
        </w:tc>
        <w:tc>
          <w:tcPr>
            <w:tcW w:w="1895" w:type="dxa"/>
            <w:vAlign w:val="center"/>
          </w:tcPr>
          <w:p w14:paraId="1AC06945">
            <w:pPr>
              <w:jc w:val="center"/>
              <w:rPr>
                <w:rFonts w:hint="eastAsia" w:ascii="宋体" w:hAnsi="宋体" w:eastAsia="宋体"/>
                <w:snapToGrid/>
                <w:color w:val="auto"/>
                <w:sz w:val="24"/>
                <w:highlight w:val="none"/>
              </w:rPr>
            </w:pPr>
          </w:p>
        </w:tc>
        <w:tc>
          <w:tcPr>
            <w:tcW w:w="1425" w:type="dxa"/>
            <w:vAlign w:val="center"/>
          </w:tcPr>
          <w:p w14:paraId="62932AE5">
            <w:pPr>
              <w:jc w:val="center"/>
              <w:rPr>
                <w:rFonts w:hint="eastAsia" w:ascii="宋体" w:hAnsi="宋体" w:eastAsia="宋体"/>
                <w:snapToGrid/>
                <w:color w:val="auto"/>
                <w:sz w:val="24"/>
                <w:highlight w:val="none"/>
              </w:rPr>
            </w:pPr>
          </w:p>
        </w:tc>
      </w:tr>
      <w:tr w14:paraId="128C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6025DACA">
            <w:pPr>
              <w:jc w:val="center"/>
              <w:rPr>
                <w:rFonts w:hint="eastAsia" w:ascii="宋体" w:hAnsi="宋体" w:eastAsia="宋体"/>
                <w:snapToGrid/>
                <w:color w:val="auto"/>
                <w:sz w:val="24"/>
                <w:highlight w:val="none"/>
              </w:rPr>
            </w:pPr>
          </w:p>
        </w:tc>
        <w:tc>
          <w:tcPr>
            <w:tcW w:w="1606" w:type="dxa"/>
            <w:vAlign w:val="center"/>
          </w:tcPr>
          <w:p w14:paraId="274754BF">
            <w:pPr>
              <w:jc w:val="center"/>
              <w:rPr>
                <w:rFonts w:hint="eastAsia" w:ascii="宋体" w:hAnsi="宋体" w:eastAsia="宋体"/>
                <w:snapToGrid/>
                <w:color w:val="auto"/>
                <w:sz w:val="24"/>
                <w:highlight w:val="none"/>
              </w:rPr>
            </w:pPr>
          </w:p>
        </w:tc>
        <w:tc>
          <w:tcPr>
            <w:tcW w:w="2237" w:type="dxa"/>
            <w:vAlign w:val="center"/>
          </w:tcPr>
          <w:p w14:paraId="768AE34C">
            <w:pPr>
              <w:jc w:val="center"/>
              <w:rPr>
                <w:rFonts w:hint="eastAsia" w:ascii="宋体" w:hAnsi="宋体" w:eastAsia="宋体"/>
                <w:snapToGrid/>
                <w:color w:val="auto"/>
                <w:sz w:val="24"/>
                <w:highlight w:val="none"/>
              </w:rPr>
            </w:pPr>
          </w:p>
        </w:tc>
        <w:tc>
          <w:tcPr>
            <w:tcW w:w="1471" w:type="dxa"/>
            <w:vAlign w:val="center"/>
          </w:tcPr>
          <w:p w14:paraId="493ED87D">
            <w:pPr>
              <w:jc w:val="center"/>
              <w:rPr>
                <w:rFonts w:hint="eastAsia" w:ascii="宋体" w:hAnsi="宋体" w:eastAsia="宋体"/>
                <w:snapToGrid/>
                <w:color w:val="auto"/>
                <w:sz w:val="24"/>
                <w:highlight w:val="none"/>
              </w:rPr>
            </w:pPr>
          </w:p>
        </w:tc>
        <w:tc>
          <w:tcPr>
            <w:tcW w:w="1895" w:type="dxa"/>
            <w:vAlign w:val="center"/>
          </w:tcPr>
          <w:p w14:paraId="0B04133F">
            <w:pPr>
              <w:jc w:val="center"/>
              <w:rPr>
                <w:rFonts w:hint="eastAsia" w:ascii="宋体" w:hAnsi="宋体" w:eastAsia="宋体"/>
                <w:snapToGrid/>
                <w:color w:val="auto"/>
                <w:sz w:val="24"/>
                <w:highlight w:val="none"/>
              </w:rPr>
            </w:pPr>
          </w:p>
        </w:tc>
        <w:tc>
          <w:tcPr>
            <w:tcW w:w="1425" w:type="dxa"/>
            <w:vAlign w:val="center"/>
          </w:tcPr>
          <w:p w14:paraId="36631794">
            <w:pPr>
              <w:jc w:val="center"/>
              <w:rPr>
                <w:rFonts w:hint="eastAsia" w:ascii="宋体" w:hAnsi="宋体" w:eastAsia="宋体"/>
                <w:snapToGrid/>
                <w:color w:val="auto"/>
                <w:sz w:val="24"/>
                <w:highlight w:val="none"/>
              </w:rPr>
            </w:pPr>
          </w:p>
        </w:tc>
      </w:tr>
      <w:tr w14:paraId="5BAD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B348E13">
            <w:pPr>
              <w:jc w:val="center"/>
              <w:rPr>
                <w:rFonts w:hint="eastAsia" w:ascii="宋体" w:hAnsi="宋体" w:eastAsia="宋体"/>
                <w:snapToGrid/>
                <w:color w:val="auto"/>
                <w:sz w:val="24"/>
                <w:highlight w:val="none"/>
              </w:rPr>
            </w:pPr>
          </w:p>
        </w:tc>
        <w:tc>
          <w:tcPr>
            <w:tcW w:w="1606" w:type="dxa"/>
            <w:vAlign w:val="center"/>
          </w:tcPr>
          <w:p w14:paraId="1A3B2D78">
            <w:pPr>
              <w:jc w:val="center"/>
              <w:rPr>
                <w:rFonts w:hint="eastAsia" w:ascii="宋体" w:hAnsi="宋体" w:eastAsia="宋体"/>
                <w:snapToGrid/>
                <w:color w:val="auto"/>
                <w:sz w:val="24"/>
                <w:highlight w:val="none"/>
              </w:rPr>
            </w:pPr>
          </w:p>
        </w:tc>
        <w:tc>
          <w:tcPr>
            <w:tcW w:w="2237" w:type="dxa"/>
            <w:vAlign w:val="center"/>
          </w:tcPr>
          <w:p w14:paraId="6B4C21C4">
            <w:pPr>
              <w:jc w:val="center"/>
              <w:rPr>
                <w:rFonts w:hint="eastAsia" w:ascii="宋体" w:hAnsi="宋体" w:eastAsia="宋体"/>
                <w:snapToGrid/>
                <w:color w:val="auto"/>
                <w:sz w:val="24"/>
                <w:highlight w:val="none"/>
              </w:rPr>
            </w:pPr>
          </w:p>
        </w:tc>
        <w:tc>
          <w:tcPr>
            <w:tcW w:w="1471" w:type="dxa"/>
            <w:vAlign w:val="center"/>
          </w:tcPr>
          <w:p w14:paraId="62B85FDA">
            <w:pPr>
              <w:jc w:val="center"/>
              <w:rPr>
                <w:rFonts w:hint="eastAsia" w:ascii="宋体" w:hAnsi="宋体" w:eastAsia="宋体"/>
                <w:snapToGrid/>
                <w:color w:val="auto"/>
                <w:sz w:val="24"/>
                <w:highlight w:val="none"/>
              </w:rPr>
            </w:pPr>
          </w:p>
        </w:tc>
        <w:tc>
          <w:tcPr>
            <w:tcW w:w="1895" w:type="dxa"/>
            <w:vAlign w:val="center"/>
          </w:tcPr>
          <w:p w14:paraId="56420D94">
            <w:pPr>
              <w:jc w:val="center"/>
              <w:rPr>
                <w:rFonts w:hint="eastAsia" w:ascii="宋体" w:hAnsi="宋体" w:eastAsia="宋体"/>
                <w:snapToGrid/>
                <w:color w:val="auto"/>
                <w:sz w:val="24"/>
                <w:highlight w:val="none"/>
              </w:rPr>
            </w:pPr>
          </w:p>
        </w:tc>
        <w:tc>
          <w:tcPr>
            <w:tcW w:w="1425" w:type="dxa"/>
            <w:vAlign w:val="center"/>
          </w:tcPr>
          <w:p w14:paraId="3F0FC95F">
            <w:pPr>
              <w:jc w:val="center"/>
              <w:rPr>
                <w:rFonts w:hint="eastAsia" w:ascii="宋体" w:hAnsi="宋体" w:eastAsia="宋体"/>
                <w:snapToGrid/>
                <w:color w:val="auto"/>
                <w:sz w:val="24"/>
                <w:highlight w:val="none"/>
              </w:rPr>
            </w:pPr>
          </w:p>
        </w:tc>
      </w:tr>
      <w:tr w14:paraId="3ECD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B389AC9">
            <w:pPr>
              <w:jc w:val="center"/>
              <w:rPr>
                <w:rFonts w:hint="eastAsia" w:ascii="宋体" w:hAnsi="宋体" w:eastAsia="宋体"/>
                <w:snapToGrid/>
                <w:color w:val="auto"/>
                <w:sz w:val="24"/>
                <w:highlight w:val="none"/>
              </w:rPr>
            </w:pPr>
          </w:p>
        </w:tc>
        <w:tc>
          <w:tcPr>
            <w:tcW w:w="1606" w:type="dxa"/>
            <w:vAlign w:val="center"/>
          </w:tcPr>
          <w:p w14:paraId="6596BE59">
            <w:pPr>
              <w:jc w:val="center"/>
              <w:rPr>
                <w:rFonts w:hint="eastAsia" w:ascii="宋体" w:hAnsi="宋体" w:eastAsia="宋体"/>
                <w:snapToGrid/>
                <w:color w:val="auto"/>
                <w:sz w:val="24"/>
                <w:highlight w:val="none"/>
              </w:rPr>
            </w:pPr>
          </w:p>
        </w:tc>
        <w:tc>
          <w:tcPr>
            <w:tcW w:w="2237" w:type="dxa"/>
            <w:vAlign w:val="center"/>
          </w:tcPr>
          <w:p w14:paraId="63115869">
            <w:pPr>
              <w:jc w:val="center"/>
              <w:rPr>
                <w:rFonts w:hint="eastAsia" w:ascii="宋体" w:hAnsi="宋体" w:eastAsia="宋体"/>
                <w:snapToGrid/>
                <w:color w:val="auto"/>
                <w:sz w:val="24"/>
                <w:highlight w:val="none"/>
              </w:rPr>
            </w:pPr>
          </w:p>
        </w:tc>
        <w:tc>
          <w:tcPr>
            <w:tcW w:w="1471" w:type="dxa"/>
            <w:vAlign w:val="center"/>
          </w:tcPr>
          <w:p w14:paraId="2B79AC8E">
            <w:pPr>
              <w:jc w:val="center"/>
              <w:rPr>
                <w:rFonts w:hint="eastAsia" w:ascii="宋体" w:hAnsi="宋体" w:eastAsia="宋体"/>
                <w:snapToGrid/>
                <w:color w:val="auto"/>
                <w:sz w:val="24"/>
                <w:highlight w:val="none"/>
              </w:rPr>
            </w:pPr>
          </w:p>
        </w:tc>
        <w:tc>
          <w:tcPr>
            <w:tcW w:w="1895" w:type="dxa"/>
            <w:vAlign w:val="center"/>
          </w:tcPr>
          <w:p w14:paraId="75DD9973">
            <w:pPr>
              <w:jc w:val="center"/>
              <w:rPr>
                <w:rFonts w:hint="eastAsia" w:ascii="宋体" w:hAnsi="宋体" w:eastAsia="宋体"/>
                <w:snapToGrid/>
                <w:color w:val="auto"/>
                <w:sz w:val="24"/>
                <w:highlight w:val="none"/>
              </w:rPr>
            </w:pPr>
          </w:p>
        </w:tc>
        <w:tc>
          <w:tcPr>
            <w:tcW w:w="1425" w:type="dxa"/>
            <w:vAlign w:val="center"/>
          </w:tcPr>
          <w:p w14:paraId="5154D71F">
            <w:pPr>
              <w:jc w:val="center"/>
              <w:rPr>
                <w:rFonts w:hint="eastAsia" w:ascii="宋体" w:hAnsi="宋体" w:eastAsia="宋体"/>
                <w:snapToGrid/>
                <w:color w:val="auto"/>
                <w:sz w:val="24"/>
                <w:highlight w:val="none"/>
              </w:rPr>
            </w:pPr>
          </w:p>
        </w:tc>
      </w:tr>
      <w:tr w14:paraId="2CFA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748BBBDA">
            <w:pPr>
              <w:jc w:val="center"/>
              <w:rPr>
                <w:rFonts w:hint="eastAsia" w:ascii="宋体" w:hAnsi="宋体" w:eastAsia="宋体"/>
                <w:snapToGrid/>
                <w:color w:val="auto"/>
                <w:sz w:val="24"/>
                <w:highlight w:val="none"/>
              </w:rPr>
            </w:pPr>
          </w:p>
        </w:tc>
        <w:tc>
          <w:tcPr>
            <w:tcW w:w="1606" w:type="dxa"/>
            <w:vAlign w:val="center"/>
          </w:tcPr>
          <w:p w14:paraId="2FB28305">
            <w:pPr>
              <w:jc w:val="center"/>
              <w:rPr>
                <w:rFonts w:hint="eastAsia" w:ascii="宋体" w:hAnsi="宋体" w:eastAsia="宋体"/>
                <w:snapToGrid/>
                <w:color w:val="auto"/>
                <w:sz w:val="24"/>
                <w:highlight w:val="none"/>
              </w:rPr>
            </w:pPr>
          </w:p>
        </w:tc>
        <w:tc>
          <w:tcPr>
            <w:tcW w:w="2237" w:type="dxa"/>
            <w:vAlign w:val="center"/>
          </w:tcPr>
          <w:p w14:paraId="6E593526">
            <w:pPr>
              <w:jc w:val="center"/>
              <w:rPr>
                <w:rFonts w:hint="eastAsia" w:ascii="宋体" w:hAnsi="宋体" w:eastAsia="宋体"/>
                <w:snapToGrid/>
                <w:color w:val="auto"/>
                <w:sz w:val="24"/>
                <w:highlight w:val="none"/>
              </w:rPr>
            </w:pPr>
          </w:p>
        </w:tc>
        <w:tc>
          <w:tcPr>
            <w:tcW w:w="1471" w:type="dxa"/>
            <w:vAlign w:val="center"/>
          </w:tcPr>
          <w:p w14:paraId="6F58E6F1">
            <w:pPr>
              <w:jc w:val="center"/>
              <w:rPr>
                <w:rFonts w:hint="eastAsia" w:ascii="宋体" w:hAnsi="宋体" w:eastAsia="宋体"/>
                <w:snapToGrid/>
                <w:color w:val="auto"/>
                <w:sz w:val="24"/>
                <w:highlight w:val="none"/>
              </w:rPr>
            </w:pPr>
          </w:p>
        </w:tc>
        <w:tc>
          <w:tcPr>
            <w:tcW w:w="1895" w:type="dxa"/>
            <w:vAlign w:val="center"/>
          </w:tcPr>
          <w:p w14:paraId="40A09A5F">
            <w:pPr>
              <w:jc w:val="center"/>
              <w:rPr>
                <w:rFonts w:hint="eastAsia" w:ascii="宋体" w:hAnsi="宋体" w:eastAsia="宋体"/>
                <w:snapToGrid/>
                <w:color w:val="auto"/>
                <w:sz w:val="24"/>
                <w:highlight w:val="none"/>
              </w:rPr>
            </w:pPr>
          </w:p>
        </w:tc>
        <w:tc>
          <w:tcPr>
            <w:tcW w:w="1425" w:type="dxa"/>
            <w:vAlign w:val="center"/>
          </w:tcPr>
          <w:p w14:paraId="6C4EFADC">
            <w:pPr>
              <w:jc w:val="center"/>
              <w:rPr>
                <w:rFonts w:hint="eastAsia" w:ascii="宋体" w:hAnsi="宋体" w:eastAsia="宋体"/>
                <w:snapToGrid/>
                <w:color w:val="auto"/>
                <w:sz w:val="24"/>
                <w:highlight w:val="none"/>
              </w:rPr>
            </w:pPr>
          </w:p>
        </w:tc>
      </w:tr>
    </w:tbl>
    <w:p w14:paraId="2CB0195F">
      <w:pPr>
        <w:tabs>
          <w:tab w:val="left" w:pos="1800"/>
          <w:tab w:val="left" w:pos="5580"/>
        </w:tabs>
        <w:spacing w:line="360" w:lineRule="auto"/>
        <w:ind w:firstLine="360"/>
        <w:jc w:val="left"/>
        <w:rPr>
          <w:rFonts w:ascii="Times New Roman" w:hAnsi="Times New Roman" w:eastAsia="宋体"/>
          <w:snapToGrid/>
          <w:color w:val="auto"/>
          <w:sz w:val="24"/>
          <w:highlight w:val="none"/>
          <w:u w:val="single"/>
        </w:rPr>
      </w:pPr>
    </w:p>
    <w:p w14:paraId="7ACA1099">
      <w:pPr>
        <w:tabs>
          <w:tab w:val="left" w:pos="1800"/>
          <w:tab w:val="left" w:pos="5580"/>
        </w:tabs>
        <w:spacing w:line="360" w:lineRule="auto"/>
        <w:ind w:firstLine="360"/>
        <w:jc w:val="left"/>
        <w:rPr>
          <w:rFonts w:ascii="Times New Roman" w:hAnsi="Times New Roman" w:eastAsia="宋体"/>
          <w:snapToGrid/>
          <w:color w:val="auto"/>
          <w:sz w:val="24"/>
          <w:highlight w:val="none"/>
          <w:u w:val="single"/>
        </w:rPr>
      </w:pPr>
    </w:p>
    <w:p w14:paraId="34EBBB8A">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注：</w:t>
      </w:r>
    </w:p>
    <w:p w14:paraId="52865DA5">
      <w:pPr>
        <w:tabs>
          <w:tab w:val="left" w:pos="1800"/>
          <w:tab w:val="left" w:pos="5580"/>
        </w:tabs>
        <w:jc w:val="left"/>
        <w:rPr>
          <w:rFonts w:hint="eastAsia" w:ascii="宋体" w:hAnsi="宋体" w:eastAsia="宋体"/>
          <w:snapToGrid/>
          <w:color w:val="auto"/>
          <w:sz w:val="24"/>
          <w:highlight w:val="none"/>
        </w:rPr>
      </w:pPr>
      <w:r>
        <w:rPr>
          <w:rFonts w:hint="eastAsia" w:ascii="宋体" w:hAnsi="宋体" w:eastAsia="宋体"/>
          <w:snapToGrid/>
          <w:color w:val="auto"/>
          <w:sz w:val="24"/>
          <w:highlight w:val="none"/>
        </w:rPr>
        <w:t>1.</w:t>
      </w:r>
      <w:r>
        <w:rPr>
          <w:rFonts w:ascii="宋体" w:hAnsi="宋体" w:eastAsia="宋体"/>
          <w:snapToGrid/>
          <w:color w:val="auto"/>
          <w:sz w:val="24"/>
          <w:highlight w:val="none"/>
        </w:rPr>
        <w:t xml:space="preserve"> 对招标文件中的所有商务、技术要求，除本表所列明的所有偏离外，均视作供应商已对之理解和</w:t>
      </w:r>
      <w:r>
        <w:rPr>
          <w:rFonts w:hint="eastAsia" w:ascii="宋体" w:hAnsi="宋体" w:eastAsia="宋体"/>
          <w:snapToGrid/>
          <w:color w:val="auto"/>
          <w:sz w:val="24"/>
          <w:highlight w:val="none"/>
        </w:rPr>
        <w:t>响应</w:t>
      </w:r>
      <w:r>
        <w:rPr>
          <w:rFonts w:ascii="宋体" w:hAnsi="宋体" w:eastAsia="宋体"/>
          <w:snapToGrid/>
          <w:color w:val="auto"/>
          <w:sz w:val="24"/>
          <w:highlight w:val="none"/>
        </w:rPr>
        <w:t>。</w:t>
      </w:r>
    </w:p>
    <w:p w14:paraId="07C36BD8">
      <w:pPr>
        <w:tabs>
          <w:tab w:val="left" w:pos="1800"/>
          <w:tab w:val="left" w:pos="5580"/>
        </w:tabs>
        <w:jc w:val="left"/>
        <w:rPr>
          <w:rFonts w:hint="eastAsia" w:ascii="宋体" w:hAnsi="宋体" w:eastAsia="宋体"/>
          <w:snapToGrid/>
          <w:color w:val="auto"/>
          <w:sz w:val="24"/>
          <w:highlight w:val="none"/>
        </w:rPr>
      </w:pPr>
      <w:r>
        <w:rPr>
          <w:rFonts w:ascii="宋体" w:hAnsi="宋体" w:eastAsia="宋体"/>
          <w:snapToGrid/>
          <w:color w:val="auto"/>
          <w:sz w:val="24"/>
          <w:highlight w:val="none"/>
        </w:rPr>
        <w:t>2.</w:t>
      </w:r>
      <w:r>
        <w:rPr>
          <w:rFonts w:hint="eastAsia" w:ascii="宋体" w:hAnsi="宋体" w:eastAsia="宋体"/>
          <w:snapToGrid/>
          <w:color w:val="auto"/>
          <w:sz w:val="24"/>
          <w:highlight w:val="none"/>
        </w:rPr>
        <w:t>“偏离情况”列应据实填写“正偏离”或“负偏离”。</w:t>
      </w:r>
    </w:p>
    <w:p w14:paraId="6F0CFC55">
      <w:pPr>
        <w:tabs>
          <w:tab w:val="left" w:pos="1800"/>
          <w:tab w:val="left" w:pos="5580"/>
        </w:tabs>
        <w:jc w:val="left"/>
        <w:rPr>
          <w:rFonts w:hint="eastAsia" w:ascii="宋体" w:hAnsi="宋体" w:eastAsia="宋体"/>
          <w:snapToGrid/>
          <w:color w:val="auto"/>
          <w:sz w:val="24"/>
          <w:highlight w:val="none"/>
        </w:rPr>
      </w:pPr>
    </w:p>
    <w:p w14:paraId="603931ED">
      <w:pPr>
        <w:rPr>
          <w:rFonts w:hint="eastAsia" w:ascii="宋体" w:hAnsi="宋体" w:eastAsia="宋体"/>
          <w:snapToGrid/>
          <w:color w:val="auto"/>
          <w:sz w:val="24"/>
          <w:szCs w:val="20"/>
          <w:highlight w:val="none"/>
        </w:rPr>
      </w:pPr>
    </w:p>
    <w:p w14:paraId="0D3D446A">
      <w:pPr>
        <w:spacing w:before="25" w:after="25" w:line="360" w:lineRule="auto"/>
        <w:rPr>
          <w:rFonts w:hint="eastAsia" w:ascii="宋体" w:hAnsi="宋体" w:eastAsia="宋体"/>
          <w:snapToGrid/>
          <w:color w:val="auto"/>
          <w:sz w:val="24"/>
          <w:highlight w:val="none"/>
        </w:rPr>
      </w:pPr>
      <w:r>
        <w:rPr>
          <w:rFonts w:ascii="宋体" w:hAnsi="宋体" w:eastAsia="宋体"/>
          <w:snapToGrid/>
          <w:color w:val="auto"/>
          <w:sz w:val="24"/>
          <w:highlight w:val="none"/>
          <w:lang w:val="zh-CN"/>
        </w:rPr>
        <w:t xml:space="preserve">                  </w:t>
      </w:r>
    </w:p>
    <w:p w14:paraId="02765EE5">
      <w:pPr>
        <w:spacing w:before="25" w:after="25" w:line="360" w:lineRule="auto"/>
        <w:rPr>
          <w:rFonts w:hint="eastAsia" w:ascii="宋体" w:hAnsi="宋体" w:eastAsia="宋体"/>
          <w:snapToGrid/>
          <w:color w:val="auto"/>
          <w:sz w:val="24"/>
          <w:highlight w:val="none"/>
        </w:rPr>
      </w:pPr>
      <w:r>
        <w:rPr>
          <w:rFonts w:ascii="宋体" w:hAnsi="宋体" w:eastAsia="宋体"/>
          <w:snapToGrid/>
          <w:color w:val="auto"/>
          <w:sz w:val="24"/>
          <w:highlight w:val="none"/>
        </w:rPr>
        <w:t>供应商名称（加盖公章）</w:t>
      </w:r>
      <w:r>
        <w:rPr>
          <w:rFonts w:ascii="宋体" w:hAnsi="宋体" w:eastAsia="宋体"/>
          <w:snapToGrid/>
          <w:color w:val="auto"/>
          <w:sz w:val="24"/>
          <w:highlight w:val="none"/>
          <w:lang w:val="zh-CN"/>
        </w:rPr>
        <w:t>：    ____________</w:t>
      </w:r>
    </w:p>
    <w:p w14:paraId="12231624">
      <w:pPr>
        <w:spacing w:before="25" w:after="25" w:line="360" w:lineRule="auto"/>
        <w:rPr>
          <w:rFonts w:hint="eastAsia" w:ascii="宋体" w:hAnsi="宋体" w:eastAsia="宋体"/>
          <w:snapToGrid/>
          <w:color w:val="auto"/>
          <w:sz w:val="24"/>
          <w:highlight w:val="none"/>
        </w:rPr>
      </w:pPr>
      <w:r>
        <w:rPr>
          <w:rFonts w:ascii="宋体" w:hAnsi="宋体" w:eastAsia="宋体"/>
          <w:snapToGrid/>
          <w:color w:val="auto"/>
          <w:sz w:val="24"/>
          <w:szCs w:val="20"/>
          <w:highlight w:val="none"/>
        </w:rPr>
        <w:t xml:space="preserve">日期：_____年______月______日   </w:t>
      </w:r>
    </w:p>
    <w:p w14:paraId="6715173A">
      <w:pPr>
        <w:rPr>
          <w:rFonts w:ascii="Times New Roman" w:hAnsi="Times New Roman" w:eastAsia="宋体"/>
          <w:snapToGrid/>
          <w:color w:val="auto"/>
          <w:highlight w:val="none"/>
        </w:rPr>
      </w:pPr>
    </w:p>
    <w:p w14:paraId="2F290D19">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b/>
          <w:snapToGrid/>
          <w:color w:val="auto"/>
          <w:kern w:val="2"/>
          <w:sz w:val="24"/>
          <w:highlight w:val="none"/>
        </w:rPr>
        <w:br w:type="page"/>
      </w:r>
    </w:p>
    <w:p w14:paraId="54E849AE">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2970BEFB">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6E5F6AA1">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5D8A9B32">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南通市政务中心电气火灾监控系统改造工程</w:t>
            </w:r>
          </w:p>
        </w:tc>
      </w:tr>
      <w:tr w14:paraId="79108780">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655B79A6">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0156C6AD">
            <w:pPr>
              <w:widowControl/>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p>
        </w:tc>
      </w:tr>
      <w:tr w14:paraId="457173EF">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0A2B4399">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38CCFA9B">
            <w:pPr>
              <w:snapToGrid w:val="0"/>
              <w:spacing w:line="420" w:lineRule="exact"/>
              <w:textAlignment w:val="baseline"/>
              <w:rPr>
                <w:rFonts w:hint="eastAsia" w:ascii="宋体" w:hAnsi="宋体" w:eastAsia="宋体" w:cs="宋体"/>
                <w:color w:val="auto"/>
                <w:kern w:val="2"/>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kern w:val="2"/>
                <w:sz w:val="24"/>
                <w:highlight w:val="none"/>
              </w:rPr>
              <w:t>人民币</w:t>
            </w:r>
            <w:r>
              <w:rPr>
                <w:rFonts w:hint="eastAsia" w:ascii="宋体" w:hAnsi="宋体" w:eastAsia="宋体" w:cs="宋体"/>
                <w:color w:val="auto"/>
                <w:kern w:val="2"/>
                <w:sz w:val="24"/>
                <w:highlight w:val="none"/>
                <w:u w:val="single" w:color="000000"/>
              </w:rPr>
              <w:t xml:space="preserve">    拾   万   仟   佰   拾   元   角   分</w:t>
            </w:r>
            <w:r>
              <w:rPr>
                <w:rFonts w:hint="eastAsia" w:ascii="宋体" w:hAnsi="宋体" w:eastAsia="宋体" w:cs="宋体"/>
                <w:color w:val="auto"/>
                <w:kern w:val="2"/>
                <w:sz w:val="24"/>
                <w:highlight w:val="none"/>
              </w:rPr>
              <w:t>。</w:t>
            </w:r>
          </w:p>
          <w:p w14:paraId="2AB6E4BA">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小写：￥</w:t>
            </w:r>
            <w:r>
              <w:rPr>
                <w:rFonts w:hint="eastAsia" w:ascii="宋体" w:hAnsi="宋体" w:eastAsia="宋体" w:cs="宋体"/>
                <w:color w:val="auto"/>
                <w:kern w:val="2"/>
                <w:sz w:val="24"/>
                <w:highlight w:val="none"/>
                <w:u w:val="single" w:color="000000"/>
              </w:rPr>
              <w:t xml:space="preserve">                 元。</w:t>
            </w:r>
          </w:p>
        </w:tc>
      </w:tr>
      <w:tr w14:paraId="29E21F06">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2C7972CA">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最终磋商报价</w:t>
            </w:r>
          </w:p>
          <w:p w14:paraId="4A35767D">
            <w:pPr>
              <w:widowControl/>
              <w:spacing w:line="360" w:lineRule="auto"/>
              <w:jc w:val="center"/>
              <w:rPr>
                <w:rFonts w:hint="eastAsia"/>
                <w:color w:val="auto"/>
                <w:kern w:val="2"/>
                <w:highlight w:val="none"/>
              </w:rPr>
            </w:pPr>
            <w:r>
              <w:rPr>
                <w:rFonts w:hint="eastAsia" w:ascii="宋体" w:hAnsi="宋体" w:eastAsia="宋体" w:cs="宋体"/>
                <w:b/>
                <w:bCs/>
                <w:color w:val="auto"/>
                <w:sz w:val="24"/>
                <w:highlight w:val="none"/>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000F81B7">
            <w:pPr>
              <w:snapToGrid w:val="0"/>
              <w:spacing w:line="420" w:lineRule="exact"/>
              <w:textAlignment w:val="baseline"/>
              <w:rPr>
                <w:rFonts w:hint="eastAsia" w:ascii="宋体" w:hAnsi="宋体" w:eastAsia="宋体" w:cs="宋体"/>
                <w:color w:val="auto"/>
                <w:kern w:val="2"/>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kern w:val="2"/>
                <w:sz w:val="24"/>
                <w:highlight w:val="none"/>
              </w:rPr>
              <w:t>人民币</w:t>
            </w:r>
            <w:r>
              <w:rPr>
                <w:rFonts w:hint="eastAsia" w:ascii="宋体" w:hAnsi="宋体" w:eastAsia="宋体" w:cs="宋体"/>
                <w:color w:val="auto"/>
                <w:kern w:val="2"/>
                <w:sz w:val="24"/>
                <w:highlight w:val="none"/>
                <w:u w:val="single" w:color="000000"/>
              </w:rPr>
              <w:t xml:space="preserve">    拾   万   仟   佰   拾   元   角   分</w:t>
            </w:r>
            <w:r>
              <w:rPr>
                <w:rFonts w:hint="eastAsia" w:ascii="宋体" w:hAnsi="宋体" w:eastAsia="宋体" w:cs="宋体"/>
                <w:color w:val="auto"/>
                <w:kern w:val="2"/>
                <w:sz w:val="24"/>
                <w:highlight w:val="none"/>
              </w:rPr>
              <w:t>。</w:t>
            </w:r>
          </w:p>
          <w:p w14:paraId="6DEFF6F6">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小写：￥</w:t>
            </w:r>
            <w:r>
              <w:rPr>
                <w:rFonts w:hint="eastAsia" w:ascii="宋体" w:hAnsi="宋体" w:eastAsia="宋体" w:cs="宋体"/>
                <w:color w:val="auto"/>
                <w:kern w:val="2"/>
                <w:sz w:val="24"/>
                <w:highlight w:val="none"/>
                <w:u w:val="single" w:color="000000"/>
              </w:rPr>
              <w:t xml:space="preserve">                 元。</w:t>
            </w:r>
          </w:p>
        </w:tc>
      </w:tr>
      <w:tr w14:paraId="31813415">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62CD00C5">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6DA36C5E">
            <w:pPr>
              <w:snapToGrid w:val="0"/>
              <w:spacing w:line="42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完全接受并响应竞争性磋商文件中工期和质</w:t>
            </w:r>
            <w:r>
              <w:rPr>
                <w:rFonts w:hint="eastAsia" w:ascii="宋体" w:hAnsi="宋体" w:eastAsia="宋体" w:cs="宋体"/>
                <w:color w:val="auto"/>
                <w:kern w:val="2"/>
                <w:sz w:val="24"/>
                <w:highlight w:val="none"/>
              </w:rPr>
              <w:t>量要求。</w:t>
            </w:r>
          </w:p>
        </w:tc>
      </w:tr>
    </w:tbl>
    <w:p w14:paraId="44B7CCB1">
      <w:pPr>
        <w:spacing w:line="600" w:lineRule="exact"/>
        <w:rPr>
          <w:rFonts w:hint="eastAsia" w:ascii="宋体" w:hAnsi="宋体" w:eastAsia="宋体"/>
          <w:color w:val="auto"/>
          <w:kern w:val="2"/>
          <w:sz w:val="24"/>
          <w:highlight w:val="none"/>
        </w:rPr>
      </w:pPr>
    </w:p>
    <w:p w14:paraId="5A346B94">
      <w:pPr>
        <w:snapToGrid w:val="0"/>
        <w:spacing w:line="360" w:lineRule="auto"/>
        <w:ind w:right="79"/>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竞争性磋商响应供应商：（单位盖章）</w:t>
      </w:r>
    </w:p>
    <w:p w14:paraId="280FFF5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法定代表人或委托代理人（签字或盖章）：            </w:t>
      </w:r>
    </w:p>
    <w:p w14:paraId="08C32F4E">
      <w:pPr>
        <w:adjustRightInd w:val="0"/>
        <w:snapToGrid w:val="0"/>
        <w:spacing w:line="480" w:lineRule="auto"/>
        <w:jc w:val="left"/>
        <w:rPr>
          <w:rFonts w:hint="eastAsia"/>
          <w:color w:val="auto"/>
          <w:highlight w:val="none"/>
        </w:rPr>
      </w:pPr>
      <w:r>
        <w:rPr>
          <w:rFonts w:hint="eastAsia" w:ascii="宋体" w:hAnsi="宋体" w:eastAsia="宋体" w:cs="宋体"/>
          <w:color w:val="auto"/>
          <w:sz w:val="24"/>
          <w:highlight w:val="none"/>
        </w:rPr>
        <w:t>日期：  年  月  日</w:t>
      </w:r>
    </w:p>
    <w:p w14:paraId="42FA8B7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注：（1）本表为格式表，不得自行改动，必须提供，否则视为未实质性响应采购文件。</w:t>
      </w:r>
    </w:p>
    <w:p w14:paraId="20C6378B">
      <w:pPr>
        <w:snapToGrid w:val="0"/>
        <w:spacing w:line="360" w:lineRule="auto"/>
        <w:ind w:firstLine="480" w:firstLineChars="200"/>
        <w:rPr>
          <w:rStyle w:val="96"/>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olor w:val="auto"/>
          <w:sz w:val="24"/>
          <w:highlight w:val="none"/>
        </w:rPr>
        <w:t>响应文件密封提交时只需填写首次磋商报价。最终磋商报价表将在磋商现场填写</w:t>
      </w:r>
    </w:p>
    <w:p w14:paraId="6F4D9002">
      <w:pPr>
        <w:snapToGrid w:val="0"/>
        <w:spacing w:line="360" w:lineRule="auto"/>
        <w:ind w:firstLine="494" w:firstLineChars="206"/>
        <w:rPr>
          <w:rFonts w:hint="eastAsia" w:ascii="宋体" w:hAnsi="宋体" w:eastAsia="宋体"/>
          <w:color w:val="auto"/>
          <w:sz w:val="24"/>
          <w:highlight w:val="none"/>
        </w:rPr>
      </w:pPr>
      <w:r>
        <w:rPr>
          <w:rStyle w:val="96"/>
          <w:rFonts w:hint="eastAsia" w:ascii="宋体" w:hAnsi="宋体" w:eastAsia="宋体" w:cs="宋体"/>
          <w:bCs/>
          <w:color w:val="auto"/>
          <w:sz w:val="24"/>
          <w:szCs w:val="24"/>
          <w:highlight w:val="none"/>
        </w:rPr>
        <w:t>（3）</w:t>
      </w:r>
      <w:r>
        <w:rPr>
          <w:rFonts w:hint="eastAsia" w:ascii="宋体" w:hAnsi="宋体" w:eastAsia="宋体"/>
          <w:color w:val="auto"/>
          <w:sz w:val="24"/>
          <w:highlight w:val="none"/>
        </w:rPr>
        <w:t>供应商的最终磋商报价不得高于自已首次磋商报价，否则视为无效。</w:t>
      </w:r>
    </w:p>
    <w:p w14:paraId="0D9A85A1">
      <w:pPr>
        <w:widowControl/>
        <w:snapToGrid w:val="0"/>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r>
        <w:rPr>
          <w:rFonts w:hint="eastAsia" w:ascii="宋体" w:hAnsi="宋体" w:eastAsia="宋体"/>
          <w:b/>
          <w:bCs/>
          <w:color w:val="auto"/>
          <w:sz w:val="24"/>
          <w:highlight w:val="none"/>
        </w:rPr>
        <w:t>最终成交价的工程量清单，成交供应商须在领取成交通知书时提供盖章版2份。</w:t>
      </w:r>
    </w:p>
    <w:p w14:paraId="7C05305A">
      <w:pPr>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6E1CD5BE">
      <w:pPr>
        <w:jc w:val="center"/>
        <w:rPr>
          <w:rFonts w:hint="eastAsia" w:ascii="宋体" w:hAnsi="宋体" w:eastAsia="宋体" w:cs="宋体"/>
          <w:bCs/>
          <w:snapToGrid/>
          <w:color w:val="auto"/>
          <w:sz w:val="28"/>
          <w:szCs w:val="28"/>
          <w:highlight w:val="none"/>
        </w:rPr>
      </w:pPr>
    </w:p>
    <w:p w14:paraId="6340CD56">
      <w:pPr>
        <w:jc w:val="center"/>
        <w:rPr>
          <w:rFonts w:hint="eastAsia" w:ascii="宋体" w:hAnsi="宋体" w:eastAsia="宋体" w:cs="宋体"/>
          <w:b/>
          <w:snapToGrid/>
          <w:color w:val="auto"/>
          <w:sz w:val="28"/>
          <w:szCs w:val="28"/>
          <w:highlight w:val="none"/>
        </w:rPr>
      </w:pPr>
      <w:r>
        <w:rPr>
          <w:rFonts w:hint="eastAsia" w:ascii="宋体" w:hAnsi="宋体" w:eastAsia="宋体" w:cs="宋体"/>
          <w:b/>
          <w:snapToGrid/>
          <w:color w:val="auto"/>
          <w:sz w:val="28"/>
          <w:szCs w:val="28"/>
          <w:highlight w:val="none"/>
        </w:rPr>
        <w:t>9、磋商响应报价明细</w:t>
      </w:r>
    </w:p>
    <w:p w14:paraId="48124B10">
      <w:pPr>
        <w:spacing w:line="300" w:lineRule="auto"/>
        <w:outlineLvl w:val="0"/>
        <w:rPr>
          <w:rFonts w:hint="eastAsia" w:ascii="宋体" w:hAnsi="宋体" w:eastAsia="宋体" w:cs="宋体"/>
          <w:b/>
          <w:snapToGrid/>
          <w:color w:val="auto"/>
          <w:sz w:val="28"/>
          <w:szCs w:val="28"/>
          <w:highlight w:val="none"/>
          <w:lang w:val="zh-CN"/>
        </w:rPr>
      </w:pPr>
    </w:p>
    <w:p w14:paraId="00D67118">
      <w:pPr>
        <w:spacing w:line="300" w:lineRule="auto"/>
        <w:ind w:firstLine="480"/>
        <w:outlineLvl w:val="0"/>
        <w:rPr>
          <w:rFonts w:hint="eastAsia" w:ascii="宋体" w:hAnsi="宋体" w:eastAsia="宋体" w:cs="宋体"/>
          <w:bCs/>
          <w:snapToGrid/>
          <w:color w:val="auto"/>
          <w:sz w:val="24"/>
          <w:highlight w:val="none"/>
          <w:lang w:val="zh-CN"/>
        </w:rPr>
      </w:pPr>
      <w:bookmarkStart w:id="228" w:name="_Hlk191286499"/>
      <w:r>
        <w:rPr>
          <w:rFonts w:hint="eastAsia" w:ascii="宋体" w:hAnsi="宋体" w:eastAsia="宋体" w:cs="宋体"/>
          <w:bCs/>
          <w:snapToGrid/>
          <w:color w:val="auto"/>
          <w:sz w:val="24"/>
          <w:highlight w:val="none"/>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28"/>
    <w:p w14:paraId="3DBD55C0">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38F6ACA">
      <w:pPr>
        <w:jc w:val="center"/>
        <w:rPr>
          <w:rFonts w:hint="eastAsia" w:ascii="黑体" w:hAnsi="黑体" w:eastAsia="黑体" w:cs="仿宋"/>
          <w:bCs/>
          <w:color w:val="auto"/>
          <w:sz w:val="44"/>
          <w:szCs w:val="44"/>
          <w:highlight w:val="none"/>
        </w:rPr>
      </w:pPr>
      <w:r>
        <w:rPr>
          <w:rFonts w:hint="eastAsia" w:ascii="宋体" w:hAnsi="宋体" w:eastAsia="宋体" w:cs="宋体"/>
          <w:b/>
          <w:bCs/>
          <w:color w:val="auto"/>
          <w:sz w:val="28"/>
          <w:szCs w:val="28"/>
          <w:highlight w:val="none"/>
        </w:rPr>
        <w:t>质疑函范本</w:t>
      </w:r>
    </w:p>
    <w:p w14:paraId="500083A0">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3EC66C77">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p>
    <w:p w14:paraId="5D3BD4D0">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14:paraId="5B60299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            联系电话：</w:t>
      </w:r>
    </w:p>
    <w:p w14:paraId="13298E7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p>
    <w:p w14:paraId="3C4BD6B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447999C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14:paraId="080E2D76">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22F2AF22">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p>
    <w:p w14:paraId="533565B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                包号：</w:t>
      </w:r>
    </w:p>
    <w:p w14:paraId="428C30CA">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p>
    <w:p w14:paraId="1738934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p>
    <w:p w14:paraId="70768865">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0E5B6BBA">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p>
    <w:p w14:paraId="64407AB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p>
    <w:p w14:paraId="18B17908">
      <w:pPr>
        <w:adjustRightInd w:val="0"/>
        <w:snapToGrid w:val="0"/>
        <w:spacing w:line="360" w:lineRule="auto"/>
        <w:rPr>
          <w:rFonts w:hint="eastAsia" w:ascii="宋体" w:hAnsi="宋体" w:eastAsia="宋体" w:cs="宋体"/>
          <w:color w:val="auto"/>
          <w:sz w:val="24"/>
          <w:highlight w:val="none"/>
        </w:rPr>
      </w:pPr>
    </w:p>
    <w:p w14:paraId="6B7CEF9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p>
    <w:p w14:paraId="33012D5B">
      <w:pPr>
        <w:adjustRightInd w:val="0"/>
        <w:snapToGrid w:val="0"/>
        <w:spacing w:line="360" w:lineRule="auto"/>
        <w:rPr>
          <w:rFonts w:hint="eastAsia" w:ascii="宋体" w:hAnsi="宋体" w:eastAsia="宋体" w:cs="宋体"/>
          <w:color w:val="auto"/>
          <w:sz w:val="24"/>
          <w:highlight w:val="none"/>
          <w:u w:val="dotted"/>
        </w:rPr>
      </w:pPr>
    </w:p>
    <w:p w14:paraId="4F35D54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5F44AB42">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86AFD55">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6B859778">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p>
    <w:p w14:paraId="7F10BE8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069CBC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5BAAA6B">
      <w:pPr>
        <w:adjustRightInd w:val="0"/>
        <w:snapToGrid w:val="0"/>
        <w:spacing w:line="360" w:lineRule="auto"/>
        <w:rPr>
          <w:rFonts w:hint="eastAsia" w:ascii="宋体" w:hAnsi="宋体" w:eastAsia="宋体" w:cs="宋体"/>
          <w:color w:val="auto"/>
          <w:sz w:val="24"/>
          <w:highlight w:val="none"/>
        </w:rPr>
      </w:pPr>
    </w:p>
    <w:p w14:paraId="552895A6">
      <w:pPr>
        <w:snapToGrid w:val="0"/>
        <w:spacing w:line="360" w:lineRule="auto"/>
        <w:rPr>
          <w:rFonts w:hint="eastAsia" w:ascii="宋体" w:hAnsi="宋体" w:eastAsia="宋体" w:cs="宋体"/>
          <w:b/>
          <w:color w:val="auto"/>
          <w:sz w:val="24"/>
          <w:highlight w:val="none"/>
        </w:rPr>
      </w:pPr>
    </w:p>
    <w:p w14:paraId="1101E5C9">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10D919C1">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73BDAA65">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3EE81D">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5E5B9173">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79E7DEB6">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F57E893">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A821E00">
      <w:pPr>
        <w:snapToGrid w:val="0"/>
        <w:spacing w:line="360" w:lineRule="auto"/>
        <w:ind w:firstLine="579" w:firstLineChars="206"/>
        <w:jc w:val="center"/>
        <w:rPr>
          <w:rFonts w:hint="eastAsia" w:ascii="宋体" w:hAnsi="宋体" w:eastAsia="宋体"/>
          <w:color w:val="auto"/>
          <w:sz w:val="24"/>
          <w:highlight w:val="none"/>
        </w:rPr>
      </w:pPr>
      <w:r>
        <w:rPr>
          <w:rFonts w:hint="eastAsia" w:ascii="宋体" w:hAnsi="宋体" w:eastAsia="宋体" w:cs="宋体"/>
          <w:b/>
          <w:bCs/>
          <w:color w:val="auto"/>
          <w:sz w:val="28"/>
          <w:szCs w:val="28"/>
          <w:highlight w:val="none"/>
        </w:rPr>
        <w:br w:type="page"/>
      </w:r>
    </w:p>
    <w:p w14:paraId="6CC5D497">
      <w:pPr>
        <w:spacing w:before="156" w:beforeLines="50" w:after="156" w:afterLines="50" w:line="360" w:lineRule="auto"/>
        <w:jc w:val="center"/>
        <w:rPr>
          <w:rFonts w:hint="eastAsia" w:ascii="宋体" w:hAnsi="宋体" w:eastAsia="宋体" w:cs="宋体"/>
          <w:b/>
          <w:bCs/>
          <w:snapToGrid/>
          <w:color w:val="auto"/>
          <w:w w:val="80"/>
          <w:kern w:val="2"/>
          <w:sz w:val="44"/>
          <w:szCs w:val="44"/>
          <w:highlight w:val="none"/>
        </w:rPr>
      </w:pPr>
      <w:r>
        <w:rPr>
          <w:rFonts w:hint="eastAsia" w:ascii="宋体" w:hAnsi="宋体" w:eastAsia="宋体" w:cs="宋体"/>
          <w:b/>
          <w:bCs/>
          <w:snapToGrid/>
          <w:color w:val="auto"/>
          <w:w w:val="80"/>
          <w:kern w:val="2"/>
          <w:sz w:val="44"/>
          <w:szCs w:val="44"/>
          <w:highlight w:val="none"/>
        </w:rPr>
        <w:t>第七部分 工程量清单</w:t>
      </w:r>
    </w:p>
    <w:p w14:paraId="7C79A8F3">
      <w:pPr>
        <w:pStyle w:val="71"/>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（详见附件）</w:t>
      </w:r>
    </w:p>
    <w:p w14:paraId="62537B78">
      <w:pPr>
        <w:widowControl/>
        <w:jc w:val="left"/>
        <w:rPr>
          <w:rFonts w:ascii="Calibri" w:hAnsi="Calibri" w:eastAsia="宋体"/>
          <w:snapToGrid/>
          <w:color w:val="auto"/>
          <w:kern w:val="2"/>
          <w:highlight w:val="none"/>
        </w:rPr>
      </w:pPr>
      <w:r>
        <w:rPr>
          <w:rFonts w:ascii="Calibri" w:hAnsi="Calibri" w:eastAsia="宋体"/>
          <w:snapToGrid/>
          <w:color w:val="auto"/>
          <w:kern w:val="2"/>
          <w:highlight w:val="none"/>
        </w:rPr>
        <w:br w:type="page"/>
      </w:r>
    </w:p>
    <w:p w14:paraId="37B49AE9">
      <w:pPr>
        <w:widowControl/>
        <w:jc w:val="left"/>
        <w:rPr>
          <w:rFonts w:ascii="Calibri" w:hAnsi="Calibri" w:eastAsia="宋体"/>
          <w:snapToGrid/>
          <w:color w:val="auto"/>
          <w:kern w:val="2"/>
          <w:highlight w:val="none"/>
        </w:rPr>
      </w:pPr>
    </w:p>
    <w:p w14:paraId="26A7C133">
      <w:pPr>
        <w:pStyle w:val="87"/>
        <w:ind w:left="0" w:leftChars="0" w:firstLine="0" w:firstLineChars="0"/>
        <w:jc w:val="center"/>
        <w:rPr>
          <w:rFonts w:hint="eastAsia" w:ascii="宋体" w:hAnsi="宋体" w:cs="宋体"/>
          <w:b/>
          <w:bCs/>
          <w:color w:val="auto"/>
          <w:w w:val="80"/>
          <w:sz w:val="44"/>
          <w:szCs w:val="44"/>
          <w:highlight w:val="none"/>
        </w:rPr>
      </w:pPr>
      <w:r>
        <w:rPr>
          <w:rFonts w:hint="eastAsia" w:ascii="宋体" w:hAnsi="宋体" w:cs="宋体"/>
          <w:b/>
          <w:bCs/>
          <w:color w:val="auto"/>
          <w:w w:val="80"/>
          <w:sz w:val="44"/>
          <w:szCs w:val="44"/>
          <w:highlight w:val="none"/>
        </w:rPr>
        <w:t>第八部分 图纸</w:t>
      </w:r>
    </w:p>
    <w:p w14:paraId="0CAB923B">
      <w:pPr>
        <w:pStyle w:val="71"/>
        <w:ind w:lef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（详见附件）</w:t>
      </w:r>
    </w:p>
    <w:p w14:paraId="2D158699">
      <w:pPr>
        <w:pStyle w:val="71"/>
        <w:ind w:left="0"/>
        <w:jc w:val="center"/>
        <w:rPr>
          <w:rFonts w:hint="eastAsia" w:ascii="宋体" w:hAnsi="宋体" w:cs="宋体"/>
          <w:color w:val="auto"/>
          <w:sz w:val="24"/>
          <w:szCs w:val="24"/>
          <w:highlight w:val="none"/>
        </w:rPr>
      </w:pPr>
    </w:p>
    <w:p w14:paraId="2DD97905">
      <w:pPr>
        <w:pStyle w:val="71"/>
        <w:ind w:left="0"/>
        <w:jc w:val="center"/>
        <w:rPr>
          <w:rFonts w:hint="eastAsia" w:ascii="宋体" w:hAnsi="宋体" w:cs="宋体"/>
          <w:color w:val="auto"/>
          <w:sz w:val="24"/>
          <w:szCs w:val="24"/>
          <w:highlight w:val="none"/>
        </w:rPr>
      </w:pPr>
    </w:p>
    <w:p w14:paraId="0B047BB4">
      <w:pPr>
        <w:pStyle w:val="71"/>
        <w:ind w:left="0"/>
        <w:jc w:val="center"/>
        <w:rPr>
          <w:rFonts w:hint="eastAsia" w:ascii="宋体" w:hAnsi="宋体" w:cs="宋体"/>
          <w:b/>
          <w:color w:val="auto"/>
          <w:sz w:val="24"/>
          <w:szCs w:val="24"/>
          <w:highlight w:val="none"/>
        </w:rPr>
      </w:pPr>
      <w:r>
        <w:rPr>
          <w:rFonts w:ascii="宋体" w:hAnsi="宋体" w:cs="宋体"/>
          <w:b/>
          <w:color w:val="auto"/>
          <w:sz w:val="24"/>
          <w:szCs w:val="24"/>
          <w:highlight w:val="none"/>
        </w:rPr>
        <w:t>……</w:t>
      </w:r>
      <w:r>
        <w:rPr>
          <w:rFonts w:hint="eastAsia" w:ascii="宋体" w:hAnsi="宋体" w:cs="宋体"/>
          <w:b/>
          <w:color w:val="auto"/>
          <w:sz w:val="24"/>
          <w:szCs w:val="24"/>
          <w:highlight w:val="none"/>
        </w:rPr>
        <w:t>全文结束</w:t>
      </w:r>
      <w:r>
        <w:rPr>
          <w:rFonts w:ascii="宋体" w:hAnsi="宋体" w:cs="宋体"/>
          <w:b/>
          <w:color w:val="auto"/>
          <w:sz w:val="24"/>
          <w:szCs w:val="24"/>
          <w:highlight w:val="none"/>
        </w:rPr>
        <w:t>……</w:t>
      </w:r>
    </w:p>
    <w:p w14:paraId="460A556C">
      <w:pPr>
        <w:pStyle w:val="71"/>
        <w:ind w:left="0"/>
        <w:jc w:val="center"/>
        <w:rPr>
          <w:rFonts w:hint="eastAsia" w:ascii="宋体" w:hAnsi="宋体" w:cs="宋体"/>
          <w:color w:val="auto"/>
          <w:sz w:val="24"/>
          <w:szCs w:val="24"/>
          <w:highlight w:val="none"/>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仿宋"/>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Impact">
    <w:panose1 w:val="020B0806030902050204"/>
    <w:charset w:val="00"/>
    <w:family w:val="swiss"/>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方正仿宋_GB2312">
    <w:altName w:val="微软雅黑"/>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FBC">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5AE5815B">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5AE5815B">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14:paraId="1BC0BA8F">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4BC1C628">
    <w:pPr>
      <w:pStyle w:val="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14:paraId="3DDAF7F0">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14668A88">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9A40">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3DD6">
    <w:pPr>
      <w:snapToGrid w:val="0"/>
      <w:spacing w:line="360" w:lineRule="auto"/>
      <w:jc w:val="center"/>
      <w:rPr>
        <w:rFonts w:hint="eastAsia"/>
      </w:rPr>
    </w:pPr>
    <w:r>
      <w:rPr>
        <w:rFonts w:hint="eastAsia" w:ascii="宋体" w:hAnsi="宋体" w:eastAsia="宋体" w:cs="宋体"/>
        <w:sz w:val="18"/>
        <w:szCs w:val="18"/>
        <w:u w:val="single"/>
      </w:rPr>
      <w:t>南通市政务中心电气火灾监控系统改造工程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4F20">
    <w:pPr>
      <w:snapToGrid w:val="0"/>
      <w:spacing w:line="360" w:lineRule="auto"/>
      <w:jc w:val="center"/>
      <w:rPr>
        <w:rFonts w:hint="eastAsia" w:ascii="宋体" w:hAnsi="宋体" w:eastAsia="宋体"/>
        <w:sz w:val="18"/>
        <w:szCs w:val="18"/>
        <w:u w:val="single"/>
      </w:rPr>
    </w:pPr>
    <w:r>
      <w:rPr>
        <w:rFonts w:hint="eastAsia" w:ascii="宋体" w:hAnsi="宋体" w:eastAsia="宋体" w:cs="宋体"/>
        <w:sz w:val="18"/>
        <w:szCs w:val="18"/>
        <w:u w:val="single"/>
      </w:rPr>
      <w:t>南通市政务中心电气火灾监控系统改造工程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1655D05D"/>
    <w:multiLevelType w:val="singleLevel"/>
    <w:tmpl w:val="1655D05D"/>
    <w:lvl w:ilvl="0" w:tentative="0">
      <w:start w:val="2"/>
      <w:numFmt w:val="decimal"/>
      <w:suff w:val="nothing"/>
      <w:lvlText w:val="%1、"/>
      <w:lvlJc w:val="left"/>
    </w:lvl>
  </w:abstractNum>
  <w:abstractNum w:abstractNumId="2">
    <w:nsid w:val="1A46F240"/>
    <w:multiLevelType w:val="singleLevel"/>
    <w:tmpl w:val="1A46F240"/>
    <w:lvl w:ilvl="0" w:tentative="0">
      <w:start w:val="8"/>
      <w:numFmt w:val="decimal"/>
      <w:suff w:val="space"/>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1NjJkYzkzOGM1OWE1MTlhNjU3N2M1ZmRiNTBhZjY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13BC"/>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8F"/>
    <w:rsid w:val="00273E43"/>
    <w:rsid w:val="00274720"/>
    <w:rsid w:val="00275485"/>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4E8"/>
    <w:rsid w:val="0036443D"/>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300"/>
    <w:rsid w:val="00403584"/>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6285"/>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EC1"/>
    <w:rsid w:val="005B1F8E"/>
    <w:rsid w:val="005B25AE"/>
    <w:rsid w:val="005B3D76"/>
    <w:rsid w:val="005B5697"/>
    <w:rsid w:val="005B579C"/>
    <w:rsid w:val="005B7251"/>
    <w:rsid w:val="005C2E92"/>
    <w:rsid w:val="005D040E"/>
    <w:rsid w:val="005D1BD5"/>
    <w:rsid w:val="005D2C25"/>
    <w:rsid w:val="005D2D41"/>
    <w:rsid w:val="005D5120"/>
    <w:rsid w:val="005D519D"/>
    <w:rsid w:val="005D5F33"/>
    <w:rsid w:val="005D61EA"/>
    <w:rsid w:val="005E063D"/>
    <w:rsid w:val="005E17D3"/>
    <w:rsid w:val="005E1CA5"/>
    <w:rsid w:val="005E2C03"/>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3506"/>
    <w:rsid w:val="00854B94"/>
    <w:rsid w:val="00854FAB"/>
    <w:rsid w:val="00855869"/>
    <w:rsid w:val="00855BE6"/>
    <w:rsid w:val="0086184D"/>
    <w:rsid w:val="008626C2"/>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35B"/>
    <w:rsid w:val="009925BF"/>
    <w:rsid w:val="009927BF"/>
    <w:rsid w:val="00992866"/>
    <w:rsid w:val="009937AC"/>
    <w:rsid w:val="0099559E"/>
    <w:rsid w:val="00996093"/>
    <w:rsid w:val="0099631A"/>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9605B"/>
    <w:rsid w:val="00B975F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9AA"/>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5D9D"/>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4E4"/>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3CBD"/>
    <w:rsid w:val="00E54F7A"/>
    <w:rsid w:val="00E565F3"/>
    <w:rsid w:val="00E574FC"/>
    <w:rsid w:val="00E602DF"/>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20E6"/>
    <w:rsid w:val="00F62608"/>
    <w:rsid w:val="00F63692"/>
    <w:rsid w:val="00F63CF2"/>
    <w:rsid w:val="00F645EA"/>
    <w:rsid w:val="00F64774"/>
    <w:rsid w:val="00F64F4B"/>
    <w:rsid w:val="00F6774F"/>
    <w:rsid w:val="00F70313"/>
    <w:rsid w:val="00F7085C"/>
    <w:rsid w:val="00F75E07"/>
    <w:rsid w:val="00F76226"/>
    <w:rsid w:val="00F77FB9"/>
    <w:rsid w:val="00F80D00"/>
    <w:rsid w:val="00F82A04"/>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802"/>
    <w:rsid w:val="00FF3B97"/>
    <w:rsid w:val="00FF48F4"/>
    <w:rsid w:val="00FF498A"/>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B654FF"/>
    <w:rsid w:val="04F3513D"/>
    <w:rsid w:val="053C0D83"/>
    <w:rsid w:val="05A51346"/>
    <w:rsid w:val="05CA0F79"/>
    <w:rsid w:val="06002E14"/>
    <w:rsid w:val="06296FF4"/>
    <w:rsid w:val="066252E1"/>
    <w:rsid w:val="06CD4426"/>
    <w:rsid w:val="070B4A32"/>
    <w:rsid w:val="08B466A8"/>
    <w:rsid w:val="092D370C"/>
    <w:rsid w:val="093F0D49"/>
    <w:rsid w:val="09837013"/>
    <w:rsid w:val="099208A0"/>
    <w:rsid w:val="09B0211F"/>
    <w:rsid w:val="0A39416F"/>
    <w:rsid w:val="0A426D43"/>
    <w:rsid w:val="0AA14F66"/>
    <w:rsid w:val="0AAE43D8"/>
    <w:rsid w:val="0AC02BDC"/>
    <w:rsid w:val="0AD11C61"/>
    <w:rsid w:val="0AD8365D"/>
    <w:rsid w:val="0ADD55E7"/>
    <w:rsid w:val="0AE23E86"/>
    <w:rsid w:val="0B050CA4"/>
    <w:rsid w:val="0B361F96"/>
    <w:rsid w:val="0B3A2110"/>
    <w:rsid w:val="0BAC7E55"/>
    <w:rsid w:val="0C425E43"/>
    <w:rsid w:val="0C7803C2"/>
    <w:rsid w:val="0CDF7EBC"/>
    <w:rsid w:val="0CE51C08"/>
    <w:rsid w:val="0D142709"/>
    <w:rsid w:val="0DBB1F91"/>
    <w:rsid w:val="0DC2436E"/>
    <w:rsid w:val="0DF6738D"/>
    <w:rsid w:val="0E05580F"/>
    <w:rsid w:val="0E7B78C7"/>
    <w:rsid w:val="0E8D451A"/>
    <w:rsid w:val="0E9869F2"/>
    <w:rsid w:val="0F205179"/>
    <w:rsid w:val="0F31002F"/>
    <w:rsid w:val="0F5240AD"/>
    <w:rsid w:val="0F56503F"/>
    <w:rsid w:val="0FA814FE"/>
    <w:rsid w:val="109C11D1"/>
    <w:rsid w:val="113B172F"/>
    <w:rsid w:val="1236016D"/>
    <w:rsid w:val="12644E70"/>
    <w:rsid w:val="12A147FB"/>
    <w:rsid w:val="12EB0686"/>
    <w:rsid w:val="13141499"/>
    <w:rsid w:val="13383059"/>
    <w:rsid w:val="138C744D"/>
    <w:rsid w:val="14423DE3"/>
    <w:rsid w:val="15437E13"/>
    <w:rsid w:val="156E5386"/>
    <w:rsid w:val="159F45E4"/>
    <w:rsid w:val="16823727"/>
    <w:rsid w:val="17296DB3"/>
    <w:rsid w:val="17574443"/>
    <w:rsid w:val="17960C97"/>
    <w:rsid w:val="18001DFE"/>
    <w:rsid w:val="18716B48"/>
    <w:rsid w:val="18DE232D"/>
    <w:rsid w:val="19095406"/>
    <w:rsid w:val="19471BF0"/>
    <w:rsid w:val="19517AFF"/>
    <w:rsid w:val="19747BBC"/>
    <w:rsid w:val="19D21059"/>
    <w:rsid w:val="1A7C1EB7"/>
    <w:rsid w:val="1A8226E3"/>
    <w:rsid w:val="1A862C7C"/>
    <w:rsid w:val="1A92257F"/>
    <w:rsid w:val="1ADF238C"/>
    <w:rsid w:val="1AEB78ED"/>
    <w:rsid w:val="1B452D37"/>
    <w:rsid w:val="1B7526B6"/>
    <w:rsid w:val="1B8F5B60"/>
    <w:rsid w:val="1BDF5EED"/>
    <w:rsid w:val="1C422231"/>
    <w:rsid w:val="1C6067D6"/>
    <w:rsid w:val="1CFF6462"/>
    <w:rsid w:val="1D0E6BF6"/>
    <w:rsid w:val="1D231455"/>
    <w:rsid w:val="1D5951DB"/>
    <w:rsid w:val="1D6E6F58"/>
    <w:rsid w:val="1D9B550E"/>
    <w:rsid w:val="1DCB0BE0"/>
    <w:rsid w:val="1E8555E3"/>
    <w:rsid w:val="1EA71193"/>
    <w:rsid w:val="1ECA660B"/>
    <w:rsid w:val="1F942298"/>
    <w:rsid w:val="1F9C084C"/>
    <w:rsid w:val="1FFD5BCC"/>
    <w:rsid w:val="201422E9"/>
    <w:rsid w:val="203C6FB1"/>
    <w:rsid w:val="205673CC"/>
    <w:rsid w:val="21295501"/>
    <w:rsid w:val="215E6DAB"/>
    <w:rsid w:val="2184758F"/>
    <w:rsid w:val="219966D8"/>
    <w:rsid w:val="221C3A77"/>
    <w:rsid w:val="2283187E"/>
    <w:rsid w:val="23365ADE"/>
    <w:rsid w:val="23EC0713"/>
    <w:rsid w:val="24321CBE"/>
    <w:rsid w:val="245169EB"/>
    <w:rsid w:val="24A109B0"/>
    <w:rsid w:val="24B86132"/>
    <w:rsid w:val="252C5476"/>
    <w:rsid w:val="254559B9"/>
    <w:rsid w:val="25FC064B"/>
    <w:rsid w:val="26121868"/>
    <w:rsid w:val="26571970"/>
    <w:rsid w:val="26BE369E"/>
    <w:rsid w:val="26CC6D60"/>
    <w:rsid w:val="26E36D60"/>
    <w:rsid w:val="27C04FF5"/>
    <w:rsid w:val="27DE30F1"/>
    <w:rsid w:val="27DF5133"/>
    <w:rsid w:val="27E3547A"/>
    <w:rsid w:val="27F560E7"/>
    <w:rsid w:val="28326DA8"/>
    <w:rsid w:val="28B5472C"/>
    <w:rsid w:val="28C574CC"/>
    <w:rsid w:val="28E702F4"/>
    <w:rsid w:val="28F60AAB"/>
    <w:rsid w:val="29477A7A"/>
    <w:rsid w:val="29F6324E"/>
    <w:rsid w:val="2A290829"/>
    <w:rsid w:val="2A852156"/>
    <w:rsid w:val="2A8D20D4"/>
    <w:rsid w:val="2AB0139E"/>
    <w:rsid w:val="2B0B0B30"/>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2FCC381D"/>
    <w:rsid w:val="30247706"/>
    <w:rsid w:val="304C1E1A"/>
    <w:rsid w:val="30B24526"/>
    <w:rsid w:val="3112609C"/>
    <w:rsid w:val="31496359"/>
    <w:rsid w:val="31DB31A5"/>
    <w:rsid w:val="32236BAB"/>
    <w:rsid w:val="323D19AC"/>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985DB9"/>
    <w:rsid w:val="375A0883"/>
    <w:rsid w:val="37AB09D0"/>
    <w:rsid w:val="37C14E9C"/>
    <w:rsid w:val="37F27EC3"/>
    <w:rsid w:val="37F50E10"/>
    <w:rsid w:val="38796120"/>
    <w:rsid w:val="3908426B"/>
    <w:rsid w:val="39311BAD"/>
    <w:rsid w:val="39C011A9"/>
    <w:rsid w:val="3A3D4495"/>
    <w:rsid w:val="3A520291"/>
    <w:rsid w:val="3A8A7A28"/>
    <w:rsid w:val="3AB42A96"/>
    <w:rsid w:val="3AF61300"/>
    <w:rsid w:val="3B011823"/>
    <w:rsid w:val="3B15239D"/>
    <w:rsid w:val="3B976C1F"/>
    <w:rsid w:val="3BDB03EA"/>
    <w:rsid w:val="3C4607F2"/>
    <w:rsid w:val="3CC50C34"/>
    <w:rsid w:val="3D1D10BA"/>
    <w:rsid w:val="3D2F7E2D"/>
    <w:rsid w:val="3D5236AA"/>
    <w:rsid w:val="3D642FFB"/>
    <w:rsid w:val="3D756550"/>
    <w:rsid w:val="3D8432BA"/>
    <w:rsid w:val="3D84766D"/>
    <w:rsid w:val="3DDE4D70"/>
    <w:rsid w:val="3E0042CD"/>
    <w:rsid w:val="3E1975F1"/>
    <w:rsid w:val="3EA572C5"/>
    <w:rsid w:val="3EB968CD"/>
    <w:rsid w:val="3EF7343D"/>
    <w:rsid w:val="3EFA4513"/>
    <w:rsid w:val="3F0D4CD3"/>
    <w:rsid w:val="3FA6545F"/>
    <w:rsid w:val="40AB493B"/>
    <w:rsid w:val="415E375B"/>
    <w:rsid w:val="419C630F"/>
    <w:rsid w:val="41DE6BDE"/>
    <w:rsid w:val="425945EA"/>
    <w:rsid w:val="42642FF3"/>
    <w:rsid w:val="43422672"/>
    <w:rsid w:val="43756869"/>
    <w:rsid w:val="438F3C13"/>
    <w:rsid w:val="440469C7"/>
    <w:rsid w:val="4433676F"/>
    <w:rsid w:val="44DB40F2"/>
    <w:rsid w:val="44EF764B"/>
    <w:rsid w:val="4513485D"/>
    <w:rsid w:val="45BE2073"/>
    <w:rsid w:val="46883EF7"/>
    <w:rsid w:val="472843D7"/>
    <w:rsid w:val="475D6E50"/>
    <w:rsid w:val="47630206"/>
    <w:rsid w:val="47B76B30"/>
    <w:rsid w:val="47F24D3A"/>
    <w:rsid w:val="483A349D"/>
    <w:rsid w:val="48CE242A"/>
    <w:rsid w:val="492C76F7"/>
    <w:rsid w:val="49323487"/>
    <w:rsid w:val="494330C8"/>
    <w:rsid w:val="495849FC"/>
    <w:rsid w:val="4A765837"/>
    <w:rsid w:val="4A772580"/>
    <w:rsid w:val="4B401982"/>
    <w:rsid w:val="4B6461DA"/>
    <w:rsid w:val="4B7E22FC"/>
    <w:rsid w:val="4BA6714C"/>
    <w:rsid w:val="4BDD1AE7"/>
    <w:rsid w:val="4D136380"/>
    <w:rsid w:val="4D642772"/>
    <w:rsid w:val="4D794113"/>
    <w:rsid w:val="4DA16EA9"/>
    <w:rsid w:val="4E231F7E"/>
    <w:rsid w:val="4E71398D"/>
    <w:rsid w:val="4E881E17"/>
    <w:rsid w:val="4EA51083"/>
    <w:rsid w:val="4EB26E94"/>
    <w:rsid w:val="4EC21DD0"/>
    <w:rsid w:val="4F2A2DF2"/>
    <w:rsid w:val="4F375610"/>
    <w:rsid w:val="4F6D38C0"/>
    <w:rsid w:val="4F73207A"/>
    <w:rsid w:val="50011E81"/>
    <w:rsid w:val="50B4145F"/>
    <w:rsid w:val="517859C4"/>
    <w:rsid w:val="51AC22C1"/>
    <w:rsid w:val="51F53341"/>
    <w:rsid w:val="52254EA8"/>
    <w:rsid w:val="52343C47"/>
    <w:rsid w:val="523F5D3A"/>
    <w:rsid w:val="524B48B1"/>
    <w:rsid w:val="52E2325A"/>
    <w:rsid w:val="532B45E0"/>
    <w:rsid w:val="5428215B"/>
    <w:rsid w:val="545D78A2"/>
    <w:rsid w:val="54A67B78"/>
    <w:rsid w:val="54FB4AFB"/>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92827E0"/>
    <w:rsid w:val="599F181E"/>
    <w:rsid w:val="59BD39BE"/>
    <w:rsid w:val="59E70355"/>
    <w:rsid w:val="59ED632E"/>
    <w:rsid w:val="5A144EA7"/>
    <w:rsid w:val="5ABE0E26"/>
    <w:rsid w:val="5AC35E3A"/>
    <w:rsid w:val="5AF77960"/>
    <w:rsid w:val="5B036D9F"/>
    <w:rsid w:val="5B491EA8"/>
    <w:rsid w:val="5B8F3CE4"/>
    <w:rsid w:val="5BB476A1"/>
    <w:rsid w:val="5BEE4F64"/>
    <w:rsid w:val="5C593896"/>
    <w:rsid w:val="5D753EAF"/>
    <w:rsid w:val="5DB3607E"/>
    <w:rsid w:val="5E4562C3"/>
    <w:rsid w:val="5EA07300"/>
    <w:rsid w:val="5ED11B6D"/>
    <w:rsid w:val="5F021772"/>
    <w:rsid w:val="5F46462A"/>
    <w:rsid w:val="60054E02"/>
    <w:rsid w:val="60B847DE"/>
    <w:rsid w:val="60F92E43"/>
    <w:rsid w:val="61700C15"/>
    <w:rsid w:val="6233638E"/>
    <w:rsid w:val="625A4B92"/>
    <w:rsid w:val="62ED7867"/>
    <w:rsid w:val="62F35580"/>
    <w:rsid w:val="638061C1"/>
    <w:rsid w:val="63931A66"/>
    <w:rsid w:val="63EA7860"/>
    <w:rsid w:val="640E2967"/>
    <w:rsid w:val="64C26078"/>
    <w:rsid w:val="64DF0AFE"/>
    <w:rsid w:val="66154073"/>
    <w:rsid w:val="66726134"/>
    <w:rsid w:val="669F0B6A"/>
    <w:rsid w:val="67FA3502"/>
    <w:rsid w:val="6819344E"/>
    <w:rsid w:val="683F35B9"/>
    <w:rsid w:val="68FE57E9"/>
    <w:rsid w:val="69227A8F"/>
    <w:rsid w:val="694650B8"/>
    <w:rsid w:val="694F7CAA"/>
    <w:rsid w:val="699B698E"/>
    <w:rsid w:val="6A0B153B"/>
    <w:rsid w:val="6A4757E1"/>
    <w:rsid w:val="6A5E5B47"/>
    <w:rsid w:val="6A6C1225"/>
    <w:rsid w:val="6BB44445"/>
    <w:rsid w:val="6BF258B5"/>
    <w:rsid w:val="6C082426"/>
    <w:rsid w:val="6C240F7A"/>
    <w:rsid w:val="6C4761F3"/>
    <w:rsid w:val="6C9003BD"/>
    <w:rsid w:val="6D2D7C59"/>
    <w:rsid w:val="6D3C36EF"/>
    <w:rsid w:val="6DA03CB7"/>
    <w:rsid w:val="6DA848B1"/>
    <w:rsid w:val="6E001573"/>
    <w:rsid w:val="6E1321C3"/>
    <w:rsid w:val="6F122D10"/>
    <w:rsid w:val="700D2A49"/>
    <w:rsid w:val="70383246"/>
    <w:rsid w:val="7046650E"/>
    <w:rsid w:val="70E30BE7"/>
    <w:rsid w:val="70E76A1A"/>
    <w:rsid w:val="710019DC"/>
    <w:rsid w:val="712B6906"/>
    <w:rsid w:val="71B94EAF"/>
    <w:rsid w:val="72080D8E"/>
    <w:rsid w:val="72797A70"/>
    <w:rsid w:val="727F3267"/>
    <w:rsid w:val="72B15531"/>
    <w:rsid w:val="7329331A"/>
    <w:rsid w:val="732D68A2"/>
    <w:rsid w:val="73563D56"/>
    <w:rsid w:val="73676B0B"/>
    <w:rsid w:val="73774085"/>
    <w:rsid w:val="73B73D06"/>
    <w:rsid w:val="73CD2FC7"/>
    <w:rsid w:val="7464499E"/>
    <w:rsid w:val="74D453D8"/>
    <w:rsid w:val="75004E12"/>
    <w:rsid w:val="75444CE6"/>
    <w:rsid w:val="75CA0D8D"/>
    <w:rsid w:val="75ED4AD2"/>
    <w:rsid w:val="7623401F"/>
    <w:rsid w:val="766864D8"/>
    <w:rsid w:val="76837F0B"/>
    <w:rsid w:val="76F02150"/>
    <w:rsid w:val="770117D0"/>
    <w:rsid w:val="770E68EE"/>
    <w:rsid w:val="771332F3"/>
    <w:rsid w:val="77D57B19"/>
    <w:rsid w:val="780659D7"/>
    <w:rsid w:val="782037BB"/>
    <w:rsid w:val="78212811"/>
    <w:rsid w:val="784731B4"/>
    <w:rsid w:val="785E77F9"/>
    <w:rsid w:val="78A8668A"/>
    <w:rsid w:val="78B70D97"/>
    <w:rsid w:val="7A3F1AB2"/>
    <w:rsid w:val="7A8C0E44"/>
    <w:rsid w:val="7AA77987"/>
    <w:rsid w:val="7B0A519B"/>
    <w:rsid w:val="7B286E3C"/>
    <w:rsid w:val="7B6B171D"/>
    <w:rsid w:val="7BE841A3"/>
    <w:rsid w:val="7BF42242"/>
    <w:rsid w:val="7C4F2869"/>
    <w:rsid w:val="7C685FEA"/>
    <w:rsid w:val="7C6A17D1"/>
    <w:rsid w:val="7C974F21"/>
    <w:rsid w:val="7CB9122E"/>
    <w:rsid w:val="7CD924C5"/>
    <w:rsid w:val="7D761851"/>
    <w:rsid w:val="7E2175F4"/>
    <w:rsid w:val="7E313FCB"/>
    <w:rsid w:val="7E736A89"/>
    <w:rsid w:val="7E826256"/>
    <w:rsid w:val="7F046956"/>
    <w:rsid w:val="7F3C22A1"/>
    <w:rsid w:val="7F8367C0"/>
    <w:rsid w:val="7FA13BCB"/>
    <w:rsid w:val="7FBE4DEA"/>
    <w:rsid w:val="7FF8648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4">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5">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6">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2">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3"/>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5"/>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6"/>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7"/>
    <w:qFormat/>
    <w:uiPriority w:val="0"/>
    <w:pPr>
      <w:ind w:left="2500" w:leftChars="2500"/>
    </w:pPr>
    <w:rPr>
      <w:rFonts w:ascii="Times New Roman" w:hAnsi="Times New Roman" w:eastAsia="宋体"/>
      <w:snapToGrid/>
      <w:sz w:val="20"/>
      <w:szCs w:val="20"/>
    </w:rPr>
  </w:style>
  <w:style w:type="paragraph" w:styleId="53">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29"/>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0"/>
    <w:qFormat/>
    <w:uiPriority w:val="0"/>
    <w:rPr>
      <w:rFonts w:ascii="Times New Roman" w:hAnsi="Times New Roman" w:eastAsia="宋体"/>
      <w:snapToGrid/>
      <w:kern w:val="2"/>
      <w:sz w:val="18"/>
      <w:szCs w:val="18"/>
    </w:rPr>
  </w:style>
  <w:style w:type="paragraph" w:styleId="57">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1"/>
    <w:qFormat/>
    <w:uiPriority w:val="99"/>
    <w:rPr>
      <w:rFonts w:hint="default" w:ascii="Times New Roman" w:hAnsi="Times New Roman" w:cs="Times New Roman"/>
      <w:kern w:val="2"/>
      <w:sz w:val="16"/>
      <w:szCs w:val="16"/>
    </w:rPr>
  </w:style>
  <w:style w:type="character" w:customStyle="1" w:styleId="106">
    <w:name w:val="宏文本 字符1"/>
    <w:link w:val="3"/>
    <w:qFormat/>
    <w:uiPriority w:val="0"/>
    <w:rPr>
      <w:rFonts w:ascii="Courier New" w:hAnsi="Courier New" w:cs="Courier New"/>
      <w:kern w:val="2"/>
      <w:sz w:val="24"/>
      <w:szCs w:val="24"/>
    </w:rPr>
  </w:style>
  <w:style w:type="character" w:customStyle="1" w:styleId="107">
    <w:name w:val="标题 1 字符2"/>
    <w:link w:val="4"/>
    <w:qFormat/>
    <w:uiPriority w:val="0"/>
    <w:rPr>
      <w:rFonts w:hint="default" w:ascii="Times New Roman" w:hAnsi="Times New Roman" w:cs="Times New Roman"/>
      <w:b/>
      <w:kern w:val="44"/>
      <w:sz w:val="44"/>
      <w:szCs w:val="44"/>
    </w:rPr>
  </w:style>
  <w:style w:type="character" w:customStyle="1" w:styleId="108">
    <w:name w:val="标题 2 字符2"/>
    <w:link w:val="5"/>
    <w:qFormat/>
    <w:uiPriority w:val="0"/>
    <w:rPr>
      <w:rFonts w:ascii="Arial" w:hAnsi="Arial" w:eastAsia="黑体"/>
      <w:b/>
      <w:bCs/>
      <w:kern w:val="2"/>
      <w:sz w:val="21"/>
      <w:szCs w:val="32"/>
    </w:rPr>
  </w:style>
  <w:style w:type="character" w:customStyle="1" w:styleId="109">
    <w:name w:val="标题 3 字符3"/>
    <w:link w:val="6"/>
    <w:qFormat/>
    <w:uiPriority w:val="0"/>
    <w:rPr>
      <w:rFonts w:ascii="华文楷体" w:hAnsi="华文楷体" w:eastAsia="华文楷体"/>
      <w:b/>
      <w:bCs/>
      <w:snapToGrid/>
      <w:sz w:val="32"/>
      <w:szCs w:val="32"/>
    </w:rPr>
  </w:style>
  <w:style w:type="character" w:customStyle="1" w:styleId="110">
    <w:name w:val="标题 4 字符2"/>
    <w:link w:val="2"/>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3"/>
    <w:qFormat/>
    <w:uiPriority w:val="0"/>
    <w:rPr>
      <w:i/>
      <w:iCs/>
      <w:kern w:val="2"/>
      <w:sz w:val="21"/>
      <w:szCs w:val="24"/>
    </w:rPr>
  </w:style>
  <w:style w:type="character" w:customStyle="1" w:styleId="126">
    <w:name w:val="纯文本 字符3"/>
    <w:link w:val="47"/>
    <w:qFormat/>
    <w:uiPriority w:val="0"/>
    <w:rPr>
      <w:rFonts w:hint="eastAsia" w:ascii="宋体" w:hAnsi="Courier New" w:eastAsia="楷体_GB2312" w:cs="宋体"/>
      <w:sz w:val="28"/>
    </w:rPr>
  </w:style>
  <w:style w:type="character" w:customStyle="1" w:styleId="127">
    <w:name w:val="日期 字符2"/>
    <w:link w:val="52"/>
    <w:qFormat/>
    <w:uiPriority w:val="0"/>
    <w:rPr>
      <w:rFonts w:hint="default" w:ascii="Times New Roman" w:hAnsi="Times New Roman" w:cs="Times New Roman"/>
    </w:rPr>
  </w:style>
  <w:style w:type="character" w:customStyle="1" w:styleId="128">
    <w:name w:val="正文文本缩进 2 字符2"/>
    <w:link w:val="53"/>
    <w:qFormat/>
    <w:uiPriority w:val="99"/>
    <w:rPr>
      <w:rFonts w:hint="default" w:ascii="Times New Roman" w:hAnsi="Times New Roman" w:cs="Times New Roman"/>
      <w:kern w:val="2"/>
      <w:sz w:val="21"/>
    </w:rPr>
  </w:style>
  <w:style w:type="character" w:customStyle="1" w:styleId="129">
    <w:name w:val="尾注文本 字符1"/>
    <w:link w:val="54"/>
    <w:qFormat/>
    <w:uiPriority w:val="0"/>
    <w:rPr>
      <w:kern w:val="2"/>
      <w:sz w:val="21"/>
      <w:szCs w:val="24"/>
    </w:rPr>
  </w:style>
  <w:style w:type="character" w:customStyle="1" w:styleId="130">
    <w:name w:val="批注框文本 字符2"/>
    <w:link w:val="56"/>
    <w:qFormat/>
    <w:uiPriority w:val="0"/>
    <w:rPr>
      <w:kern w:val="2"/>
      <w:sz w:val="18"/>
      <w:szCs w:val="18"/>
    </w:rPr>
  </w:style>
  <w:style w:type="character" w:customStyle="1" w:styleId="131">
    <w:name w:val="页脚 字符2"/>
    <w:link w:val="57"/>
    <w:qFormat/>
    <w:uiPriority w:val="99"/>
    <w:rPr>
      <w:rFonts w:hint="default" w:ascii="Times New Roman" w:hAnsi="Times New Roman" w:cs="Times New Roman"/>
      <w:sz w:val="18"/>
    </w:rPr>
  </w:style>
  <w:style w:type="character" w:customStyle="1" w:styleId="132">
    <w:name w:val="页眉 字符2"/>
    <w:link w:val="58"/>
    <w:qFormat/>
    <w:uiPriority w:val="99"/>
    <w:rPr>
      <w:rFonts w:hint="default" w:ascii="Times New Roman" w:hAnsi="Times New Roman" w:cs="Times New Roman"/>
      <w:kern w:val="2"/>
      <w:sz w:val="18"/>
      <w:szCs w:val="18"/>
    </w:rPr>
  </w:style>
  <w:style w:type="character" w:customStyle="1" w:styleId="133">
    <w:name w:val="签名 字符1"/>
    <w:link w:val="59"/>
    <w:qFormat/>
    <w:uiPriority w:val="0"/>
    <w:rPr>
      <w:kern w:val="2"/>
      <w:sz w:val="21"/>
      <w:szCs w:val="24"/>
    </w:rPr>
  </w:style>
  <w:style w:type="character" w:customStyle="1" w:styleId="134">
    <w:name w:val="副标题 字符2"/>
    <w:link w:val="65"/>
    <w:qFormat/>
    <w:uiPriority w:val="0"/>
    <w:rPr>
      <w:rFonts w:ascii="Cambria" w:hAnsi="Cambria"/>
      <w:b/>
      <w:bCs/>
      <w:kern w:val="28"/>
      <w:sz w:val="32"/>
      <w:szCs w:val="32"/>
    </w:rPr>
  </w:style>
  <w:style w:type="character" w:customStyle="1" w:styleId="135">
    <w:name w:val="脚注文本 字符2"/>
    <w:link w:val="68"/>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0"/>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6"/>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6"/>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5"/>
    <w:next w:val="44"/>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6"/>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2"/>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6"/>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5"/>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5"/>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4"/>
    <w:qFormat/>
    <w:uiPriority w:val="0"/>
    <w:pPr>
      <w:keepLines/>
      <w:spacing w:before="340" w:after="330" w:line="576" w:lineRule="auto"/>
    </w:pPr>
    <w:rPr>
      <w:sz w:val="32"/>
      <w:szCs w:val="20"/>
    </w:rPr>
  </w:style>
  <w:style w:type="paragraph" w:customStyle="1" w:styleId="436">
    <w:name w:val="TOC 标题1"/>
    <w:basedOn w:val="4"/>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4"/>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5"/>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5"/>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6"/>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4"/>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5"/>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4"/>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4"/>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5"/>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5"/>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等线 Light" w:hAnsi="等线 Light" w:eastAsia="等线 Light"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6"/>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4"/>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Revision"/>
    <w:hidden/>
    <w:unhideWhenUsed/>
    <w:qFormat/>
    <w:uiPriority w:val="99"/>
    <w:rPr>
      <w:rFonts w:ascii="华文楷体" w:hAnsi="华文楷体" w:eastAsia="华文楷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95</Pages>
  <Words>12232</Words>
  <Characters>13039</Characters>
  <Lines>1404</Lines>
  <Paragraphs>1529</Paragraphs>
  <TotalTime>2</TotalTime>
  <ScaleCrop>false</ScaleCrop>
  <LinksUpToDate>false</LinksUpToDate>
  <CharactersWithSpaces>13161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2025-12-18T09:37:00Z</dcterms:created>
  <dc:creator>JSJG</dc:creator>
  <cp:lastModifiedBy>王梅梅</cp:lastModifiedBy>
  <cp:lastPrinted>2019-06-20T06:04:00Z</cp:lastPrinted>
  <dcterms:modified xsi:type="dcterms:W3CDTF">2025-12-25T07:36:36Z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747C1D7350284E6283A52E09C0D80B96_13</vt:lpwstr>
  </property>
  <property fmtid="{D5CDD505-2E9C-101B-9397-08002B2CF9AE}" pid="4" name="KSOTemplateDocerSaveRecord">
    <vt:lpwstr>eyJoZGlkIjoiYzgwZTQyNGY3NWY0ZTVkMDMxMDUwZGIwMTYzYTM2NTkiLCJ1c2VySWQiOiI4MDExMTEyMTMifQ==</vt:lpwstr>
  </property>
</Properties>
</file>