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92764">
      <w:pPr>
        <w:shd w:val="clear"/>
        <w:tabs>
          <w:tab w:val="left" w:pos="6300"/>
        </w:tabs>
        <w:snapToGrid w:val="0"/>
        <w:spacing w:line="300" w:lineRule="auto"/>
        <w:jc w:val="center"/>
        <w:rPr>
          <w:rFonts w:cs="宋体"/>
          <w:b/>
          <w:bCs/>
          <w:color w:val="auto"/>
          <w:sz w:val="44"/>
          <w:szCs w:val="44"/>
          <w:highlight w:val="none"/>
        </w:rPr>
      </w:pPr>
      <w:bookmarkStart w:id="0" w:name="_Toc11500279"/>
      <w:bookmarkStart w:id="1" w:name="_Toc94585339"/>
      <w:bookmarkStart w:id="2" w:name="_Toc11554638"/>
      <w:bookmarkStart w:id="3" w:name="_Toc8895738"/>
      <w:bookmarkStart w:id="4" w:name="_Toc11499583"/>
      <w:bookmarkStart w:id="5" w:name="_Toc12670502"/>
      <w:bookmarkStart w:id="6" w:name="_Toc94544743"/>
      <w:bookmarkStart w:id="7" w:name="_Toc521201596"/>
      <w:bookmarkStart w:id="8" w:name="_Toc94544827"/>
      <w:bookmarkStart w:id="9" w:name="_Toc521203417"/>
    </w:p>
    <w:p w14:paraId="5DDFD693">
      <w:pPr>
        <w:shd w:val="clear"/>
        <w:tabs>
          <w:tab w:val="left" w:pos="6300"/>
        </w:tabs>
        <w:snapToGrid w:val="0"/>
        <w:spacing w:line="300" w:lineRule="auto"/>
        <w:jc w:val="center"/>
        <w:rPr>
          <w:rFonts w:hint="eastAsia" w:ascii="宋体" w:eastAsia="宋体"/>
          <w:b/>
          <w:bCs/>
          <w:color w:val="auto"/>
          <w:w w:val="80"/>
          <w:sz w:val="36"/>
          <w:szCs w:val="36"/>
          <w:highlight w:val="none"/>
          <w:lang w:eastAsia="zh-CN"/>
        </w:rPr>
      </w:pPr>
      <w:r>
        <w:rPr>
          <w:rFonts w:hint="eastAsia" w:cs="宋体"/>
          <w:b/>
          <w:bCs/>
          <w:color w:val="auto"/>
          <w:sz w:val="36"/>
          <w:szCs w:val="36"/>
          <w:highlight w:val="none"/>
          <w:lang w:eastAsia="zh-CN"/>
        </w:rPr>
        <w:t>南通市机关事务管理局</w:t>
      </w:r>
      <w:r>
        <w:rPr>
          <w:rFonts w:hint="eastAsia" w:cs="宋体"/>
          <w:b/>
          <w:bCs/>
          <w:color w:val="auto"/>
          <w:sz w:val="36"/>
          <w:szCs w:val="36"/>
          <w:highlight w:val="none"/>
          <w:lang w:val="en-US" w:eastAsia="zh-CN"/>
        </w:rPr>
        <w:t>2025年度（第一批）监理项目</w:t>
      </w:r>
    </w:p>
    <w:p w14:paraId="27012D24">
      <w:pPr>
        <w:pStyle w:val="52"/>
        <w:shd w:val="clear"/>
        <w:ind w:firstLine="480"/>
        <w:rPr>
          <w:color w:val="auto"/>
          <w:highlight w:val="none"/>
        </w:rPr>
      </w:pPr>
    </w:p>
    <w:p w14:paraId="6ECB943C">
      <w:pPr>
        <w:pStyle w:val="52"/>
        <w:shd w:val="clear"/>
        <w:ind w:firstLine="480"/>
        <w:rPr>
          <w:color w:val="auto"/>
          <w:highlight w:val="none"/>
        </w:rPr>
      </w:pPr>
    </w:p>
    <w:p w14:paraId="0DD32665">
      <w:pPr>
        <w:pStyle w:val="52"/>
        <w:shd w:val="clear"/>
        <w:ind w:firstLine="480"/>
        <w:rPr>
          <w:color w:val="auto"/>
          <w:highlight w:val="none"/>
        </w:rPr>
      </w:pPr>
    </w:p>
    <w:p w14:paraId="32D673B1">
      <w:pPr>
        <w:pStyle w:val="52"/>
        <w:shd w:val="clear"/>
        <w:ind w:firstLine="480"/>
        <w:rPr>
          <w:color w:val="auto"/>
          <w:highlight w:val="none"/>
        </w:rPr>
      </w:pPr>
    </w:p>
    <w:p w14:paraId="7AD0AD0E">
      <w:pPr>
        <w:shd w:val="clear"/>
        <w:tabs>
          <w:tab w:val="left" w:pos="6300"/>
        </w:tabs>
        <w:snapToGrid w:val="0"/>
        <w:spacing w:line="300" w:lineRule="auto"/>
        <w:jc w:val="center"/>
        <w:rPr>
          <w:rFonts w:ascii="宋体"/>
          <w:b/>
          <w:bCs/>
          <w:color w:val="auto"/>
          <w:w w:val="80"/>
          <w:sz w:val="96"/>
          <w:szCs w:val="96"/>
          <w:highlight w:val="none"/>
        </w:rPr>
      </w:pPr>
    </w:p>
    <w:p w14:paraId="1EC18EB8">
      <w:pPr>
        <w:shd w:val="clear"/>
        <w:tabs>
          <w:tab w:val="left" w:pos="6300"/>
        </w:tabs>
        <w:snapToGrid w:val="0"/>
        <w:spacing w:line="300" w:lineRule="auto"/>
        <w:jc w:val="center"/>
        <w:rPr>
          <w:rFonts w:ascii="宋体"/>
          <w:b/>
          <w:bCs/>
          <w:color w:val="auto"/>
          <w:w w:val="80"/>
          <w:sz w:val="96"/>
          <w:szCs w:val="96"/>
          <w:highlight w:val="none"/>
        </w:rPr>
      </w:pPr>
      <w:r>
        <w:rPr>
          <w:rFonts w:hint="eastAsia" w:ascii="宋体" w:hAnsi="宋体" w:cs="宋体"/>
          <w:b/>
          <w:bCs/>
          <w:color w:val="auto"/>
          <w:w w:val="80"/>
          <w:sz w:val="96"/>
          <w:szCs w:val="96"/>
          <w:highlight w:val="none"/>
        </w:rPr>
        <w:t>竞争性磋商文件</w:t>
      </w:r>
    </w:p>
    <w:p w14:paraId="18F68950">
      <w:pPr>
        <w:shd w:val="clear"/>
        <w:jc w:val="center"/>
        <w:rPr>
          <w:rFonts w:ascii="宋体"/>
          <w:b/>
          <w:bCs/>
          <w:color w:val="auto"/>
          <w:sz w:val="44"/>
          <w:szCs w:val="44"/>
          <w:highlight w:val="none"/>
        </w:rPr>
      </w:pPr>
    </w:p>
    <w:p w14:paraId="75F08CF0">
      <w:pPr>
        <w:shd w:val="clear"/>
        <w:spacing w:line="360" w:lineRule="auto"/>
        <w:jc w:val="center"/>
        <w:rPr>
          <w:rFonts w:ascii="宋体"/>
          <w:b/>
          <w:bCs/>
          <w:color w:val="auto"/>
          <w:sz w:val="44"/>
          <w:szCs w:val="44"/>
          <w:highlight w:val="none"/>
        </w:rPr>
      </w:pPr>
    </w:p>
    <w:p w14:paraId="7537FA56">
      <w:pPr>
        <w:shd w:val="clear"/>
        <w:snapToGrid w:val="0"/>
        <w:spacing w:line="360" w:lineRule="auto"/>
        <w:rPr>
          <w:rFonts w:ascii="宋体"/>
          <w:b/>
          <w:bCs/>
          <w:color w:val="auto"/>
          <w:sz w:val="36"/>
          <w:szCs w:val="36"/>
          <w:highlight w:val="none"/>
        </w:rPr>
      </w:pPr>
      <w:r>
        <w:rPr>
          <w:rFonts w:hint="eastAsia" w:ascii="宋体"/>
          <w:b/>
          <w:bCs/>
          <w:color w:val="auto"/>
          <w:sz w:val="36"/>
          <w:szCs w:val="36"/>
          <w:highlight w:val="none"/>
        </w:rPr>
        <w:t xml:space="preserve">  </w:t>
      </w:r>
    </w:p>
    <w:p w14:paraId="3270658C">
      <w:pPr>
        <w:shd w:val="clear"/>
        <w:snapToGrid w:val="0"/>
        <w:spacing w:line="360" w:lineRule="auto"/>
        <w:jc w:val="center"/>
        <w:rPr>
          <w:rFonts w:ascii="宋体"/>
          <w:b/>
          <w:bCs/>
          <w:color w:val="auto"/>
          <w:sz w:val="36"/>
          <w:szCs w:val="36"/>
          <w:highlight w:val="none"/>
        </w:rPr>
      </w:pPr>
    </w:p>
    <w:p w14:paraId="3A33DB52">
      <w:pPr>
        <w:shd w:val="clear"/>
        <w:snapToGrid w:val="0"/>
        <w:spacing w:line="360" w:lineRule="auto"/>
        <w:rPr>
          <w:rFonts w:ascii="宋体"/>
          <w:b/>
          <w:bCs/>
          <w:color w:val="auto"/>
          <w:sz w:val="36"/>
          <w:szCs w:val="36"/>
          <w:highlight w:val="none"/>
        </w:rPr>
      </w:pPr>
    </w:p>
    <w:p w14:paraId="2CBBA319">
      <w:pPr>
        <w:shd w:val="clear"/>
        <w:snapToGrid w:val="0"/>
        <w:spacing w:line="360" w:lineRule="auto"/>
        <w:rPr>
          <w:rFonts w:ascii="宋体"/>
          <w:b/>
          <w:bCs/>
          <w:color w:val="auto"/>
          <w:sz w:val="36"/>
          <w:szCs w:val="36"/>
          <w:highlight w:val="none"/>
        </w:rPr>
      </w:pPr>
    </w:p>
    <w:p w14:paraId="040DB004">
      <w:pPr>
        <w:shd w:val="clear"/>
        <w:adjustRightInd w:val="0"/>
        <w:snapToGrid w:val="0"/>
        <w:spacing w:line="360" w:lineRule="auto"/>
        <w:ind w:firstLine="1506" w:firstLineChars="500"/>
        <w:rPr>
          <w:b/>
          <w:bCs/>
          <w:color w:val="auto"/>
          <w:sz w:val="30"/>
          <w:szCs w:val="30"/>
          <w:highlight w:val="none"/>
        </w:rPr>
      </w:pPr>
      <w:r>
        <w:rPr>
          <w:rFonts w:hint="eastAsia" w:ascii="宋体" w:hAnsi="宋体" w:cs="宋体"/>
          <w:b/>
          <w:bCs/>
          <w:color w:val="auto"/>
          <w:sz w:val="30"/>
          <w:szCs w:val="30"/>
          <w:highlight w:val="none"/>
        </w:rPr>
        <w:t>采购单位：南通市机关事务管理局</w:t>
      </w:r>
    </w:p>
    <w:p w14:paraId="63F5FB92">
      <w:pPr>
        <w:shd w:val="clear"/>
        <w:adjustRightInd w:val="0"/>
        <w:snapToGrid w:val="0"/>
        <w:spacing w:line="360" w:lineRule="auto"/>
        <w:jc w:val="center"/>
        <w:rPr>
          <w:b/>
          <w:bCs/>
          <w:color w:val="auto"/>
          <w:sz w:val="30"/>
          <w:szCs w:val="30"/>
          <w:highlight w:val="none"/>
        </w:rPr>
      </w:pPr>
      <w:r>
        <w:rPr>
          <w:rFonts w:hint="eastAsia" w:ascii="宋体" w:hAnsi="宋体" w:cs="宋体"/>
          <w:b/>
          <w:bCs/>
          <w:color w:val="auto"/>
          <w:sz w:val="30"/>
          <w:szCs w:val="30"/>
          <w:highlight w:val="none"/>
        </w:rPr>
        <w:t>代理机构：</w:t>
      </w:r>
      <w:r>
        <w:rPr>
          <w:rFonts w:hint="eastAsia" w:cs="宋体"/>
          <w:b/>
          <w:bCs/>
          <w:color w:val="auto"/>
          <w:sz w:val="30"/>
          <w:szCs w:val="30"/>
          <w:highlight w:val="none"/>
        </w:rPr>
        <w:t>江苏建达全过程工程咨询有限公司</w:t>
      </w:r>
    </w:p>
    <w:p w14:paraId="319588FB">
      <w:pPr>
        <w:shd w:val="clea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lang w:val="en-US" w:eastAsia="zh-CN"/>
        </w:rPr>
        <w:t>十一</w:t>
      </w:r>
      <w:r>
        <w:rPr>
          <w:rFonts w:hint="eastAsia" w:ascii="宋体" w:hAnsi="宋体" w:cs="宋体"/>
          <w:b/>
          <w:bCs/>
          <w:color w:val="auto"/>
          <w:sz w:val="30"/>
          <w:szCs w:val="30"/>
          <w:highlight w:val="none"/>
        </w:rPr>
        <w:t>日</w:t>
      </w:r>
    </w:p>
    <w:p w14:paraId="5DE2D835">
      <w:pPr>
        <w:shd w:val="clear"/>
        <w:tabs>
          <w:tab w:val="left" w:pos="1050"/>
          <w:tab w:val="right" w:leader="dot" w:pos="9402"/>
        </w:tabs>
        <w:spacing w:line="520" w:lineRule="exact"/>
        <w:jc w:val="center"/>
        <w:outlineLvl w:val="0"/>
        <w:rPr>
          <w:color w:val="auto"/>
          <w:kern w:val="0"/>
          <w:sz w:val="24"/>
          <w:szCs w:val="24"/>
          <w:highlight w:val="none"/>
        </w:rPr>
      </w:pPr>
      <w:r>
        <w:rPr>
          <w:color w:val="auto"/>
          <w:sz w:val="30"/>
          <w:szCs w:val="30"/>
          <w:highlight w:val="none"/>
        </w:rPr>
        <w:br w:type="page"/>
      </w:r>
      <w:r>
        <w:rPr>
          <w:color w:val="auto"/>
          <w:kern w:val="0"/>
          <w:sz w:val="24"/>
          <w:szCs w:val="24"/>
          <w:highlight w:val="none"/>
        </w:rPr>
        <w:t xml:space="preserve"> </w:t>
      </w:r>
    </w:p>
    <w:p w14:paraId="56D7AF57">
      <w:pPr>
        <w:shd w:val="clear"/>
        <w:spacing w:line="420" w:lineRule="exact"/>
        <w:ind w:firstLine="484" w:firstLineChars="202"/>
        <w:rPr>
          <w:color w:val="auto"/>
          <w:kern w:val="0"/>
          <w:sz w:val="24"/>
          <w:szCs w:val="24"/>
          <w:highlight w:val="none"/>
        </w:rPr>
      </w:pPr>
    </w:p>
    <w:p w14:paraId="2ED7A5B2">
      <w:pPr>
        <w:pStyle w:val="27"/>
        <w:shd w:val="clear"/>
        <w:tabs>
          <w:tab w:val="left" w:pos="1050"/>
          <w:tab w:val="right" w:leader="dot" w:pos="9402"/>
        </w:tabs>
        <w:spacing w:line="960" w:lineRule="exact"/>
        <w:ind w:left="0"/>
        <w:jc w:val="center"/>
        <w:outlineLvl w:val="0"/>
        <w:rPr>
          <w:rFonts w:ascii="宋体"/>
          <w:b/>
          <w:bCs/>
          <w:i w:val="0"/>
          <w:iCs w:val="0"/>
          <w:color w:val="auto"/>
          <w:w w:val="80"/>
          <w:sz w:val="52"/>
          <w:szCs w:val="52"/>
          <w:highlight w:val="none"/>
        </w:rPr>
      </w:pPr>
      <w:r>
        <w:rPr>
          <w:rFonts w:hint="eastAsia" w:ascii="宋体" w:hAnsi="宋体" w:cs="宋体"/>
          <w:b/>
          <w:bCs/>
          <w:i w:val="0"/>
          <w:iCs w:val="0"/>
          <w:color w:val="auto"/>
          <w:w w:val="80"/>
          <w:sz w:val="52"/>
          <w:szCs w:val="52"/>
          <w:highlight w:val="none"/>
        </w:rPr>
        <w:t>目</w:t>
      </w:r>
      <w:r>
        <w:rPr>
          <w:rFonts w:ascii="宋体" w:hAnsi="宋体" w:cs="宋体"/>
          <w:b/>
          <w:bCs/>
          <w:i w:val="0"/>
          <w:iCs w:val="0"/>
          <w:color w:val="auto"/>
          <w:w w:val="80"/>
          <w:sz w:val="52"/>
          <w:szCs w:val="52"/>
          <w:highlight w:val="none"/>
        </w:rPr>
        <w:t xml:space="preserve">   </w:t>
      </w:r>
      <w:r>
        <w:rPr>
          <w:rFonts w:hint="eastAsia" w:ascii="宋体" w:hAnsi="宋体" w:cs="宋体"/>
          <w:b/>
          <w:bCs/>
          <w:i w:val="0"/>
          <w:iCs w:val="0"/>
          <w:color w:val="auto"/>
          <w:w w:val="80"/>
          <w:sz w:val="52"/>
          <w:szCs w:val="52"/>
          <w:highlight w:val="none"/>
        </w:rPr>
        <w:t>录</w:t>
      </w:r>
    </w:p>
    <w:p w14:paraId="5494513E">
      <w:pPr>
        <w:shd w:val="clear"/>
        <w:spacing w:line="800" w:lineRule="exact"/>
        <w:jc w:val="center"/>
        <w:rPr>
          <w:rFonts w:ascii="宋体"/>
          <w:b/>
          <w:bCs/>
          <w:color w:val="auto"/>
          <w:sz w:val="52"/>
          <w:szCs w:val="52"/>
          <w:highlight w:val="none"/>
        </w:rPr>
      </w:pPr>
    </w:p>
    <w:p w14:paraId="205743D7">
      <w:pPr>
        <w:pStyle w:val="27"/>
        <w:shd w:val="clear"/>
        <w:tabs>
          <w:tab w:val="left" w:pos="1050"/>
          <w:tab w:val="right" w:leader="dot" w:pos="9402"/>
        </w:tabs>
        <w:spacing w:line="520" w:lineRule="exact"/>
        <w:ind w:left="0"/>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第一章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竞争性磋商公告</w:t>
      </w:r>
    </w:p>
    <w:p w14:paraId="4B2991C4">
      <w:pPr>
        <w:shd w:val="clear"/>
        <w:rPr>
          <w:rFonts w:ascii="宋体"/>
          <w:color w:val="auto"/>
          <w:sz w:val="36"/>
          <w:szCs w:val="36"/>
          <w:highlight w:val="none"/>
        </w:rPr>
      </w:pPr>
    </w:p>
    <w:p w14:paraId="00331BAD">
      <w:pPr>
        <w:pStyle w:val="27"/>
        <w:shd w:val="clear"/>
        <w:tabs>
          <w:tab w:val="left" w:pos="1050"/>
          <w:tab w:val="right" w:leader="dot" w:pos="9402"/>
        </w:tabs>
        <w:spacing w:line="520" w:lineRule="exact"/>
        <w:ind w:left="0"/>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第二章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磋商供应商须知</w:t>
      </w:r>
    </w:p>
    <w:p w14:paraId="57F92556">
      <w:pPr>
        <w:shd w:val="clear"/>
        <w:rPr>
          <w:rFonts w:ascii="宋体"/>
          <w:color w:val="auto"/>
          <w:sz w:val="36"/>
          <w:szCs w:val="36"/>
          <w:highlight w:val="none"/>
        </w:rPr>
      </w:pPr>
    </w:p>
    <w:p w14:paraId="3CD9F234">
      <w:pPr>
        <w:pStyle w:val="27"/>
        <w:shd w:val="clear"/>
        <w:tabs>
          <w:tab w:val="left" w:pos="1050"/>
          <w:tab w:val="right" w:leader="dot" w:pos="9402"/>
        </w:tabs>
        <w:spacing w:line="520" w:lineRule="exact"/>
        <w:ind w:left="1"/>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第三章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项目需求</w:t>
      </w:r>
    </w:p>
    <w:p w14:paraId="4FE2F424">
      <w:pPr>
        <w:shd w:val="clear"/>
        <w:rPr>
          <w:rFonts w:ascii="宋体"/>
          <w:color w:val="auto"/>
          <w:sz w:val="36"/>
          <w:szCs w:val="36"/>
          <w:highlight w:val="none"/>
        </w:rPr>
      </w:pPr>
    </w:p>
    <w:p w14:paraId="399A6C61">
      <w:pPr>
        <w:pStyle w:val="27"/>
        <w:shd w:val="clear"/>
        <w:tabs>
          <w:tab w:val="left" w:pos="1050"/>
          <w:tab w:val="right" w:leader="dot" w:pos="9402"/>
        </w:tabs>
        <w:spacing w:line="520" w:lineRule="exact"/>
        <w:ind w:left="0"/>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第四章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评审程序和方法</w:t>
      </w:r>
    </w:p>
    <w:p w14:paraId="083C7A16">
      <w:pPr>
        <w:shd w:val="clear"/>
        <w:rPr>
          <w:rFonts w:ascii="宋体"/>
          <w:color w:val="auto"/>
          <w:sz w:val="36"/>
          <w:szCs w:val="36"/>
          <w:highlight w:val="none"/>
        </w:rPr>
      </w:pPr>
    </w:p>
    <w:p w14:paraId="4DB17ABD">
      <w:pPr>
        <w:pStyle w:val="27"/>
        <w:numPr>
          <w:ilvl w:val="0"/>
          <w:numId w:val="2"/>
        </w:numPr>
        <w:shd w:val="clear"/>
        <w:tabs>
          <w:tab w:val="left" w:pos="1050"/>
          <w:tab w:val="right" w:leader="dot" w:pos="9402"/>
        </w:tabs>
        <w:spacing w:line="520" w:lineRule="exact"/>
        <w:ind w:left="0"/>
        <w:rPr>
          <w:rFonts w:ascii="宋体"/>
          <w:i w:val="0"/>
          <w:iCs w:val="0"/>
          <w:color w:val="auto"/>
          <w:w w:val="80"/>
          <w:sz w:val="36"/>
          <w:szCs w:val="36"/>
          <w:highlight w:val="none"/>
        </w:rPr>
      </w:pP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合同授予</w:t>
      </w:r>
    </w:p>
    <w:p w14:paraId="73A0195F">
      <w:pPr>
        <w:shd w:val="clear"/>
        <w:rPr>
          <w:rFonts w:ascii="宋体"/>
          <w:color w:val="auto"/>
          <w:sz w:val="36"/>
          <w:szCs w:val="36"/>
          <w:highlight w:val="none"/>
        </w:rPr>
      </w:pPr>
    </w:p>
    <w:p w14:paraId="7B3F83A6">
      <w:pPr>
        <w:pStyle w:val="27"/>
        <w:shd w:val="clear"/>
        <w:tabs>
          <w:tab w:val="left" w:pos="1050"/>
          <w:tab w:val="right" w:leader="dot" w:pos="9402"/>
        </w:tabs>
        <w:spacing w:line="520" w:lineRule="exact"/>
        <w:ind w:left="0"/>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第六章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质疑提出和处理</w:t>
      </w:r>
    </w:p>
    <w:p w14:paraId="6A1E036A">
      <w:pPr>
        <w:shd w:val="clear"/>
        <w:rPr>
          <w:rFonts w:ascii="宋体"/>
          <w:color w:val="auto"/>
          <w:sz w:val="36"/>
          <w:szCs w:val="36"/>
          <w:highlight w:val="none"/>
        </w:rPr>
      </w:pPr>
    </w:p>
    <w:p w14:paraId="34C8DD31">
      <w:pPr>
        <w:pStyle w:val="27"/>
        <w:shd w:val="clear"/>
        <w:tabs>
          <w:tab w:val="left" w:pos="1050"/>
          <w:tab w:val="right" w:leader="dot" w:pos="9402"/>
        </w:tabs>
        <w:spacing w:line="520" w:lineRule="exact"/>
        <w:ind w:left="0"/>
        <w:rPr>
          <w:rFonts w:ascii="宋体"/>
          <w:i w:val="0"/>
          <w:iCs w:val="0"/>
          <w:color w:val="auto"/>
          <w:w w:val="80"/>
          <w:sz w:val="36"/>
          <w:szCs w:val="36"/>
          <w:highlight w:val="none"/>
        </w:rPr>
      </w:pPr>
      <w:r>
        <w:rPr>
          <w:rFonts w:hint="eastAsia" w:ascii="宋体" w:hAnsi="宋体" w:cs="宋体"/>
          <w:i w:val="0"/>
          <w:iCs w:val="0"/>
          <w:color w:val="auto"/>
          <w:w w:val="80"/>
          <w:sz w:val="36"/>
          <w:szCs w:val="36"/>
          <w:highlight w:val="none"/>
        </w:rPr>
        <w:t>第七章</w:t>
      </w:r>
      <w:r>
        <w:rPr>
          <w:rFonts w:ascii="宋体" w:hAnsi="宋体" w:cs="宋体"/>
          <w:i w:val="0"/>
          <w:iCs w:val="0"/>
          <w:color w:val="auto"/>
          <w:w w:val="80"/>
          <w:sz w:val="36"/>
          <w:szCs w:val="36"/>
          <w:highlight w:val="none"/>
        </w:rPr>
        <w:t xml:space="preserve">       </w:t>
      </w:r>
      <w:r>
        <w:rPr>
          <w:rFonts w:hint="eastAsia" w:ascii="宋体" w:hAnsi="宋体" w:cs="宋体"/>
          <w:i w:val="0"/>
          <w:iCs w:val="0"/>
          <w:color w:val="auto"/>
          <w:w w:val="80"/>
          <w:sz w:val="36"/>
          <w:szCs w:val="36"/>
          <w:highlight w:val="none"/>
        </w:rPr>
        <w:t>响应文件组成及格式</w:t>
      </w:r>
    </w:p>
    <w:p w14:paraId="4B5611BF">
      <w:pPr>
        <w:shd w:val="clear"/>
        <w:rPr>
          <w:rFonts w:ascii="宋体"/>
          <w:color w:val="auto"/>
          <w:sz w:val="36"/>
          <w:szCs w:val="36"/>
          <w:highlight w:val="none"/>
        </w:rPr>
      </w:pPr>
    </w:p>
    <w:p w14:paraId="2DFD2927">
      <w:pPr>
        <w:shd w:val="clear"/>
        <w:rPr>
          <w:rFonts w:ascii="宋体"/>
          <w:color w:val="auto"/>
          <w:sz w:val="36"/>
          <w:szCs w:val="36"/>
          <w:highlight w:val="none"/>
        </w:rPr>
      </w:pPr>
    </w:p>
    <w:p w14:paraId="4EAABF4B">
      <w:pPr>
        <w:shd w:val="clear"/>
        <w:snapToGrid w:val="0"/>
        <w:spacing w:line="360" w:lineRule="auto"/>
        <w:rPr>
          <w:rFonts w:ascii="宋体"/>
          <w:b/>
          <w:bCs/>
          <w:color w:val="auto"/>
          <w:sz w:val="24"/>
          <w:szCs w:val="24"/>
          <w:highlight w:val="none"/>
        </w:rPr>
      </w:pPr>
      <w:r>
        <w:rPr>
          <w:rFonts w:ascii="宋体"/>
          <w:b/>
          <w:bCs/>
          <w:color w:val="auto"/>
          <w:highlight w:val="none"/>
        </w:rPr>
        <w:br w:type="page"/>
      </w:r>
      <w:r>
        <w:rPr>
          <w:rFonts w:hint="eastAsia" w:ascii="宋体" w:hAnsi="宋体" w:cs="宋体"/>
          <w:b/>
          <w:bCs/>
          <w:color w:val="auto"/>
          <w:sz w:val="24"/>
          <w:szCs w:val="24"/>
          <w:highlight w:val="none"/>
        </w:rPr>
        <w:t>尊敬的磋商供应商：</w:t>
      </w:r>
    </w:p>
    <w:p w14:paraId="601E9F5F">
      <w:pPr>
        <w:shd w:val="clear"/>
        <w:snapToGrid w:val="0"/>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欢迎参加本采购项目的竞争性磋商。为了保证本次磋商项目顺利进行，请在制作响应文件之前，仔细阅读本竞争性磋商文件的各项条款，并按要求制作和递交响应文件。谢谢合作！</w:t>
      </w:r>
    </w:p>
    <w:p w14:paraId="03F12C69">
      <w:pPr>
        <w:shd w:val="clear"/>
        <w:snapToGrid w:val="0"/>
        <w:spacing w:line="360" w:lineRule="auto"/>
        <w:rPr>
          <w:rFonts w:ascii="宋体"/>
          <w:b/>
          <w:bCs/>
          <w:color w:val="auto"/>
          <w:sz w:val="15"/>
          <w:szCs w:val="15"/>
          <w:highlight w:val="none"/>
        </w:rPr>
      </w:pPr>
    </w:p>
    <w:p w14:paraId="57F398FE">
      <w:pPr>
        <w:pStyle w:val="27"/>
        <w:shd w:val="clear"/>
        <w:tabs>
          <w:tab w:val="left" w:pos="1050"/>
          <w:tab w:val="right" w:leader="dot" w:pos="9402"/>
        </w:tabs>
        <w:spacing w:line="360" w:lineRule="auto"/>
        <w:ind w:left="0"/>
        <w:jc w:val="center"/>
        <w:outlineLvl w:val="0"/>
        <w:rPr>
          <w:rFonts w:ascii="宋体"/>
          <w:b/>
          <w:bCs/>
          <w:i w:val="0"/>
          <w:iCs w:val="0"/>
          <w:color w:val="auto"/>
          <w:sz w:val="44"/>
          <w:szCs w:val="44"/>
          <w:highlight w:val="none"/>
        </w:rPr>
      </w:pPr>
      <w:bookmarkStart w:id="10" w:name="_Toc363573853"/>
      <w:r>
        <w:rPr>
          <w:rFonts w:hint="eastAsia" w:ascii="宋体" w:hAnsi="宋体" w:cs="宋体"/>
          <w:b/>
          <w:bCs/>
          <w:i w:val="0"/>
          <w:iCs w:val="0"/>
          <w:color w:val="auto"/>
          <w:w w:val="80"/>
          <w:sz w:val="44"/>
          <w:szCs w:val="44"/>
          <w:highlight w:val="none"/>
        </w:rPr>
        <w:t>第一章</w:t>
      </w:r>
      <w:r>
        <w:rPr>
          <w:rFonts w:ascii="宋体" w:hAnsi="宋体" w:cs="宋体"/>
          <w:b/>
          <w:bCs/>
          <w:i w:val="0"/>
          <w:iCs w:val="0"/>
          <w:color w:val="auto"/>
          <w:w w:val="80"/>
          <w:sz w:val="44"/>
          <w:szCs w:val="44"/>
          <w:highlight w:val="none"/>
        </w:rPr>
        <w:t xml:space="preserve">  </w:t>
      </w:r>
      <w:r>
        <w:rPr>
          <w:rFonts w:hint="eastAsia" w:ascii="宋体" w:hAnsi="宋体" w:cs="宋体"/>
          <w:b/>
          <w:bCs/>
          <w:i w:val="0"/>
          <w:iCs w:val="0"/>
          <w:color w:val="auto"/>
          <w:w w:val="80"/>
          <w:sz w:val="44"/>
          <w:szCs w:val="44"/>
          <w:highlight w:val="none"/>
        </w:rPr>
        <w:t>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color w:val="auto"/>
          <w:w w:val="80"/>
          <w:sz w:val="44"/>
          <w:szCs w:val="44"/>
          <w:highlight w:val="none"/>
        </w:rPr>
        <w:t>告</w:t>
      </w:r>
      <w:bookmarkEnd w:id="10"/>
    </w:p>
    <w:p w14:paraId="175AC189">
      <w:pPr>
        <w:keepNext w:val="0"/>
        <w:keepLines w:val="0"/>
        <w:pageBreakBefore w:val="0"/>
        <w:widowControl/>
        <w:shd w:val="clear"/>
        <w:kinsoku/>
        <w:wordWrap/>
        <w:overflowPunct/>
        <w:topLinePunct w:val="0"/>
        <w:autoSpaceDE/>
        <w:autoSpaceDN/>
        <w:bidi w:val="0"/>
        <w:snapToGrid w:val="0"/>
        <w:spacing w:line="400" w:lineRule="exact"/>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江苏建达全过程工程咨询有限公司（以下称代理机构）受 南通市机关事务管理局（以下称采购单位）的委托，就其</w:t>
      </w:r>
      <w:r>
        <w:rPr>
          <w:rFonts w:hint="eastAsia" w:ascii="宋体" w:hAnsi="宋体" w:cs="宋体"/>
          <w:color w:val="auto"/>
          <w:sz w:val="24"/>
          <w:szCs w:val="24"/>
          <w:highlight w:val="none"/>
          <w:lang w:eastAsia="zh-CN"/>
        </w:rPr>
        <w:t>南通市机关事务管理局2025年度（第一批）监理项目</w:t>
      </w:r>
      <w:r>
        <w:rPr>
          <w:rFonts w:hint="eastAsia" w:ascii="宋体" w:hAnsi="宋体" w:cs="宋体"/>
          <w:color w:val="auto"/>
          <w:sz w:val="24"/>
          <w:szCs w:val="24"/>
          <w:highlight w:val="none"/>
        </w:rPr>
        <w:t>组织竞争性磋商采购，诚邀符合条件的潜在供应商参加该项目的竞争性磋商。</w:t>
      </w:r>
    </w:p>
    <w:p w14:paraId="32176846">
      <w:pPr>
        <w:keepNext w:val="0"/>
        <w:keepLines w:val="0"/>
        <w:pageBreakBefore w:val="0"/>
        <w:numPr>
          <w:ilvl w:val="0"/>
          <w:numId w:val="3"/>
        </w:numPr>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项目基本情况：</w:t>
      </w:r>
    </w:p>
    <w:p w14:paraId="7ED58ECB">
      <w:pPr>
        <w:pStyle w:val="2"/>
        <w:keepNext w:val="0"/>
        <w:keepLines w:val="0"/>
        <w:pageBreakBefore w:val="0"/>
        <w:widowControl w:val="0"/>
        <w:numPr>
          <w:ilvl w:val="0"/>
          <w:numId w:val="0"/>
        </w:numPr>
        <w:shd w:val="clear"/>
        <w:kinsoku/>
        <w:wordWrap/>
        <w:overflowPunct/>
        <w:topLinePunct w:val="0"/>
        <w:autoSpaceDE/>
        <w:autoSpaceDN/>
        <w:bidi w:val="0"/>
        <w:adjustRightInd/>
        <w:spacing w:line="400" w:lineRule="exact"/>
        <w:textAlignment w:val="auto"/>
        <w:rPr>
          <w:rFonts w:hint="default"/>
          <w:color w:val="auto"/>
          <w:highlight w:val="none"/>
          <w:lang w:val="en-US" w:eastAsia="zh-CN"/>
        </w:rPr>
      </w:pPr>
      <w:r>
        <w:rPr>
          <w:rFonts w:hint="eastAsia"/>
          <w:color w:val="auto"/>
          <w:highlight w:val="none"/>
          <w:lang w:val="en-US" w:eastAsia="zh-CN"/>
        </w:rPr>
        <w:t xml:space="preserve">     </w:t>
      </w:r>
      <w:r>
        <w:rPr>
          <w:rFonts w:hint="eastAsia" w:ascii="宋体" w:hAnsi="宋体" w:cs="宋体"/>
          <w:color w:val="auto"/>
          <w:sz w:val="24"/>
          <w:szCs w:val="24"/>
          <w:highlight w:val="none"/>
          <w:lang w:val="en-US" w:eastAsia="zh-CN"/>
        </w:rPr>
        <w:t>1.项目编号：JSJD2025071001</w:t>
      </w:r>
    </w:p>
    <w:p w14:paraId="1095B089">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南通市机关事务管理局2025年度（第一批）监理项目</w:t>
      </w:r>
    </w:p>
    <w:p w14:paraId="57DC0D1A">
      <w:pPr>
        <w:pStyle w:val="19"/>
        <w:keepNext w:val="0"/>
        <w:keepLines w:val="0"/>
        <w:pageBreakBefore w:val="0"/>
        <w:widowControl w:val="0"/>
        <w:shd w:val="clear"/>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项目预算：</w:t>
      </w:r>
      <w:r>
        <w:rPr>
          <w:rFonts w:hint="eastAsia" w:ascii="宋体" w:hAnsi="宋体" w:cs="宋体"/>
          <w:color w:val="auto"/>
          <w:sz w:val="24"/>
          <w:szCs w:val="24"/>
          <w:highlight w:val="none"/>
          <w:lang w:eastAsia="zh-CN"/>
        </w:rPr>
        <w:t>最高限价103524.80</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rPr>
        <w:t>报价不得高于最高限价（总价及各分项目价格）</w:t>
      </w:r>
      <w:r>
        <w:rPr>
          <w:rFonts w:hint="eastAsia" w:ascii="宋体" w:hAnsi="宋体" w:cs="宋体"/>
          <w:color w:val="auto"/>
          <w:sz w:val="24"/>
          <w:szCs w:val="24"/>
          <w:highlight w:val="none"/>
          <w:lang w:eastAsia="zh-CN"/>
        </w:rPr>
        <w:t>详见本招标文件表一</w:t>
      </w:r>
      <w:r>
        <w:rPr>
          <w:rFonts w:hint="eastAsia" w:ascii="宋体" w:hAnsi="宋体" w:cs="宋体"/>
          <w:color w:val="auto"/>
          <w:sz w:val="24"/>
          <w:szCs w:val="24"/>
          <w:highlight w:val="none"/>
        </w:rPr>
        <w:t>，否则为无效响应。</w:t>
      </w:r>
    </w:p>
    <w:p w14:paraId="71170AFE">
      <w:pPr>
        <w:pStyle w:val="2"/>
        <w:keepNext w:val="0"/>
        <w:keepLines w:val="0"/>
        <w:pageBreakBefore w:val="0"/>
        <w:widowControl w:val="0"/>
        <w:shd w:val="clear"/>
        <w:kinsoku/>
        <w:wordWrap/>
        <w:overflowPunct/>
        <w:topLinePunct w:val="0"/>
        <w:autoSpaceDE/>
        <w:autoSpaceDN/>
        <w:bidi w:val="0"/>
        <w:adjustRightInd/>
        <w:spacing w:line="400" w:lineRule="exact"/>
        <w:ind w:firstLine="48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4.项目类型：服务</w:t>
      </w:r>
    </w:p>
    <w:p w14:paraId="23679CF7">
      <w:pPr>
        <w:pStyle w:val="52"/>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480"/>
        <w:textAlignment w:val="auto"/>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其他未列明行业-</w:t>
      </w:r>
      <w:r>
        <w:rPr>
          <w:rFonts w:hint="eastAsia" w:ascii="宋体" w:hAnsi="宋体" w:cs="宋体"/>
          <w:color w:val="auto"/>
          <w:sz w:val="24"/>
          <w:highlight w:val="none"/>
          <w:shd w:val="clear" w:color="auto" w:fill="FFFFFF"/>
        </w:rPr>
        <w:t>专业技术服务业</w:t>
      </w:r>
    </w:p>
    <w:p w14:paraId="4B89BF4C">
      <w:pPr>
        <w:pStyle w:val="52"/>
        <w:keepNext w:val="0"/>
        <w:keepLines w:val="0"/>
        <w:pageBreakBefore w:val="0"/>
        <w:widowControl w:val="0"/>
        <w:shd w:val="clear"/>
        <w:kinsoku/>
        <w:wordWrap/>
        <w:overflowPunct/>
        <w:topLinePunct w:val="0"/>
        <w:autoSpaceDE/>
        <w:autoSpaceDN/>
        <w:bidi w:val="0"/>
        <w:adjustRightInd/>
        <w:snapToGrid w:val="0"/>
        <w:spacing w:after="0" w:line="400" w:lineRule="exact"/>
        <w:ind w:left="0" w:leftChars="0" w:firstLine="480"/>
        <w:textAlignment w:val="auto"/>
        <w:rPr>
          <w:rFonts w:ascii="宋体" w:hAnsi="宋体" w:eastAsia="宋体" w:cs="宋体"/>
          <w:color w:val="auto"/>
          <w:sz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需求：</w:t>
      </w:r>
      <w:r>
        <w:rPr>
          <w:rFonts w:hint="eastAsia" w:ascii="宋体" w:hAnsi="宋体" w:eastAsia="宋体" w:cs="宋体"/>
          <w:color w:val="auto"/>
          <w:sz w:val="24"/>
          <w:highlight w:val="none"/>
          <w:lang w:eastAsia="zh-CN"/>
        </w:rPr>
        <w:t>工程施工准备阶段、施工阶段、竣工验收和保修阶段全过程监理。协助业主办理图纸审查和各项报批工作，对工程进行质量、进度、投资控制和合同管理、信息管理、安全生产管理、文明施工管理、工程竣工资料收集归档审核、组织协调施工现场各方关系等。</w:t>
      </w:r>
      <w:r>
        <w:rPr>
          <w:rFonts w:hint="eastAsia" w:ascii="宋体" w:hAnsi="宋体" w:eastAsia="宋体" w:cs="宋体"/>
          <w:color w:val="auto"/>
          <w:sz w:val="24"/>
          <w:highlight w:val="none"/>
        </w:rPr>
        <w:t>具体详见《第三部分 项目需求》。</w:t>
      </w:r>
    </w:p>
    <w:p w14:paraId="403FD64E">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服务期</w:t>
      </w:r>
      <w:r>
        <w:rPr>
          <w:rFonts w:hint="eastAsia" w:ascii="宋体" w:hAnsi="宋体" w:eastAsia="宋体" w:cs="宋体"/>
          <w:snapToGrid/>
          <w:color w:val="auto"/>
          <w:kern w:val="2"/>
          <w:sz w:val="24"/>
          <w:szCs w:val="24"/>
          <w:highlight w:val="none"/>
          <w:lang w:val="en-US" w:eastAsia="zh-CN" w:bidi="ar-SA"/>
        </w:rPr>
        <w:t>限：</w:t>
      </w:r>
      <w:r>
        <w:rPr>
          <w:rFonts w:hint="eastAsia" w:ascii="宋体" w:hAnsi="宋体" w:eastAsia="宋体" w:cs="宋体"/>
          <w:color w:val="auto"/>
          <w:sz w:val="24"/>
          <w:highlight w:val="none"/>
          <w:lang w:eastAsia="zh-CN"/>
        </w:rPr>
        <w:t>施工准备期+施工期+保修期，具体施工期以实际施工期为准，进场日期以中标通知书发出时间为准。</w:t>
      </w:r>
    </w:p>
    <w:p w14:paraId="4F7BB5E8">
      <w:pPr>
        <w:keepNext w:val="0"/>
        <w:keepLines w:val="0"/>
        <w:pageBreakBefore w:val="0"/>
        <w:shd w:val="clear"/>
        <w:kinsoku/>
        <w:wordWrap/>
        <w:overflowPunct/>
        <w:topLinePunct w:val="0"/>
        <w:autoSpaceDE/>
        <w:autoSpaceDN/>
        <w:bidi w:val="0"/>
        <w:adjustRightInd/>
        <w:snapToGrid w:val="0"/>
        <w:spacing w:line="4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本项目是否接受联合体响应：否。</w:t>
      </w:r>
    </w:p>
    <w:p w14:paraId="74DB3AB2">
      <w:pPr>
        <w:keepNext w:val="0"/>
        <w:keepLines w:val="0"/>
        <w:pageBreakBefore w:val="0"/>
        <w:shd w:val="clear"/>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本项目不接受分包。</w:t>
      </w:r>
    </w:p>
    <w:p w14:paraId="2788FC8B">
      <w:pPr>
        <w:keepNext w:val="0"/>
        <w:keepLines w:val="0"/>
        <w:pageBreakBefore w:val="0"/>
        <w:widowControl/>
        <w:shd w:val="clear"/>
        <w:kinsoku/>
        <w:wordWrap/>
        <w:overflowPunct/>
        <w:topLinePunct w:val="0"/>
        <w:autoSpaceDE/>
        <w:autoSpaceDN/>
        <w:bidi w:val="0"/>
        <w:adjustRightInd/>
        <w:snapToGrid w:val="0"/>
        <w:spacing w:line="400" w:lineRule="exact"/>
        <w:ind w:firstLine="480" w:firstLineChars="200"/>
        <w:jc w:val="left"/>
        <w:textAlignment w:val="auto"/>
        <w:rPr>
          <w:rFonts w:ascii="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、供应商资格要求：</w:t>
      </w:r>
    </w:p>
    <w:p w14:paraId="3180BDC7">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.参照</w:t>
      </w:r>
      <w:r>
        <w:rPr>
          <w:rFonts w:hint="eastAsia" w:ascii="宋体" w:hAnsi="宋体" w:cs="宋体"/>
          <w:color w:val="auto"/>
          <w:sz w:val="24"/>
          <w:szCs w:val="24"/>
          <w:highlight w:val="none"/>
        </w:rPr>
        <w:t>《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1AA47D">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法定代表人为同一个人的两个及两个以上法人，母公司、全资子公司及其控股公司，都不得在同一采购项目相同标段中同时参加投标，一经发现，将视同围标处理。</w:t>
      </w:r>
    </w:p>
    <w:p w14:paraId="05412D26">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hint="eastAsia" w:ascii="宋体" w:hAnsi="宋体" w:cs="宋体"/>
          <w:color w:val="auto"/>
          <w:sz w:val="24"/>
          <w:szCs w:val="24"/>
          <w:highlight w:val="none"/>
          <w:lang w:eastAsia="zh-CN"/>
        </w:rPr>
      </w:pPr>
      <w:bookmarkStart w:id="11" w:name="OLE_LINK20"/>
      <w:bookmarkStart w:id="12" w:name="OLE_LINK19"/>
      <w:r>
        <w:rPr>
          <w:rFonts w:hint="eastAsia" w:ascii="宋体" w:hAnsi="宋体" w:cs="宋体"/>
          <w:color w:val="auto"/>
          <w:sz w:val="24"/>
          <w:szCs w:val="24"/>
          <w:highlight w:val="none"/>
        </w:rPr>
        <w:t>3</w:t>
      </w:r>
      <w:bookmarkEnd w:id="11"/>
      <w:bookmarkEnd w:id="12"/>
      <w:r>
        <w:rPr>
          <w:rFonts w:hint="eastAsia" w:ascii="宋体" w:hAnsi="宋体" w:cs="宋体"/>
          <w:color w:val="auto"/>
          <w:sz w:val="24"/>
          <w:szCs w:val="24"/>
          <w:highlight w:val="none"/>
          <w:lang w:eastAsia="zh-CN"/>
        </w:rPr>
        <w:t>.本项目特定资格要求：</w:t>
      </w:r>
    </w:p>
    <w:p w14:paraId="5892DF75">
      <w:pPr>
        <w:keepNext w:val="0"/>
        <w:keepLines w:val="0"/>
        <w:pageBreakBefore w:val="0"/>
        <w:widowControl/>
        <w:shd w:val="clear"/>
        <w:kinsoku/>
        <w:wordWrap/>
        <w:overflowPunct/>
        <w:topLinePunct w:val="0"/>
        <w:autoSpaceDE/>
        <w:autoSpaceDN/>
        <w:bidi w:val="0"/>
        <w:adjustRightInd/>
        <w:snapToGrid w:val="0"/>
        <w:spacing w:line="400" w:lineRule="exact"/>
        <w:ind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Theme="majorEastAsia" w:hAnsiTheme="majorEastAsia" w:eastAsiaTheme="majorEastAsia" w:cstheme="majorEastAsia"/>
          <w:color w:val="auto"/>
          <w:sz w:val="24"/>
          <w:highlight w:val="none"/>
        </w:rPr>
        <w:t>供应商具备有效的建设主管部门核发的</w:t>
      </w:r>
      <w:r>
        <w:rPr>
          <w:rFonts w:hint="eastAsia" w:ascii="宋体" w:hAnsi="宋体" w:cs="宋体"/>
          <w:color w:val="auto"/>
          <w:sz w:val="24"/>
          <w:szCs w:val="24"/>
          <w:highlight w:val="none"/>
        </w:rPr>
        <w:t>监理综合资质或房屋建筑工程监理乙级及以上资质</w:t>
      </w:r>
      <w:r>
        <w:rPr>
          <w:rFonts w:ascii="宋体" w:hAnsi="宋体" w:cs="宋体"/>
          <w:color w:val="auto"/>
          <w:sz w:val="24"/>
          <w:szCs w:val="24"/>
          <w:highlight w:val="none"/>
        </w:rPr>
        <w:t>。</w:t>
      </w:r>
    </w:p>
    <w:p w14:paraId="6EF67F04">
      <w:pPr>
        <w:shd w:val="clear"/>
        <w:autoSpaceDE w:val="0"/>
        <w:autoSpaceDN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拟派监理组人员要求：</w:t>
      </w:r>
    </w:p>
    <w:tbl>
      <w:tblPr>
        <w:tblStyle w:val="53"/>
        <w:tblW w:w="9464" w:type="dxa"/>
        <w:tblInd w:w="0" w:type="dxa"/>
        <w:tblLayout w:type="fixed"/>
        <w:tblCellMar>
          <w:top w:w="15" w:type="dxa"/>
          <w:left w:w="15" w:type="dxa"/>
          <w:bottom w:w="15" w:type="dxa"/>
          <w:right w:w="15" w:type="dxa"/>
        </w:tblCellMar>
      </w:tblPr>
      <w:tblGrid>
        <w:gridCol w:w="2235"/>
        <w:gridCol w:w="1473"/>
        <w:gridCol w:w="5756"/>
      </w:tblGrid>
      <w:tr w14:paraId="271044F2">
        <w:tblPrEx>
          <w:tblCellMar>
            <w:top w:w="15" w:type="dxa"/>
            <w:left w:w="15" w:type="dxa"/>
            <w:bottom w:w="15" w:type="dxa"/>
            <w:right w:w="15" w:type="dxa"/>
          </w:tblCellMar>
        </w:tblPrEx>
        <w:tc>
          <w:tcPr>
            <w:tcW w:w="22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31231B1">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岗位</w:t>
            </w:r>
          </w:p>
        </w:tc>
        <w:tc>
          <w:tcPr>
            <w:tcW w:w="14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6A85662">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人员要求</w:t>
            </w:r>
          </w:p>
        </w:tc>
        <w:tc>
          <w:tcPr>
            <w:tcW w:w="57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1482E9AB">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持证上岗要求</w:t>
            </w:r>
          </w:p>
        </w:tc>
      </w:tr>
      <w:tr w14:paraId="5ED82674">
        <w:tblPrEx>
          <w:tblCellMar>
            <w:top w:w="15" w:type="dxa"/>
            <w:left w:w="15" w:type="dxa"/>
            <w:bottom w:w="15" w:type="dxa"/>
            <w:right w:w="15" w:type="dxa"/>
          </w:tblCellMar>
        </w:tblPrEx>
        <w:trPr>
          <w:trHeight w:val="622"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8F8A30">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2CEA41">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1名</w:t>
            </w:r>
          </w:p>
        </w:tc>
        <w:tc>
          <w:tcPr>
            <w:tcW w:w="57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C2F666">
            <w:pPr>
              <w:shd w:val="clear"/>
              <w:autoSpaceDE w:val="0"/>
              <w:autoSpaceDN w:val="0"/>
              <w:adjustRightInd w:val="0"/>
              <w:snapToGrid w:val="0"/>
              <w:spacing w:line="24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国家注册监理工程师（注册专业为</w:t>
            </w:r>
            <w:r>
              <w:rPr>
                <w:rFonts w:hint="eastAsia" w:ascii="宋体" w:hAnsi="宋体" w:eastAsia="宋体" w:cs="宋体"/>
                <w:color w:val="auto"/>
                <w:sz w:val="24"/>
                <w:highlight w:val="none"/>
              </w:rPr>
              <w:t>房屋建筑工程专业</w:t>
            </w:r>
            <w:r>
              <w:rPr>
                <w:rFonts w:hint="eastAsia" w:ascii="宋体" w:hAnsi="宋体" w:eastAsia="宋体" w:cs="宋体"/>
                <w:color w:val="auto"/>
                <w:kern w:val="0"/>
                <w:sz w:val="24"/>
                <w:highlight w:val="none"/>
              </w:rPr>
              <w:t>）</w:t>
            </w:r>
          </w:p>
        </w:tc>
      </w:tr>
      <w:tr w14:paraId="1FA5CF22">
        <w:tblPrEx>
          <w:tblCellMar>
            <w:top w:w="15" w:type="dxa"/>
            <w:left w:w="15" w:type="dxa"/>
            <w:bottom w:w="15" w:type="dxa"/>
            <w:right w:w="15" w:type="dxa"/>
          </w:tblCellMar>
        </w:tblPrEx>
        <w:trPr>
          <w:trHeight w:val="622"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5BB2DA">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专业监理工程师</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1435B1">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名</w:t>
            </w:r>
          </w:p>
        </w:tc>
        <w:tc>
          <w:tcPr>
            <w:tcW w:w="57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2C6552">
            <w:pPr>
              <w:shd w:val="clear"/>
              <w:autoSpaceDE w:val="0"/>
              <w:autoSpaceDN w:val="0"/>
              <w:adjustRightInd w:val="0"/>
              <w:snapToGrid w:val="0"/>
              <w:spacing w:line="24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国家注册监理工程师</w:t>
            </w:r>
            <w:r>
              <w:rPr>
                <w:rFonts w:hint="eastAsia" w:ascii="宋体" w:hAnsi="宋体" w:eastAsia="宋体" w:cs="宋体"/>
                <w:color w:val="auto"/>
                <w:kern w:val="0"/>
                <w:sz w:val="24"/>
                <w:highlight w:val="none"/>
                <w:lang w:eastAsia="zh-CN"/>
              </w:rPr>
              <w:t>或</w:t>
            </w:r>
            <w:r>
              <w:rPr>
                <w:rFonts w:hint="eastAsia" w:ascii="宋体" w:hAnsi="宋体" w:eastAsia="宋体" w:cs="宋体"/>
                <w:color w:val="auto"/>
                <w:kern w:val="0"/>
                <w:sz w:val="24"/>
                <w:highlight w:val="none"/>
              </w:rPr>
              <w:t>江苏省监理工程师，</w:t>
            </w:r>
            <w:r>
              <w:rPr>
                <w:rFonts w:hint="eastAsia" w:ascii="宋体" w:hAnsi="宋体" w:eastAsia="宋体" w:cs="宋体"/>
                <w:color w:val="auto"/>
                <w:sz w:val="24"/>
                <w:highlight w:val="none"/>
              </w:rPr>
              <w:t>房屋建筑工程类</w:t>
            </w:r>
            <w:r>
              <w:rPr>
                <w:rFonts w:hint="eastAsia" w:ascii="宋体" w:hAnsi="宋体" w:eastAsia="宋体" w:cs="宋体"/>
                <w:color w:val="auto"/>
                <w:sz w:val="24"/>
                <w:highlight w:val="none"/>
                <w:lang w:eastAsia="zh-CN"/>
              </w:rPr>
              <w:t>和机电安装</w:t>
            </w:r>
            <w:r>
              <w:rPr>
                <w:rFonts w:hint="eastAsia" w:ascii="宋体" w:hAnsi="宋体" w:cs="宋体"/>
                <w:color w:val="auto"/>
                <w:sz w:val="24"/>
                <w:highlight w:val="none"/>
                <w:lang w:eastAsia="zh-CN"/>
              </w:rPr>
              <w:t>工程</w:t>
            </w:r>
            <w:r>
              <w:rPr>
                <w:rFonts w:hint="eastAsia" w:ascii="宋体" w:hAnsi="宋体" w:eastAsia="宋体" w:cs="宋体"/>
                <w:color w:val="auto"/>
                <w:sz w:val="24"/>
                <w:highlight w:val="none"/>
                <w:lang w:eastAsia="zh-CN"/>
              </w:rPr>
              <w:t>类</w:t>
            </w:r>
            <w:r>
              <w:rPr>
                <w:rFonts w:hint="eastAsia" w:ascii="宋体" w:hAnsi="宋体" w:eastAsia="宋体" w:cs="宋体"/>
                <w:color w:val="auto"/>
                <w:sz w:val="24"/>
                <w:highlight w:val="none"/>
              </w:rPr>
              <w:t>专业</w:t>
            </w:r>
            <w:r>
              <w:rPr>
                <w:rFonts w:hint="eastAsia" w:ascii="宋体" w:hAnsi="宋体" w:eastAsia="宋体" w:cs="宋体"/>
                <w:color w:val="auto"/>
                <w:sz w:val="24"/>
                <w:highlight w:val="none"/>
                <w:lang w:eastAsia="zh-CN"/>
              </w:rPr>
              <w:t>各</w:t>
            </w:r>
            <w:r>
              <w:rPr>
                <w:rFonts w:hint="eastAsia" w:ascii="宋体" w:hAnsi="宋体" w:eastAsia="宋体" w:cs="宋体"/>
                <w:color w:val="auto"/>
                <w:sz w:val="24"/>
                <w:highlight w:val="none"/>
                <w:lang w:val="en-US" w:eastAsia="zh-CN"/>
              </w:rPr>
              <w:t>1名</w:t>
            </w:r>
            <w:r>
              <w:rPr>
                <w:rFonts w:hint="eastAsia" w:ascii="宋体" w:hAnsi="宋体" w:eastAsia="宋体" w:cs="宋体"/>
                <w:color w:val="auto"/>
                <w:kern w:val="0"/>
                <w:sz w:val="24"/>
                <w:highlight w:val="none"/>
              </w:rPr>
              <w:t>。</w:t>
            </w:r>
          </w:p>
        </w:tc>
      </w:tr>
      <w:tr w14:paraId="62739280">
        <w:tblPrEx>
          <w:tblCellMar>
            <w:top w:w="15" w:type="dxa"/>
            <w:left w:w="15" w:type="dxa"/>
            <w:bottom w:w="15" w:type="dxa"/>
            <w:right w:w="15" w:type="dxa"/>
          </w:tblCellMar>
        </w:tblPrEx>
        <w:trPr>
          <w:trHeight w:val="90"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03BE3E">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监理员</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373C5B">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2名</w:t>
            </w:r>
          </w:p>
        </w:tc>
        <w:tc>
          <w:tcPr>
            <w:tcW w:w="57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A162333">
            <w:pPr>
              <w:shd w:val="clear"/>
              <w:autoSpaceDE w:val="0"/>
              <w:autoSpaceDN w:val="0"/>
              <w:adjustRightInd w:val="0"/>
              <w:snapToGrid w:val="0"/>
              <w:spacing w:line="24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房屋建筑</w:t>
            </w:r>
            <w:r>
              <w:rPr>
                <w:rFonts w:hint="eastAsia" w:ascii="宋体" w:hAnsi="宋体" w:cs="宋体"/>
                <w:color w:val="auto"/>
                <w:kern w:val="0"/>
                <w:sz w:val="24"/>
                <w:highlight w:val="none"/>
                <w:lang w:eastAsia="zh-CN"/>
              </w:rPr>
              <w:t>工程</w:t>
            </w:r>
            <w:r>
              <w:rPr>
                <w:rFonts w:hint="eastAsia" w:ascii="宋体" w:hAnsi="宋体" w:eastAsia="宋体" w:cs="宋体"/>
                <w:color w:val="auto"/>
                <w:kern w:val="0"/>
                <w:sz w:val="24"/>
                <w:highlight w:val="none"/>
              </w:rPr>
              <w:t>类、</w:t>
            </w:r>
            <w:r>
              <w:rPr>
                <w:rFonts w:hint="eastAsia" w:ascii="宋体" w:hAnsi="宋体" w:eastAsia="宋体" w:cs="宋体"/>
                <w:color w:val="auto"/>
                <w:kern w:val="0"/>
                <w:sz w:val="24"/>
                <w:highlight w:val="none"/>
                <w:lang w:eastAsia="zh-CN"/>
              </w:rPr>
              <w:t>机电</w:t>
            </w:r>
            <w:r>
              <w:rPr>
                <w:rFonts w:hint="eastAsia" w:ascii="宋体" w:hAnsi="宋体" w:eastAsia="宋体" w:cs="宋体"/>
                <w:color w:val="auto"/>
                <w:kern w:val="0"/>
                <w:sz w:val="24"/>
                <w:highlight w:val="none"/>
              </w:rPr>
              <w:t>安装</w:t>
            </w:r>
            <w:r>
              <w:rPr>
                <w:rFonts w:hint="eastAsia" w:ascii="宋体" w:hAnsi="宋体" w:cs="宋体"/>
                <w:color w:val="auto"/>
                <w:kern w:val="0"/>
                <w:sz w:val="24"/>
                <w:highlight w:val="none"/>
                <w:lang w:eastAsia="zh-CN"/>
              </w:rPr>
              <w:t>工程</w:t>
            </w:r>
            <w:r>
              <w:rPr>
                <w:rFonts w:hint="eastAsia" w:ascii="宋体" w:hAnsi="宋体" w:eastAsia="宋体" w:cs="宋体"/>
                <w:color w:val="auto"/>
                <w:kern w:val="0"/>
                <w:sz w:val="24"/>
                <w:highlight w:val="none"/>
              </w:rPr>
              <w:t>类专业各1名。</w:t>
            </w:r>
          </w:p>
        </w:tc>
      </w:tr>
      <w:tr w14:paraId="1069C62C">
        <w:tblPrEx>
          <w:tblCellMar>
            <w:top w:w="15" w:type="dxa"/>
            <w:left w:w="15" w:type="dxa"/>
            <w:bottom w:w="15" w:type="dxa"/>
            <w:right w:w="15" w:type="dxa"/>
          </w:tblCellMar>
        </w:tblPrEx>
        <w:trPr>
          <w:trHeight w:val="560" w:hRule="atLeast"/>
        </w:trPr>
        <w:tc>
          <w:tcPr>
            <w:tcW w:w="22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D57E01">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w:t>
            </w:r>
          </w:p>
        </w:tc>
        <w:tc>
          <w:tcPr>
            <w:tcW w:w="14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AEE724">
            <w:pPr>
              <w:shd w:val="clear"/>
              <w:autoSpaceDE w:val="0"/>
              <w:autoSpaceDN w:val="0"/>
              <w:adjustRightInd w:val="0"/>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名</w:t>
            </w:r>
          </w:p>
        </w:tc>
        <w:tc>
          <w:tcPr>
            <w:tcW w:w="575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CADFCB8">
            <w:pPr>
              <w:shd w:val="clear"/>
              <w:autoSpaceDE w:val="0"/>
              <w:autoSpaceDN w:val="0"/>
              <w:adjustRightInd w:val="0"/>
              <w:snapToGrid w:val="0"/>
              <w:spacing w:line="440" w:lineRule="exact"/>
              <w:jc w:val="left"/>
              <w:rPr>
                <w:rFonts w:hint="eastAsia"/>
                <w:color w:val="auto"/>
                <w:highlight w:val="none"/>
              </w:rPr>
            </w:pPr>
          </w:p>
        </w:tc>
      </w:tr>
    </w:tbl>
    <w:p w14:paraId="0BD45768">
      <w:pPr>
        <w:shd w:val="clear"/>
        <w:autoSpaceDE w:val="0"/>
        <w:autoSpaceDN w:val="0"/>
        <w:adjustRightInd w:val="0"/>
        <w:snapToGrid w:val="0"/>
        <w:spacing w:line="360" w:lineRule="auto"/>
        <w:ind w:firstLine="240" w:firstLineChars="100"/>
        <w:jc w:val="both"/>
        <w:rPr>
          <w:rFonts w:cs="华文新魏" w:asciiTheme="minorEastAsia" w:hAnsiTheme="minorEastAsia" w:eastAsiaTheme="minorEastAsia"/>
          <w:color w:val="auto"/>
          <w:kern w:val="0"/>
          <w:sz w:val="24"/>
          <w:highlight w:val="none"/>
        </w:rPr>
      </w:pPr>
      <w:r>
        <w:rPr>
          <w:rFonts w:hint="eastAsia" w:cs="华文新魏" w:asciiTheme="minorEastAsia" w:hAnsiTheme="minorEastAsia" w:eastAsiaTheme="minorEastAsia"/>
          <w:color w:val="auto"/>
          <w:kern w:val="0"/>
          <w:sz w:val="24"/>
          <w:highlight w:val="none"/>
        </w:rPr>
        <w:t>注：① 以上人员配备为最低限度要求，要求项目监理组所有人员必须为投标人的正式员工</w:t>
      </w:r>
      <w:r>
        <w:rPr>
          <w:rFonts w:hint="eastAsia" w:cs="宋体" w:asciiTheme="minorEastAsia" w:hAnsiTheme="minorEastAsia" w:eastAsiaTheme="minorEastAsia"/>
          <w:color w:val="auto"/>
          <w:kern w:val="0"/>
          <w:sz w:val="24"/>
          <w:highlight w:val="none"/>
        </w:rPr>
        <w:t>（不含退休返聘人员）</w:t>
      </w:r>
      <w:r>
        <w:rPr>
          <w:rFonts w:hint="eastAsia" w:cs="华文新魏" w:asciiTheme="minorEastAsia" w:hAnsiTheme="minorEastAsia" w:eastAsiaTheme="minorEastAsia"/>
          <w:color w:val="auto"/>
          <w:kern w:val="0"/>
          <w:sz w:val="24"/>
          <w:highlight w:val="none"/>
        </w:rPr>
        <w:t>，年龄均须在60周岁以下，身体健康。</w:t>
      </w:r>
    </w:p>
    <w:p w14:paraId="7403CD3E">
      <w:pPr>
        <w:shd w:val="clear"/>
        <w:autoSpaceDE w:val="0"/>
        <w:autoSpaceDN w:val="0"/>
        <w:adjustRightInd w:val="0"/>
        <w:snapToGrid w:val="0"/>
        <w:spacing w:line="360" w:lineRule="auto"/>
        <w:ind w:firstLine="720" w:firstLineChars="300"/>
        <w:jc w:val="both"/>
        <w:rPr>
          <w:rFonts w:asciiTheme="minorEastAsia" w:hAnsiTheme="minorEastAsia" w:eastAsiaTheme="minorEastAsia"/>
          <w:color w:val="auto"/>
          <w:sz w:val="24"/>
          <w:highlight w:val="none"/>
        </w:rPr>
      </w:pPr>
      <w:r>
        <w:rPr>
          <w:rFonts w:hint="eastAsia" w:cs="华文新魏" w:asciiTheme="minorEastAsia" w:hAnsiTheme="minorEastAsia" w:eastAsiaTheme="minorEastAsia"/>
          <w:color w:val="auto"/>
          <w:kern w:val="0"/>
          <w:sz w:val="24"/>
          <w:highlight w:val="none"/>
        </w:rPr>
        <w:t>② 表中所列人员的监理证书应为建设行政主管部门或监理行业协会核</w:t>
      </w:r>
      <w:r>
        <w:rPr>
          <w:rFonts w:hint="eastAsia" w:cs="华文新魏" w:asciiTheme="minorEastAsia" w:hAnsiTheme="minorEastAsia" w:eastAsiaTheme="minorEastAsia"/>
          <w:color w:val="auto"/>
          <w:kern w:val="0"/>
          <w:sz w:val="24"/>
          <w:highlight w:val="none"/>
          <w:lang w:eastAsia="zh-CN"/>
        </w:rPr>
        <w:t>发。</w:t>
      </w:r>
      <w:r>
        <w:rPr>
          <w:rFonts w:hint="eastAsia" w:cs="华文新魏" w:asciiTheme="minorEastAsia" w:hAnsiTheme="minorEastAsia" w:eastAsiaTheme="minorEastAsia"/>
          <w:color w:val="auto"/>
          <w:kern w:val="0"/>
          <w:sz w:val="24"/>
          <w:highlight w:val="none"/>
        </w:rPr>
        <w:t>国家注册监理工程师须提供注册证书和执业资格证书，且专业以注册证书载明的注册专业为准；专业监理工程师须提供岗位证书或监理从业人员业务培训学时证明（指行业主管部门或行业监理协会或行业协会颁发），专业以证书所载明的所学专业或培训专业或毕业证书所载明的所学专业为准；监理员须提供岗位证书或监理从业人员业务培训学时证明（指行业主管部门或行业监理协会或行业协会颁发），专业以证书所载明的所学专业或培训专业或毕业证书</w:t>
      </w:r>
      <w:r>
        <w:rPr>
          <w:rFonts w:hint="eastAsia" w:cs="华文新魏" w:asciiTheme="minorEastAsia" w:hAnsiTheme="minorEastAsia" w:eastAsiaTheme="minorEastAsia"/>
          <w:color w:val="auto"/>
          <w:kern w:val="0"/>
          <w:sz w:val="24"/>
          <w:highlight w:val="none"/>
          <w:lang w:eastAsia="zh-CN"/>
        </w:rPr>
        <w:t>或职称证书</w:t>
      </w:r>
      <w:r>
        <w:rPr>
          <w:rFonts w:hint="eastAsia" w:cs="华文新魏" w:asciiTheme="minorEastAsia" w:hAnsiTheme="minorEastAsia" w:eastAsiaTheme="minorEastAsia"/>
          <w:color w:val="auto"/>
          <w:kern w:val="0"/>
          <w:sz w:val="24"/>
          <w:highlight w:val="none"/>
        </w:rPr>
        <w:t>所载明的所学专业为准。</w:t>
      </w:r>
      <w:r>
        <w:rPr>
          <w:rFonts w:hint="eastAsia" w:cs="宋体" w:asciiTheme="minorEastAsia" w:hAnsiTheme="minorEastAsia" w:eastAsiaTheme="minorEastAsia"/>
          <w:color w:val="auto"/>
          <w:kern w:val="0"/>
          <w:sz w:val="24"/>
          <w:highlight w:val="none"/>
        </w:rPr>
        <w:t>根据《关于进一步加强全省监理人员从业管理的通知》（苏建建管〔2014〕100号）文件要求，取得企业工商注册所在地省级建设行政主管部门颁发的工程类二级注册执业资格、省监理工程师以及省监理员证书的省外监理人员，在我省只能担任监理员。</w:t>
      </w:r>
    </w:p>
    <w:p w14:paraId="6808EB6B">
      <w:pPr>
        <w:shd w:val="clear"/>
        <w:autoSpaceDE w:val="0"/>
        <w:autoSpaceDN w:val="0"/>
        <w:adjustRightInd w:val="0"/>
        <w:snapToGrid w:val="0"/>
        <w:spacing w:line="360" w:lineRule="auto"/>
        <w:ind w:firstLine="720" w:firstLineChars="300"/>
        <w:jc w:val="both"/>
        <w:rPr>
          <w:rFonts w:cs="华文新魏" w:asciiTheme="minorEastAsia" w:hAnsiTheme="minorEastAsia" w:eastAsiaTheme="minorEastAsia"/>
          <w:color w:val="auto"/>
          <w:kern w:val="0"/>
          <w:sz w:val="24"/>
          <w:highlight w:val="none"/>
        </w:rPr>
      </w:pPr>
      <w:r>
        <w:rPr>
          <w:rFonts w:hint="eastAsia" w:cs="华文新魏" w:asciiTheme="minorEastAsia" w:hAnsiTheme="minorEastAsia" w:eastAsiaTheme="minorEastAsia"/>
          <w:color w:val="auto"/>
          <w:kern w:val="0"/>
          <w:sz w:val="24"/>
          <w:highlight w:val="none"/>
        </w:rPr>
        <w:t>③ 投标人拟派往本工程的所有监理人员，不得到其他工程兼职。当监理人员不能满足工程进展要求时，招标人有权要求增加相应专业监理人员或更换有关监理人员。所有监理人员不得擅自变更（相关法律法规允许的除外），如确需更换，须经招标人书面认可后方可变更，否则视为违约。中标人须按招标人要求和工程建设进展适时安排监理人员入场。</w:t>
      </w:r>
      <w:r>
        <w:rPr>
          <w:rFonts w:hint="eastAsia" w:cs="宋体" w:asciiTheme="minorEastAsia" w:hAnsiTheme="minorEastAsia" w:eastAsiaTheme="minorEastAsia"/>
          <w:color w:val="auto"/>
          <w:kern w:val="0"/>
          <w:sz w:val="24"/>
          <w:highlight w:val="none"/>
        </w:rPr>
        <w:t>合同签订后，在接到招标人通知后，中标人应根据委托监理项目的特点，安排专业相匹配的监理人员进场工作。</w:t>
      </w:r>
    </w:p>
    <w:p w14:paraId="64CC4D63">
      <w:pPr>
        <w:shd w:val="clear"/>
        <w:autoSpaceDE w:val="0"/>
        <w:autoSpaceDN w:val="0"/>
        <w:adjustRightInd w:val="0"/>
        <w:snapToGrid w:val="0"/>
        <w:spacing w:line="360" w:lineRule="auto"/>
        <w:ind w:firstLine="720" w:firstLineChars="300"/>
        <w:jc w:val="both"/>
        <w:rPr>
          <w:rFonts w:hint="eastAsia" w:cs="华文新魏" w:asciiTheme="minorEastAsia" w:hAnsiTheme="minorEastAsia" w:eastAsiaTheme="minorEastAsia"/>
          <w:color w:val="auto"/>
          <w:kern w:val="0"/>
          <w:sz w:val="24"/>
          <w:highlight w:val="none"/>
        </w:rPr>
      </w:pPr>
      <w:r>
        <w:rPr>
          <w:rFonts w:hint="eastAsia" w:cs="华文新魏" w:asciiTheme="minorEastAsia" w:hAnsiTheme="minorEastAsia" w:eastAsiaTheme="minorEastAsia"/>
          <w:color w:val="auto"/>
          <w:kern w:val="0"/>
          <w:sz w:val="24"/>
          <w:highlight w:val="none"/>
        </w:rPr>
        <w:t>④ 拟派的总监理工程师有在监工程的，虽然未正式竣工验收但主体工程确已完工的，必须有由原建设单位出具“主体工程已完工，同意总监理工程师参加其他工程招投标活动”的证明。</w:t>
      </w:r>
    </w:p>
    <w:p w14:paraId="027723F3">
      <w:pPr>
        <w:keepNext w:val="0"/>
        <w:keepLines w:val="0"/>
        <w:pageBreakBefore w:val="0"/>
        <w:widowControl w:val="0"/>
        <w:shd w:val="clea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参加磋商的，必须提供法定代表人身份证明及法定代表人本人身份证复印件；非法定代表人参加磋商的，必须提供法定代表人签字或盖章的授权委托书及法定代表人、被授权人的两人身份证的复印件（格式参见第七章）。</w:t>
      </w:r>
    </w:p>
    <w:p w14:paraId="6F5485A2">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拟派的项目负责人为国家注册房屋建筑工程专业监理工程师（不得为企业法定代表人或企业董事长；年龄符合国家规定）；</w:t>
      </w:r>
    </w:p>
    <w:p w14:paraId="466C924A">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自2022年1月1日以来，企业和拟派项目负责人没有因串通投标、弄虚作假、以他人名义投标、 骗取中标、转包、违法分包等违法行为受到建设等有关部门行政处罚的；</w:t>
      </w:r>
    </w:p>
    <w:p w14:paraId="3EDFBF76">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自2022年1月1日以来，企业没有无正当理由放弃中标资格（不含项目负责人多投多中后放弃）、不与招标人订立合同、拒不提供履约担保情形的；</w:t>
      </w:r>
    </w:p>
    <w:p w14:paraId="658786A6">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自2022年1月1日以来，企业没有因拖欠工人工资被招标项目所在地省、市、县（市、区）建设行政主管部门通报批评的；</w:t>
      </w:r>
    </w:p>
    <w:p w14:paraId="7D3301BF">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截止至招标公告发布之日前，投标人未被“信用中国”网站列入失信被执行人名单、重大税收违法失信主体名单、政府采购严重违法失信行为记录名单、经营异常名录和严重失信主体名单；</w:t>
      </w:r>
    </w:p>
    <w:p w14:paraId="5AE7ABD2">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供应商须提供参与本次项目政府采购活动前三年内，在经营活动中没有重大违法记录的《无重大违法记录声明函》（格式参见第七章）。</w:t>
      </w:r>
    </w:p>
    <w:p w14:paraId="245A42EB">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提供关于资格文件的声明函（格式参见第七章）。</w:t>
      </w:r>
    </w:p>
    <w:p w14:paraId="564DBAC7">
      <w:pPr>
        <w:keepNext w:val="0"/>
        <w:keepLines w:val="0"/>
        <w:pageBreakBefore w:val="0"/>
        <w:shd w:val="clea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本项目不接受任何形式的联合体参与磋商，供应商必须具备独立完成本项目的能力。</w:t>
      </w:r>
    </w:p>
    <w:p w14:paraId="54AFB4A8">
      <w:pPr>
        <w:keepNext w:val="0"/>
        <w:keepLines w:val="0"/>
        <w:pageBreakBefore w:val="0"/>
        <w:shd w:val="clear"/>
        <w:kinsoku/>
        <w:wordWrap/>
        <w:overflowPunct/>
        <w:topLinePunct w:val="0"/>
        <w:autoSpaceDE/>
        <w:autoSpaceDN/>
        <w:bidi w:val="0"/>
        <w:adjustRightInd/>
        <w:spacing w:line="400" w:lineRule="exact"/>
        <w:ind w:firstLine="482" w:firstLineChars="200"/>
        <w:jc w:val="both"/>
        <w:textAlignment w:val="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未尽之处详见磋商文件第七章响应文件组成及格式。</w:t>
      </w:r>
    </w:p>
    <w:p w14:paraId="29661407">
      <w:pPr>
        <w:keepNext w:val="0"/>
        <w:keepLines w:val="0"/>
        <w:pageBreakBefore w:val="0"/>
        <w:shd w:val="clear"/>
        <w:kinsoku/>
        <w:wordWrap/>
        <w:overflowPunct/>
        <w:topLinePunct w:val="0"/>
        <w:autoSpaceDE/>
        <w:autoSpaceDN/>
        <w:bidi w:val="0"/>
        <w:spacing w:line="400" w:lineRule="exact"/>
        <w:ind w:firstLine="482" w:firstLineChars="200"/>
        <w:jc w:val="both"/>
        <w:textAlignment w:val="auto"/>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请供应商认真对照资格要求，如不符合要求，无意或故意参与投标的，所产生的一切后果由供应商承担。对提供虚假材料的响应供应商作无效标处理。</w:t>
      </w:r>
    </w:p>
    <w:p w14:paraId="49BCAB89">
      <w:pPr>
        <w:keepNext w:val="0"/>
        <w:keepLines w:val="0"/>
        <w:pageBreakBefore w:val="0"/>
        <w:shd w:val="clear"/>
        <w:kinsoku/>
        <w:wordWrap/>
        <w:overflowPunct/>
        <w:topLinePunct w:val="0"/>
        <w:autoSpaceDE/>
        <w:autoSpaceDN/>
        <w:bidi w:val="0"/>
        <w:adjustRightInd w:val="0"/>
        <w:snapToGrid w:val="0"/>
        <w:spacing w:line="400" w:lineRule="exact"/>
        <w:ind w:firstLine="482" w:firstLineChars="200"/>
        <w:jc w:val="both"/>
        <w:textAlignment w:val="auto"/>
        <w:rPr>
          <w:rFonts w:hint="default" w:eastAsia="宋体"/>
          <w:color w:val="auto"/>
          <w:highlight w:val="none"/>
          <w:lang w:val="en-US" w:eastAsia="zh-CN"/>
        </w:rPr>
      </w:pPr>
      <w:r>
        <w:rPr>
          <w:rFonts w:hint="eastAsia" w:ascii="宋体" w:hAnsi="宋体" w:cs="宋体"/>
          <w:b/>
          <w:color w:val="auto"/>
          <w:sz w:val="24"/>
          <w:szCs w:val="24"/>
          <w:highlight w:val="none"/>
          <w:lang w:val="en-US" w:eastAsia="zh-CN"/>
        </w:rPr>
        <w:t>13.</w:t>
      </w:r>
      <w:r>
        <w:rPr>
          <w:rFonts w:hint="eastAsia" w:ascii="宋体" w:hAnsi="宋体" w:eastAsia="宋体" w:cs="宋体"/>
          <w:color w:val="auto"/>
          <w:sz w:val="24"/>
          <w:highlight w:val="none"/>
        </w:rPr>
        <w:t>落实政府采购政策需满足的资格要求：</w:t>
      </w:r>
      <w:r>
        <w:rPr>
          <w:rFonts w:hint="eastAsia" w:ascii="宋体" w:hAnsi="宋体" w:eastAsia="宋体" w:cs="宋体"/>
          <w:b/>
          <w:color w:val="auto"/>
          <w:sz w:val="24"/>
          <w:highlight w:val="none"/>
        </w:rPr>
        <w:t>本项目专门面向中小企业采购，供应商应为中小微企业、监狱企业、残疾人福利性单位</w:t>
      </w:r>
      <w:r>
        <w:rPr>
          <w:rFonts w:hint="eastAsia" w:ascii="宋体" w:hAnsi="宋体" w:eastAsia="宋体" w:cs="宋体"/>
          <w:color w:val="auto"/>
          <w:sz w:val="24"/>
          <w:highlight w:val="none"/>
        </w:rPr>
        <w:t>。</w:t>
      </w:r>
    </w:p>
    <w:p w14:paraId="6CA672F1">
      <w:pPr>
        <w:keepNext w:val="0"/>
        <w:keepLines w:val="0"/>
        <w:pageBreakBefore w:val="0"/>
        <w:widowControl/>
        <w:shd w:val="clear"/>
        <w:kinsoku/>
        <w:wordWrap/>
        <w:overflowPunct/>
        <w:topLinePunct w:val="0"/>
        <w:autoSpaceDE/>
        <w:autoSpaceDN/>
        <w:bidi w:val="0"/>
        <w:snapToGrid w:val="0"/>
        <w:spacing w:line="400" w:lineRule="exact"/>
        <w:ind w:firstLine="480" w:firstLineChars="200"/>
        <w:jc w:val="left"/>
        <w:textAlignment w:val="auto"/>
        <w:rPr>
          <w:rFonts w:ascii="宋体"/>
          <w:color w:val="auto"/>
          <w:sz w:val="24"/>
          <w:szCs w:val="24"/>
          <w:highlight w:val="none"/>
        </w:rPr>
      </w:pPr>
      <w:r>
        <w:rPr>
          <w:rFonts w:hint="eastAsia" w:ascii="宋体" w:hAnsi="宋体" w:cs="宋体"/>
          <w:color w:val="auto"/>
          <w:sz w:val="24"/>
          <w:szCs w:val="24"/>
          <w:highlight w:val="none"/>
        </w:rPr>
        <w:t>六、招标文件的获取</w:t>
      </w:r>
    </w:p>
    <w:p w14:paraId="0070E411">
      <w:pPr>
        <w:shd w:val="clear"/>
        <w:autoSpaceDE w:val="0"/>
        <w:autoSpaceDN w:val="0"/>
        <w:adjustRightInd w:val="0"/>
        <w:spacing w:line="440" w:lineRule="exact"/>
        <w:ind w:firstLine="480" w:firstLineChars="200"/>
        <w:jc w:val="left"/>
        <w:rPr>
          <w:rFonts w:ascii="宋体" w:hAnsi="宋体" w:cs="SSJ-PK7482000002d-Identity-H"/>
          <w:color w:val="auto"/>
          <w:kern w:val="0"/>
          <w:sz w:val="24"/>
          <w:szCs w:val="24"/>
          <w:highlight w:val="none"/>
          <w:u w:val="single"/>
        </w:rPr>
      </w:pPr>
      <w:r>
        <w:rPr>
          <w:rFonts w:ascii="宋体" w:hAnsi="宋体" w:cs="SSJ-PK7482000002d-Identity-H"/>
          <w:color w:val="auto"/>
          <w:kern w:val="0"/>
          <w:sz w:val="24"/>
          <w:szCs w:val="24"/>
          <w:highlight w:val="none"/>
        </w:rPr>
        <w:t>1</w:t>
      </w:r>
      <w:r>
        <w:rPr>
          <w:rFonts w:hint="eastAsia" w:ascii="宋体" w:hAnsi="宋体" w:cs="SSJ-PK7482000002d-Identity-H"/>
          <w:color w:val="auto"/>
          <w:kern w:val="0"/>
          <w:sz w:val="24"/>
          <w:szCs w:val="24"/>
          <w:highlight w:val="none"/>
          <w:lang w:val="en-US" w:eastAsia="zh-CN"/>
        </w:rPr>
        <w:t>.</w:t>
      </w:r>
      <w:r>
        <w:rPr>
          <w:rFonts w:hint="eastAsia" w:ascii="宋体" w:hAnsi="宋体" w:cs="SSJ-PK7482000002d-Identity-H"/>
          <w:color w:val="auto"/>
          <w:kern w:val="0"/>
          <w:sz w:val="24"/>
          <w:szCs w:val="24"/>
          <w:highlight w:val="none"/>
        </w:rPr>
        <w:t>获取时间：</w:t>
      </w:r>
      <w:r>
        <w:rPr>
          <w:rFonts w:hint="eastAsia" w:ascii="宋体" w:hAnsi="宋体" w:cs="SSJ-PK7482000002d-Identity-H"/>
          <w:color w:val="auto"/>
          <w:kern w:val="0"/>
          <w:sz w:val="24"/>
          <w:szCs w:val="24"/>
          <w:highlight w:val="none"/>
          <w:u w:val="single"/>
        </w:rPr>
        <w:t>公告发布之日起至磋商截止之日。</w:t>
      </w:r>
    </w:p>
    <w:p w14:paraId="3045EBE6">
      <w:pPr>
        <w:shd w:val="clear"/>
        <w:autoSpaceDE w:val="0"/>
        <w:autoSpaceDN w:val="0"/>
        <w:adjustRightInd w:val="0"/>
        <w:spacing w:line="440" w:lineRule="exact"/>
        <w:ind w:firstLine="480" w:firstLineChars="200"/>
        <w:jc w:val="left"/>
        <w:rPr>
          <w:rFonts w:ascii="宋体" w:hAnsi="宋体" w:cs="SSJ-PK7482000002d-Identity-H"/>
          <w:color w:val="auto"/>
          <w:kern w:val="0"/>
          <w:sz w:val="24"/>
          <w:szCs w:val="24"/>
          <w:highlight w:val="none"/>
          <w:u w:val="single"/>
        </w:rPr>
      </w:pPr>
      <w:r>
        <w:rPr>
          <w:rFonts w:hint="eastAsia" w:ascii="宋体" w:hAnsi="宋体" w:cs="SSJ-PK7482000002d-Identity-H"/>
          <w:color w:val="auto"/>
          <w:kern w:val="0"/>
          <w:sz w:val="24"/>
          <w:szCs w:val="24"/>
          <w:highlight w:val="none"/>
        </w:rPr>
        <w:t>2</w:t>
      </w:r>
      <w:r>
        <w:rPr>
          <w:rFonts w:hint="eastAsia" w:ascii="宋体" w:hAnsi="宋体" w:cs="SSJ-PK7482000002d-Identity-H"/>
          <w:color w:val="auto"/>
          <w:kern w:val="0"/>
          <w:sz w:val="24"/>
          <w:szCs w:val="24"/>
          <w:highlight w:val="none"/>
          <w:lang w:val="en-US" w:eastAsia="zh-CN"/>
        </w:rPr>
        <w:t>.</w:t>
      </w:r>
      <w:r>
        <w:rPr>
          <w:rFonts w:hint="eastAsia" w:ascii="宋体" w:hAnsi="宋体" w:cs="SSJ-PK7482000002d-Identity-H"/>
          <w:color w:val="auto"/>
          <w:kern w:val="0"/>
          <w:sz w:val="24"/>
          <w:szCs w:val="24"/>
          <w:highlight w:val="none"/>
        </w:rPr>
        <w:t>获取方式：</w:t>
      </w:r>
      <w:r>
        <w:rPr>
          <w:rFonts w:hint="eastAsia" w:ascii="宋体" w:hAnsi="宋体" w:cs="SSJ-PK7482000002d-Identity-H"/>
          <w:color w:val="auto"/>
          <w:kern w:val="0"/>
          <w:sz w:val="24"/>
          <w:szCs w:val="24"/>
          <w:highlight w:val="none"/>
          <w:u w:val="single"/>
        </w:rPr>
        <w:t>本项目竞争性磋商公告、竞争性磋商文件、</w:t>
      </w:r>
      <w:r>
        <w:rPr>
          <w:rFonts w:ascii="宋体" w:hAnsi="宋体" w:cs="SSJ-PK7482000002d-Identity-H"/>
          <w:color w:val="auto"/>
          <w:kern w:val="0"/>
          <w:sz w:val="24"/>
          <w:szCs w:val="24"/>
          <w:highlight w:val="none"/>
          <w:u w:val="single"/>
        </w:rPr>
        <w:t>补充通知</w:t>
      </w:r>
      <w:r>
        <w:rPr>
          <w:rFonts w:hint="eastAsia" w:ascii="宋体" w:hAnsi="宋体" w:cs="SSJ-PK7482000002d-Identity-H"/>
          <w:color w:val="auto"/>
          <w:kern w:val="0"/>
          <w:sz w:val="24"/>
          <w:szCs w:val="24"/>
          <w:highlight w:val="none"/>
          <w:u w:val="single"/>
        </w:rPr>
        <w:t>等资料在“南通市机关事务管理局官网( jgsw.nantong.gov.cn)-公告公示”栏发布，各投标人自行上网查询、下载。</w:t>
      </w:r>
    </w:p>
    <w:p w14:paraId="3541410D">
      <w:pPr>
        <w:widowControl/>
        <w:shd w:val="clear"/>
        <w:snapToGrid w:val="0"/>
        <w:spacing w:line="480" w:lineRule="exact"/>
        <w:ind w:firstLine="480" w:firstLineChars="200"/>
        <w:jc w:val="left"/>
        <w:rPr>
          <w:rFonts w:ascii="宋体"/>
          <w:b/>
          <w:bCs/>
          <w:color w:val="auto"/>
          <w:sz w:val="24"/>
          <w:szCs w:val="24"/>
          <w:highlight w:val="none"/>
        </w:rPr>
      </w:pPr>
      <w:r>
        <w:rPr>
          <w:rFonts w:hint="eastAsia" w:ascii="宋体" w:hAnsi="宋体" w:cs="宋体"/>
          <w:color w:val="auto"/>
          <w:sz w:val="24"/>
          <w:szCs w:val="24"/>
          <w:highlight w:val="none"/>
        </w:rPr>
        <w:t>七、响应文件接收截止及评审磋商开始时间</w:t>
      </w:r>
      <w:r>
        <w:rPr>
          <w:rFonts w:hint="eastAsia" w:ascii="宋体" w:hAnsi="宋体" w:cs="宋体"/>
          <w:b/>
          <w:bCs/>
          <w:color w:val="auto"/>
          <w:sz w:val="24"/>
          <w:szCs w:val="24"/>
          <w:highlight w:val="none"/>
        </w:rPr>
        <w:t>：</w:t>
      </w:r>
      <w:r>
        <w:rPr>
          <w:rFonts w:ascii="宋体" w:hAnsi="宋体" w:cs="宋体"/>
          <w:b/>
          <w:bCs/>
          <w:color w:val="auto"/>
          <w:sz w:val="24"/>
          <w:szCs w:val="24"/>
          <w:highlight w:val="none"/>
          <w:u w:val="thick" w:color="FF0000"/>
        </w:rPr>
        <w:t>202</w:t>
      </w:r>
      <w:r>
        <w:rPr>
          <w:rFonts w:hint="eastAsia" w:ascii="宋体" w:hAnsi="宋体" w:cs="宋体"/>
          <w:b/>
          <w:bCs/>
          <w:color w:val="auto"/>
          <w:sz w:val="24"/>
          <w:szCs w:val="24"/>
          <w:highlight w:val="none"/>
          <w:u w:val="thick" w:color="FF0000"/>
          <w:lang w:val="en-US" w:eastAsia="zh-CN"/>
        </w:rPr>
        <w:t>5</w:t>
      </w:r>
      <w:r>
        <w:rPr>
          <w:rFonts w:hint="eastAsia" w:ascii="宋体" w:hAnsi="宋体" w:cs="宋体"/>
          <w:b/>
          <w:bCs/>
          <w:color w:val="auto"/>
          <w:sz w:val="24"/>
          <w:szCs w:val="24"/>
          <w:highlight w:val="none"/>
          <w:u w:val="thick" w:color="FF0000"/>
        </w:rPr>
        <w:t>年</w:t>
      </w:r>
      <w:r>
        <w:rPr>
          <w:rFonts w:hint="eastAsia" w:ascii="宋体" w:hAnsi="宋体" w:cs="宋体"/>
          <w:b/>
          <w:bCs/>
          <w:color w:val="auto"/>
          <w:sz w:val="24"/>
          <w:szCs w:val="24"/>
          <w:highlight w:val="none"/>
          <w:u w:val="thick" w:color="FF0000"/>
          <w:lang w:val="en-US" w:eastAsia="zh-CN"/>
        </w:rPr>
        <w:t>7</w:t>
      </w:r>
      <w:r>
        <w:rPr>
          <w:rFonts w:hint="eastAsia" w:ascii="宋体" w:hAnsi="宋体" w:cs="宋体"/>
          <w:b/>
          <w:bCs/>
          <w:color w:val="auto"/>
          <w:sz w:val="24"/>
          <w:szCs w:val="24"/>
          <w:highlight w:val="none"/>
          <w:u w:val="thick" w:color="FF0000"/>
        </w:rPr>
        <w:t>月</w:t>
      </w:r>
      <w:r>
        <w:rPr>
          <w:rFonts w:hint="eastAsia" w:ascii="宋体" w:hAnsi="宋体" w:cs="宋体"/>
          <w:b/>
          <w:bCs/>
          <w:color w:val="auto"/>
          <w:sz w:val="24"/>
          <w:szCs w:val="24"/>
          <w:highlight w:val="none"/>
          <w:u w:val="thick" w:color="FF0000"/>
          <w:lang w:val="en-US" w:eastAsia="zh-CN"/>
        </w:rPr>
        <w:t>22</w:t>
      </w:r>
      <w:r>
        <w:rPr>
          <w:rFonts w:hint="eastAsia" w:ascii="宋体" w:hAnsi="宋体" w:cs="宋体"/>
          <w:b/>
          <w:bCs/>
          <w:color w:val="auto"/>
          <w:sz w:val="24"/>
          <w:szCs w:val="24"/>
          <w:highlight w:val="none"/>
          <w:u w:val="thick" w:color="FF0000"/>
        </w:rPr>
        <w:t>日</w:t>
      </w:r>
      <w:r>
        <w:rPr>
          <w:rFonts w:hint="eastAsia" w:ascii="宋体" w:hAnsi="宋体" w:cs="宋体"/>
          <w:b/>
          <w:bCs/>
          <w:color w:val="auto"/>
          <w:sz w:val="24"/>
          <w:szCs w:val="24"/>
          <w:highlight w:val="none"/>
          <w:u w:val="thick" w:color="FF0000"/>
          <w:lang w:val="en-US" w:eastAsia="zh-CN"/>
        </w:rPr>
        <w:t>9</w:t>
      </w:r>
      <w:r>
        <w:rPr>
          <w:rFonts w:hint="eastAsia" w:ascii="宋体" w:hAnsi="宋体" w:cs="宋体"/>
          <w:b/>
          <w:bCs/>
          <w:color w:val="auto"/>
          <w:sz w:val="24"/>
          <w:szCs w:val="24"/>
          <w:highlight w:val="none"/>
          <w:u w:val="thick" w:color="FF0000"/>
        </w:rPr>
        <w:t>时30分</w:t>
      </w:r>
      <w:r>
        <w:rPr>
          <w:rFonts w:hint="eastAsia" w:ascii="宋体" w:hAnsi="宋体" w:cs="宋体"/>
          <w:b/>
          <w:bCs/>
          <w:color w:val="auto"/>
          <w:sz w:val="24"/>
          <w:szCs w:val="24"/>
          <w:highlight w:val="none"/>
        </w:rPr>
        <w:t>。</w:t>
      </w:r>
    </w:p>
    <w:p w14:paraId="2137D2F5">
      <w:pPr>
        <w:widowControl/>
        <w:shd w:val="clear"/>
        <w:snapToGrid w:val="0"/>
        <w:spacing w:line="480" w:lineRule="exact"/>
        <w:ind w:firstLine="470" w:firstLineChars="196"/>
        <w:jc w:val="left"/>
        <w:rPr>
          <w:b/>
          <w:color w:val="auto"/>
          <w:sz w:val="24"/>
          <w:szCs w:val="24"/>
          <w:highlight w:val="none"/>
        </w:rPr>
      </w:pPr>
      <w:bookmarkStart w:id="13" w:name="_Toc94544744"/>
      <w:bookmarkStart w:id="14" w:name="_Toc521201597"/>
      <w:bookmarkStart w:id="15" w:name="_Toc11554639"/>
      <w:bookmarkStart w:id="16" w:name="_Toc12670503"/>
      <w:bookmarkStart w:id="17" w:name="_Toc8895739"/>
      <w:bookmarkStart w:id="18" w:name="_Toc94544828"/>
      <w:bookmarkStart w:id="19" w:name="_Toc94585340"/>
      <w:bookmarkStart w:id="20" w:name="_Toc521203418"/>
      <w:bookmarkStart w:id="21" w:name="_Toc11499584"/>
      <w:bookmarkStart w:id="22" w:name="_Toc11500280"/>
      <w:bookmarkStart w:id="23" w:name="_Toc363573854"/>
      <w:r>
        <w:rPr>
          <w:rFonts w:hint="eastAsia"/>
          <w:color w:val="auto"/>
          <w:sz w:val="24"/>
          <w:szCs w:val="24"/>
          <w:highlight w:val="none"/>
        </w:rPr>
        <w:t>八</w:t>
      </w:r>
      <w:r>
        <w:rPr>
          <w:color w:val="auto"/>
          <w:sz w:val="24"/>
          <w:szCs w:val="24"/>
          <w:highlight w:val="none"/>
        </w:rPr>
        <w:t>、响应文件递交地址：</w:t>
      </w:r>
      <w:r>
        <w:rPr>
          <w:rFonts w:hint="eastAsia"/>
          <w:color w:val="auto"/>
          <w:sz w:val="24"/>
          <w:szCs w:val="24"/>
          <w:highlight w:val="none"/>
        </w:rPr>
        <w:t>南通市崇川区世纪大道恒隆国际B座1402室</w:t>
      </w:r>
      <w:r>
        <w:rPr>
          <w:b/>
          <w:color w:val="auto"/>
          <w:sz w:val="24"/>
          <w:szCs w:val="24"/>
          <w:highlight w:val="none"/>
        </w:rPr>
        <w:t>。</w:t>
      </w:r>
    </w:p>
    <w:p w14:paraId="2BFD050E">
      <w:pPr>
        <w:widowControl/>
        <w:shd w:val="clear"/>
        <w:spacing w:line="480" w:lineRule="exact"/>
        <w:ind w:firstLine="482" w:firstLineChars="200"/>
        <w:jc w:val="left"/>
        <w:rPr>
          <w:b/>
          <w:bCs/>
          <w:color w:val="auto"/>
          <w:sz w:val="24"/>
          <w:szCs w:val="24"/>
          <w:highlight w:val="none"/>
        </w:rPr>
      </w:pPr>
      <w:r>
        <w:rPr>
          <w:rFonts w:hint="eastAsia"/>
          <w:b/>
          <w:bCs/>
          <w:color w:val="auto"/>
          <w:sz w:val="24"/>
          <w:szCs w:val="24"/>
          <w:highlight w:val="none"/>
        </w:rPr>
        <w:t>九</w:t>
      </w:r>
      <w:r>
        <w:rPr>
          <w:b/>
          <w:bCs/>
          <w:color w:val="auto"/>
          <w:sz w:val="24"/>
          <w:szCs w:val="24"/>
          <w:highlight w:val="none"/>
        </w:rPr>
        <w:t>、联系方式：</w:t>
      </w:r>
    </w:p>
    <w:p w14:paraId="1E3A7DB3">
      <w:pPr>
        <w:shd w:val="clear"/>
        <w:spacing w:line="480" w:lineRule="exact"/>
        <w:ind w:firstLine="480" w:firstLineChars="200"/>
        <w:jc w:val="left"/>
        <w:rPr>
          <w:bCs/>
          <w:color w:val="auto"/>
          <w:sz w:val="24"/>
          <w:szCs w:val="24"/>
          <w:highlight w:val="none"/>
        </w:rPr>
      </w:pPr>
      <w:r>
        <w:rPr>
          <w:rFonts w:hint="eastAsia"/>
          <w:bCs/>
          <w:color w:val="auto"/>
          <w:sz w:val="24"/>
          <w:szCs w:val="24"/>
          <w:highlight w:val="none"/>
        </w:rPr>
        <w:t>采购单位：南通市机关事务管理局</w:t>
      </w:r>
    </w:p>
    <w:p w14:paraId="657C7695">
      <w:pPr>
        <w:shd w:val="clear"/>
        <w:spacing w:line="480" w:lineRule="exact"/>
        <w:ind w:firstLine="480" w:firstLineChars="200"/>
        <w:jc w:val="left"/>
        <w:rPr>
          <w:bCs/>
          <w:color w:val="auto"/>
          <w:sz w:val="24"/>
          <w:szCs w:val="24"/>
          <w:highlight w:val="none"/>
        </w:rPr>
      </w:pPr>
      <w:r>
        <w:rPr>
          <w:rFonts w:hint="eastAsia"/>
          <w:bCs/>
          <w:color w:val="auto"/>
          <w:sz w:val="24"/>
          <w:szCs w:val="24"/>
          <w:highlight w:val="none"/>
        </w:rPr>
        <w:t>采购单位联系人：</w:t>
      </w:r>
      <w:r>
        <w:rPr>
          <w:rFonts w:hint="eastAsia"/>
          <w:bCs/>
          <w:color w:val="auto"/>
          <w:sz w:val="24"/>
          <w:szCs w:val="24"/>
          <w:highlight w:val="none"/>
          <w:lang w:eastAsia="zh-CN"/>
        </w:rPr>
        <w:t>夏</w:t>
      </w:r>
      <w:r>
        <w:rPr>
          <w:rFonts w:hint="eastAsia"/>
          <w:bCs/>
          <w:color w:val="auto"/>
          <w:sz w:val="24"/>
          <w:szCs w:val="24"/>
          <w:highlight w:val="none"/>
        </w:rPr>
        <w:t>处，联系电话：</w:t>
      </w:r>
      <w:r>
        <w:rPr>
          <w:bCs/>
          <w:color w:val="auto"/>
          <w:sz w:val="24"/>
          <w:szCs w:val="24"/>
          <w:highlight w:val="none"/>
        </w:rPr>
        <w:t>0513852166</w:t>
      </w:r>
      <w:r>
        <w:rPr>
          <w:rFonts w:hint="eastAsia"/>
          <w:bCs/>
          <w:color w:val="auto"/>
          <w:sz w:val="24"/>
          <w:szCs w:val="24"/>
          <w:highlight w:val="none"/>
          <w:lang w:val="en-US" w:eastAsia="zh-CN"/>
        </w:rPr>
        <w:t>96</w:t>
      </w:r>
      <w:r>
        <w:rPr>
          <w:rFonts w:hint="eastAsia"/>
          <w:bCs/>
          <w:color w:val="auto"/>
          <w:sz w:val="24"/>
          <w:szCs w:val="24"/>
          <w:highlight w:val="none"/>
        </w:rPr>
        <w:t>；</w:t>
      </w:r>
    </w:p>
    <w:p w14:paraId="7F922411">
      <w:pPr>
        <w:shd w:val="clear"/>
        <w:spacing w:line="480" w:lineRule="exact"/>
        <w:ind w:firstLine="480" w:firstLineChars="200"/>
        <w:jc w:val="left"/>
        <w:rPr>
          <w:color w:val="auto"/>
          <w:sz w:val="24"/>
          <w:szCs w:val="24"/>
          <w:highlight w:val="none"/>
        </w:rPr>
      </w:pPr>
      <w:r>
        <w:rPr>
          <w:rFonts w:hint="eastAsia"/>
          <w:color w:val="auto"/>
          <w:sz w:val="24"/>
          <w:szCs w:val="24"/>
          <w:highlight w:val="none"/>
        </w:rPr>
        <w:t>代理机构：江苏建达全过程工程咨询有限公司</w:t>
      </w:r>
    </w:p>
    <w:p w14:paraId="74B88D64">
      <w:pPr>
        <w:shd w:val="clear"/>
        <w:spacing w:line="480" w:lineRule="exact"/>
        <w:ind w:firstLine="480" w:firstLineChars="200"/>
        <w:jc w:val="left"/>
        <w:rPr>
          <w:color w:val="auto"/>
          <w:sz w:val="24"/>
          <w:szCs w:val="24"/>
          <w:highlight w:val="none"/>
        </w:rPr>
      </w:pPr>
      <w:r>
        <w:rPr>
          <w:rFonts w:hint="eastAsia"/>
          <w:color w:val="auto"/>
          <w:sz w:val="24"/>
          <w:szCs w:val="24"/>
          <w:highlight w:val="none"/>
        </w:rPr>
        <w:t>地址：南通市崇川区世纪大道恒隆国际B座14楼</w:t>
      </w:r>
    </w:p>
    <w:p w14:paraId="24320BB8">
      <w:pPr>
        <w:shd w:val="clear"/>
        <w:spacing w:line="480" w:lineRule="exact"/>
        <w:ind w:firstLine="480" w:firstLineChars="200"/>
        <w:jc w:val="left"/>
        <w:rPr>
          <w:color w:val="auto"/>
          <w:sz w:val="24"/>
          <w:szCs w:val="24"/>
          <w:highlight w:val="none"/>
        </w:rPr>
      </w:pPr>
      <w:r>
        <w:rPr>
          <w:rFonts w:hint="eastAsia"/>
          <w:color w:val="auto"/>
          <w:sz w:val="24"/>
          <w:szCs w:val="24"/>
          <w:highlight w:val="none"/>
        </w:rPr>
        <w:t>联系人：贲智涵     联系电话：18051668292</w:t>
      </w:r>
    </w:p>
    <w:p w14:paraId="55186769">
      <w:pPr>
        <w:shd w:val="clear"/>
        <w:spacing w:line="480" w:lineRule="exact"/>
        <w:ind w:firstLine="480" w:firstLineChars="200"/>
        <w:rPr>
          <w:color w:val="auto"/>
          <w:sz w:val="24"/>
          <w:szCs w:val="24"/>
          <w:highlight w:val="none"/>
        </w:rPr>
      </w:pPr>
      <w:r>
        <w:rPr>
          <w:rFonts w:hint="eastAsia"/>
          <w:color w:val="auto"/>
          <w:sz w:val="24"/>
          <w:szCs w:val="24"/>
          <w:highlight w:val="none"/>
        </w:rPr>
        <w:t>邮箱：bbenzhihan@163.com</w:t>
      </w:r>
      <w:r>
        <w:rPr>
          <w:rFonts w:hint="eastAsia"/>
          <w:color w:val="auto"/>
          <w:highlight w:val="none"/>
        </w:rPr>
        <w:t xml:space="preserve"> </w:t>
      </w:r>
    </w:p>
    <w:p w14:paraId="61B2160F">
      <w:pPr>
        <w:widowControl/>
        <w:shd w:val="clear"/>
        <w:jc w:val="left"/>
        <w:rPr>
          <w:rFonts w:ascii="宋体" w:hAnsi="宋体" w:cs="宋体"/>
          <w:b/>
          <w:bCs/>
          <w:color w:val="auto"/>
          <w:w w:val="80"/>
          <w:sz w:val="44"/>
          <w:szCs w:val="44"/>
          <w:highlight w:val="none"/>
        </w:rPr>
      </w:pPr>
      <w:r>
        <w:rPr>
          <w:rFonts w:ascii="宋体" w:hAnsi="宋体" w:cs="宋体"/>
          <w:b/>
          <w:bCs/>
          <w:color w:val="auto"/>
          <w:w w:val="80"/>
          <w:sz w:val="44"/>
          <w:szCs w:val="44"/>
          <w:highlight w:val="none"/>
        </w:rPr>
        <w:br w:type="page"/>
      </w:r>
    </w:p>
    <w:p w14:paraId="77EE1869">
      <w:pPr>
        <w:shd w:val="clear"/>
        <w:spacing w:line="480" w:lineRule="exact"/>
        <w:ind w:firstLine="707" w:firstLineChars="200"/>
        <w:jc w:val="center"/>
        <w:rPr>
          <w:rFonts w:ascii="宋体"/>
          <w:color w:val="auto"/>
          <w:w w:val="80"/>
          <w:highlight w:val="none"/>
        </w:rPr>
      </w:pPr>
      <w:r>
        <w:rPr>
          <w:rFonts w:hint="eastAsia" w:ascii="宋体" w:hAnsi="宋体" w:cs="宋体"/>
          <w:b/>
          <w:bCs/>
          <w:color w:val="auto"/>
          <w:w w:val="80"/>
          <w:sz w:val="44"/>
          <w:szCs w:val="44"/>
          <w:highlight w:val="none"/>
        </w:rPr>
        <w:t>第二章</w:t>
      </w:r>
      <w:r>
        <w:rPr>
          <w:rFonts w:ascii="宋体" w:hAnsi="宋体" w:cs="宋体"/>
          <w:b/>
          <w:bCs/>
          <w:color w:val="auto"/>
          <w:w w:val="80"/>
          <w:sz w:val="44"/>
          <w:szCs w:val="44"/>
          <w:highlight w:val="none"/>
        </w:rPr>
        <w:t xml:space="preserve">  </w:t>
      </w:r>
      <w:bookmarkEnd w:id="13"/>
      <w:bookmarkEnd w:id="14"/>
      <w:bookmarkEnd w:id="15"/>
      <w:bookmarkEnd w:id="16"/>
      <w:bookmarkEnd w:id="17"/>
      <w:bookmarkEnd w:id="18"/>
      <w:bookmarkEnd w:id="19"/>
      <w:bookmarkEnd w:id="20"/>
      <w:bookmarkEnd w:id="21"/>
      <w:bookmarkEnd w:id="22"/>
      <w:r>
        <w:rPr>
          <w:rFonts w:hint="eastAsia" w:ascii="宋体" w:hAnsi="宋体" w:cs="宋体"/>
          <w:b/>
          <w:bCs/>
          <w:color w:val="auto"/>
          <w:w w:val="80"/>
          <w:sz w:val="44"/>
          <w:szCs w:val="44"/>
          <w:highlight w:val="none"/>
        </w:rPr>
        <w:t>磋商供应商须知</w:t>
      </w:r>
      <w:bookmarkEnd w:id="23"/>
    </w:p>
    <w:p w14:paraId="03EEC1FB">
      <w:pPr>
        <w:shd w:val="clear"/>
        <w:snapToGrid w:val="0"/>
        <w:spacing w:line="480" w:lineRule="exact"/>
        <w:ind w:firstLine="482" w:firstLineChars="200"/>
        <w:outlineLvl w:val="1"/>
        <w:rPr>
          <w:rFonts w:ascii="宋体"/>
          <w:b/>
          <w:bCs/>
          <w:color w:val="auto"/>
          <w:sz w:val="24"/>
          <w:szCs w:val="24"/>
          <w:highlight w:val="none"/>
        </w:rPr>
      </w:pPr>
      <w:bookmarkStart w:id="24" w:name="_Toc94585341"/>
      <w:bookmarkStart w:id="25" w:name="_Toc11499585"/>
      <w:bookmarkStart w:id="26" w:name="_Toc12670504"/>
      <w:bookmarkStart w:id="27" w:name="_Toc94544871"/>
      <w:bookmarkStart w:id="28" w:name="_Toc11554640"/>
      <w:bookmarkStart w:id="29" w:name="_Toc11500281"/>
      <w:bookmarkStart w:id="30" w:name="_Toc94544745"/>
      <w:bookmarkStart w:id="31" w:name="_Toc8895740"/>
      <w:bookmarkStart w:id="32" w:name="_Toc521203419"/>
      <w:bookmarkStart w:id="33" w:name="_Toc521201598"/>
      <w:r>
        <w:rPr>
          <w:rFonts w:hint="eastAsia" w:ascii="宋体" w:hAnsi="宋体" w:cs="宋体"/>
          <w:b/>
          <w:bCs/>
          <w:color w:val="auto"/>
          <w:sz w:val="24"/>
          <w:szCs w:val="24"/>
          <w:highlight w:val="none"/>
        </w:rPr>
        <w:t>一、说明</w:t>
      </w:r>
    </w:p>
    <w:p w14:paraId="6205447F">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本竞争性磋商文件仅适用于江苏建达全过程工程咨询有限公司组织的竞争性磋商采购活动。</w:t>
      </w:r>
    </w:p>
    <w:p w14:paraId="440A021E">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竞争性磋商活动及因本次磋商产生的合同受中国法律制约和保护。</w:t>
      </w:r>
    </w:p>
    <w:p w14:paraId="1C34F4BE">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竞争性磋商文件的解释权属于江苏建达全过程工程咨询有限公司。</w:t>
      </w:r>
    </w:p>
    <w:p w14:paraId="41F33654">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color w:val="auto"/>
          <w:sz w:val="24"/>
          <w:szCs w:val="24"/>
          <w:highlight w:val="none"/>
        </w:rPr>
        <w:t>4</w:t>
      </w:r>
      <w:r>
        <w:rPr>
          <w:rFonts w:hint="eastAsia" w:ascii="宋体" w:hAnsi="宋体" w:cs="宋体"/>
          <w:color w:val="auto"/>
          <w:sz w:val="24"/>
          <w:szCs w:val="24"/>
          <w:highlight w:val="none"/>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color w:val="auto"/>
          <w:sz w:val="24"/>
          <w:szCs w:val="24"/>
          <w:highlight w:val="none"/>
        </w:rPr>
        <w:t>非书面形式的不作为日后质疑提出的依据。</w:t>
      </w:r>
    </w:p>
    <w:p w14:paraId="51E07385">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供应商应认真审阅磋商文件中所有的事项、格式、条款和规范要求等，如果供应商没有按照磋商文件要求提交响应文件，或者响应文件没有对磋商文件做出实质性响应，将被拒绝参与项目的磋商。</w:t>
      </w:r>
    </w:p>
    <w:p w14:paraId="21B9F217">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二、磋商文件的澄清、修改、答疑</w:t>
      </w:r>
    </w:p>
    <w:p w14:paraId="5EB63592">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代理机构有权对发出的磋商文件进行必要的澄清、修改或补充。</w:t>
      </w:r>
    </w:p>
    <w:p w14:paraId="0A560547">
      <w:pPr>
        <w:shd w:val="clear"/>
        <w:snapToGrid w:val="0"/>
        <w:spacing w:line="480" w:lineRule="exact"/>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磋商文件的澄清、修改、补充等内容均以书面明确的形式发布，并以</w:t>
      </w:r>
      <w:r>
        <w:rPr>
          <w:rFonts w:hint="eastAsia" w:ascii="宋体" w:hAnsi="宋体" w:cs="SSJ-PK7482000002d-Identity-H"/>
          <w:color w:val="auto"/>
          <w:kern w:val="0"/>
          <w:sz w:val="24"/>
          <w:szCs w:val="24"/>
          <w:highlight w:val="none"/>
          <w:u w:val="single"/>
        </w:rPr>
        <w:t>“南通市机关事务管理局( http://jgsw.nantong.gov.cn)-公告公示”</w:t>
      </w:r>
      <w:r>
        <w:rPr>
          <w:rFonts w:hint="eastAsia" w:ascii="宋体" w:hAnsi="宋体" w:cs="宋体"/>
          <w:color w:val="auto"/>
          <w:sz w:val="24"/>
          <w:szCs w:val="24"/>
          <w:highlight w:val="none"/>
        </w:rPr>
        <w:t>发布的信息为准。</w:t>
      </w:r>
    </w:p>
    <w:p w14:paraId="02785DA3">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代理机构对磋商文件的澄清、修改将构成磋商文件的一部分，对响应磋商的供应商具有约束力。</w:t>
      </w:r>
    </w:p>
    <w:p w14:paraId="44392893">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澄清或者修改的内容可能影响到响应文件编制的，代理机构将在提交响应文件接收截止之日</w:t>
      </w:r>
      <w:r>
        <w:rPr>
          <w:rFonts w:ascii="宋体" w:hAnsi="宋体" w:cs="宋体"/>
          <w:color w:val="auto"/>
          <w:sz w:val="24"/>
          <w:szCs w:val="24"/>
          <w:highlight w:val="none"/>
        </w:rPr>
        <w:t>5</w:t>
      </w:r>
      <w:r>
        <w:rPr>
          <w:rFonts w:hint="eastAsia" w:ascii="宋体" w:hAnsi="宋体" w:cs="宋体"/>
          <w:color w:val="auto"/>
          <w:sz w:val="24"/>
          <w:szCs w:val="24"/>
          <w:highlight w:val="none"/>
        </w:rPr>
        <w:t>日前，发布澄清或者修改公告，不足</w:t>
      </w:r>
      <w:r>
        <w:rPr>
          <w:rFonts w:ascii="宋体" w:hAnsi="宋体" w:cs="宋体"/>
          <w:color w:val="auto"/>
          <w:sz w:val="24"/>
          <w:szCs w:val="24"/>
          <w:highlight w:val="none"/>
        </w:rPr>
        <w:t>5</w:t>
      </w:r>
      <w:r>
        <w:rPr>
          <w:rFonts w:hint="eastAsia" w:ascii="宋体" w:hAnsi="宋体" w:cs="宋体"/>
          <w:color w:val="auto"/>
          <w:sz w:val="24"/>
          <w:szCs w:val="24"/>
          <w:highlight w:val="none"/>
        </w:rPr>
        <w:t>日的，当顺延提交响应文件接收截止时间。</w:t>
      </w:r>
    </w:p>
    <w:p w14:paraId="74F974C9">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除非代理机构以书面的形式对磋商文件作出澄清、修改及补充，供应商对涉及磋商文件的任何推论、理解和结论所造成的结果，均由供应商自负。</w:t>
      </w:r>
    </w:p>
    <w:p w14:paraId="37298545">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采购单位视情组织答疑会。如有产生答疑且对磋商文件内容有修改，代理机构将按照本须知有关规定，以补充通知（公告）的方式发出。</w:t>
      </w:r>
    </w:p>
    <w:p w14:paraId="51718AB5">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三、响应文件的编制及装订</w:t>
      </w:r>
    </w:p>
    <w:p w14:paraId="460E5EBF">
      <w:pPr>
        <w:shd w:val="clear"/>
        <w:spacing w:line="480" w:lineRule="exact"/>
        <w:ind w:firstLine="487" w:firstLineChars="202"/>
        <w:rPr>
          <w:rFonts w:ascii="宋体"/>
          <w:b/>
          <w:bCs/>
          <w:color w:val="auto"/>
          <w:sz w:val="24"/>
          <w:szCs w:val="24"/>
          <w:highlight w:val="none"/>
        </w:rPr>
      </w:pPr>
      <w:r>
        <w:rPr>
          <w:rFonts w:hint="eastAsia" w:ascii="宋体" w:hAnsi="宋体" w:cs="宋体"/>
          <w:b/>
          <w:bCs/>
          <w:color w:val="auto"/>
          <w:sz w:val="24"/>
          <w:szCs w:val="24"/>
          <w:highlight w:val="none"/>
        </w:rPr>
        <w:t>投标供应商按磋商文件要求编写响应文件，并牢固装订成册。响应文件均需采用</w:t>
      </w:r>
      <w:r>
        <w:rPr>
          <w:rFonts w:ascii="宋体" w:hAnsi="宋体" w:cs="宋体"/>
          <w:b/>
          <w:bCs/>
          <w:color w:val="auto"/>
          <w:sz w:val="24"/>
          <w:szCs w:val="24"/>
          <w:highlight w:val="none"/>
        </w:rPr>
        <w:t>A4</w:t>
      </w:r>
      <w:r>
        <w:rPr>
          <w:rFonts w:hint="eastAsia" w:ascii="宋体" w:hAnsi="宋体" w:cs="宋体"/>
          <w:b/>
          <w:bCs/>
          <w:color w:val="auto"/>
          <w:sz w:val="24"/>
          <w:szCs w:val="24"/>
          <w:highlight w:val="none"/>
        </w:rPr>
        <w:t>纸（图纸等除外），不允许使用活页夹、拉杆夹、文件夹、塑料方便式书脊（插入式或穿孔式）装订。响应文件不得行间插字、涂改、增删，如修改错漏处，须经响应文件签署人签字并加盖公章。</w:t>
      </w:r>
    </w:p>
    <w:p w14:paraId="19CCC0E2">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四、响应文件的份数和签署</w:t>
      </w:r>
    </w:p>
    <w:p w14:paraId="2BCA8553">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响应文件由：</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资格审查文件、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技术响应文件、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商务报价响应文件，共</w:t>
      </w:r>
      <w:r>
        <w:rPr>
          <w:rFonts w:ascii="宋体" w:hAnsi="宋体" w:cs="宋体"/>
          <w:color w:val="auto"/>
          <w:sz w:val="24"/>
          <w:szCs w:val="24"/>
          <w:highlight w:val="none"/>
        </w:rPr>
        <w:t>3</w:t>
      </w:r>
      <w:r>
        <w:rPr>
          <w:rFonts w:hint="eastAsia" w:ascii="宋体" w:hAnsi="宋体" w:cs="宋体"/>
          <w:color w:val="auto"/>
          <w:sz w:val="24"/>
          <w:szCs w:val="24"/>
          <w:highlight w:val="none"/>
        </w:rPr>
        <w:t>部分组成（以下由文件序号代称）。</w:t>
      </w:r>
    </w:p>
    <w:p w14:paraId="475DA2F1">
      <w:pPr>
        <w:shd w:val="clear"/>
        <w:snapToGrid w:val="0"/>
        <w:spacing w:line="48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响应文件均为一式三份，其中“正本”壹份和“副本”两份。</w:t>
      </w:r>
    </w:p>
    <w:p w14:paraId="73334469">
      <w:pPr>
        <w:shd w:val="clear"/>
        <w:snapToGrid w:val="0"/>
        <w:spacing w:line="480" w:lineRule="exact"/>
        <w:ind w:firstLine="470" w:firstLineChars="196"/>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在每份响应文件上要明确标注项目名称、对应的响应文件名称、供应商的全称、日期、“正本”、“副本”字样。“正本”和“副本”若有差异，概以“正本”为准。</w:t>
      </w:r>
    </w:p>
    <w:p w14:paraId="7574369C">
      <w:pPr>
        <w:shd w:val="clear"/>
        <w:snapToGrid w:val="0"/>
        <w:spacing w:line="480" w:lineRule="exact"/>
        <w:ind w:firstLine="470" w:firstLineChars="196"/>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供应商可将响应文件正副本统一密封或分别密封，如正本和副本分别密封的，应在封袋上标明正、副本字样。</w:t>
      </w:r>
    </w:p>
    <w:p w14:paraId="7B76D4AF">
      <w:pPr>
        <w:shd w:val="clear"/>
        <w:snapToGrid w:val="0"/>
        <w:spacing w:line="480" w:lineRule="exact"/>
        <w:ind w:firstLine="470" w:firstLineChars="196"/>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响应文件中的所有“正本”，其正文内容须按磋商文件要求由供应商法定代表人或被授权人签字（或盖章）并加盖单位公章。“副本”可复印，但须加盖单位公章。</w:t>
      </w:r>
    </w:p>
    <w:p w14:paraId="1CB5D52B">
      <w:pPr>
        <w:shd w:val="clear"/>
        <w:snapToGrid w:val="0"/>
        <w:spacing w:line="480" w:lineRule="exact"/>
        <w:ind w:firstLine="472" w:firstLineChars="196"/>
        <w:rPr>
          <w:rFonts w:ascii="宋体"/>
          <w:b/>
          <w:bCs/>
          <w:color w:val="auto"/>
          <w:sz w:val="24"/>
          <w:szCs w:val="24"/>
          <w:highlight w:val="none"/>
        </w:rPr>
      </w:pPr>
      <w:r>
        <w:rPr>
          <w:rFonts w:hint="eastAsia" w:ascii="宋体" w:hAnsi="宋体" w:cs="宋体"/>
          <w:b/>
          <w:bCs/>
          <w:color w:val="auto"/>
          <w:sz w:val="24"/>
          <w:szCs w:val="24"/>
          <w:highlight w:val="none"/>
        </w:rPr>
        <w:t>五、响应文件的密封及标记</w:t>
      </w:r>
    </w:p>
    <w:p w14:paraId="61F0A579">
      <w:pPr>
        <w:shd w:val="clear"/>
        <w:snapToGrid w:val="0"/>
        <w:spacing w:line="480" w:lineRule="exact"/>
        <w:ind w:firstLine="480" w:firstLineChars="200"/>
        <w:rPr>
          <w:rFonts w:ascii="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供应商须将本项目响应文件：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、③</w:t>
      </w:r>
      <w:r>
        <w:rPr>
          <w:rFonts w:hint="eastAsia" w:ascii="宋体" w:hAnsi="宋体" w:cs="宋体"/>
          <w:b/>
          <w:bCs/>
          <w:color w:val="auto"/>
          <w:sz w:val="24"/>
          <w:szCs w:val="24"/>
          <w:highlight w:val="none"/>
        </w:rPr>
        <w:t>单独密封</w:t>
      </w:r>
      <w:r>
        <w:rPr>
          <w:rFonts w:hint="eastAsia" w:ascii="宋体" w:hAnsi="宋体" w:cs="宋体"/>
          <w:color w:val="auto"/>
          <w:sz w:val="24"/>
          <w:szCs w:val="24"/>
          <w:highlight w:val="none"/>
        </w:rPr>
        <w:t>。</w:t>
      </w:r>
    </w:p>
    <w:p w14:paraId="7B5E3D21">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密封后，应在每一密封的响应文件上明确标注磋商项目名称、响应文件各自对应的名称、供应商的全称及日期。</w:t>
      </w:r>
    </w:p>
    <w:p w14:paraId="4855F349">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密封袋上加盖</w:t>
      </w:r>
      <w:r>
        <w:rPr>
          <w:rFonts w:ascii="宋体" w:hAnsi="宋体" w:cs="宋体"/>
          <w:color w:val="auto"/>
          <w:sz w:val="24"/>
          <w:szCs w:val="24"/>
          <w:highlight w:val="none"/>
        </w:rPr>
        <w:t>投标</w:t>
      </w:r>
      <w:r>
        <w:rPr>
          <w:rFonts w:hint="eastAsia" w:ascii="宋体" w:hAnsi="宋体" w:cs="宋体"/>
          <w:color w:val="auto"/>
          <w:sz w:val="24"/>
          <w:szCs w:val="24"/>
          <w:highlight w:val="none"/>
        </w:rPr>
        <w:t>供应商</w:t>
      </w:r>
      <w:r>
        <w:rPr>
          <w:rFonts w:ascii="宋体" w:hAnsi="宋体" w:cs="宋体"/>
          <w:color w:val="auto"/>
          <w:sz w:val="24"/>
          <w:szCs w:val="24"/>
          <w:highlight w:val="none"/>
        </w:rPr>
        <w:t>印章</w:t>
      </w:r>
      <w:r>
        <w:rPr>
          <w:rFonts w:hint="eastAsia" w:ascii="宋体" w:hAnsi="宋体" w:cs="宋体"/>
          <w:color w:val="auto"/>
          <w:sz w:val="24"/>
          <w:szCs w:val="24"/>
          <w:highlight w:val="none"/>
        </w:rPr>
        <w:t>。</w:t>
      </w:r>
    </w:p>
    <w:p w14:paraId="540E688B">
      <w:pPr>
        <w:shd w:val="clear"/>
        <w:snapToGrid w:val="0"/>
        <w:spacing w:line="480" w:lineRule="exact"/>
        <w:ind w:firstLine="482" w:firstLineChars="200"/>
        <w:rPr>
          <w:rFonts w:ascii="宋体"/>
          <w:color w:val="auto"/>
          <w:sz w:val="24"/>
          <w:szCs w:val="24"/>
          <w:highlight w:val="none"/>
        </w:rPr>
      </w:pPr>
      <w:r>
        <w:rPr>
          <w:rFonts w:hint="eastAsia" w:ascii="宋体" w:hAnsi="宋体" w:cs="宋体"/>
          <w:b/>
          <w:bCs/>
          <w:color w:val="auto"/>
          <w:sz w:val="24"/>
          <w:szCs w:val="24"/>
          <w:highlight w:val="none"/>
        </w:rPr>
        <w:t>【特别提醒】</w:t>
      </w:r>
      <w:r>
        <w:rPr>
          <w:rFonts w:hint="eastAsia" w:ascii="宋体" w:hAnsi="宋体" w:cs="宋体"/>
          <w:color w:val="auto"/>
          <w:sz w:val="24"/>
          <w:szCs w:val="24"/>
          <w:highlight w:val="none"/>
        </w:rPr>
        <w:t>响应文件中的</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和</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的“正本”或“副本”中，均不得含有商务报价响应文件中报价表（报价单）内的任何项目价格，否则作无效投标处理。</w:t>
      </w:r>
    </w:p>
    <w:p w14:paraId="74E62A9B">
      <w:pPr>
        <w:shd w:val="clear"/>
        <w:snapToGrid w:val="0"/>
        <w:spacing w:line="480" w:lineRule="exact"/>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六、投标报价</w:t>
      </w:r>
    </w:p>
    <w:p w14:paraId="3E47E05C">
      <w:pPr>
        <w:shd w:val="clear"/>
        <w:snapToGrid w:val="0"/>
        <w:spacing w:line="480" w:lineRule="exact"/>
        <w:ind w:firstLine="494" w:firstLineChars="206"/>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本项目不接受任何有选择的报价。</w:t>
      </w:r>
    </w:p>
    <w:p w14:paraId="4105AB5A">
      <w:pPr>
        <w:shd w:val="clear"/>
        <w:snapToGrid w:val="0"/>
        <w:spacing w:line="480" w:lineRule="exact"/>
        <w:ind w:firstLine="494" w:firstLineChars="206"/>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磋商报价均以人民币为报价的币种。</w:t>
      </w:r>
    </w:p>
    <w:p w14:paraId="213BE0F1">
      <w:pPr>
        <w:shd w:val="clear"/>
        <w:snapToGrid w:val="0"/>
        <w:spacing w:line="520" w:lineRule="exact"/>
        <w:ind w:firstLine="494" w:firstLineChars="206"/>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磋商报价表必须加盖单位公章且必须经法定代表人或被授权人签字或盖章。报价表中的大写金额与小写金额、总价金额与按单价汇总金额，若有差异，将执行财政部公布第</w:t>
      </w:r>
      <w:r>
        <w:rPr>
          <w:rFonts w:ascii="宋体" w:hAnsi="宋体" w:cs="宋体"/>
          <w:color w:val="auto"/>
          <w:sz w:val="24"/>
          <w:szCs w:val="24"/>
          <w:highlight w:val="none"/>
        </w:rPr>
        <w:t>87</w:t>
      </w:r>
      <w:r>
        <w:rPr>
          <w:rFonts w:hint="eastAsia" w:ascii="宋体" w:hAnsi="宋体" w:cs="宋体"/>
          <w:color w:val="auto"/>
          <w:sz w:val="24"/>
          <w:szCs w:val="24"/>
          <w:highlight w:val="none"/>
        </w:rPr>
        <w:t>号令《政府采购货物和服务招标投标管理办法》第</w:t>
      </w:r>
      <w:r>
        <w:rPr>
          <w:rFonts w:ascii="宋体" w:hAnsi="宋体" w:cs="宋体"/>
          <w:color w:val="auto"/>
          <w:sz w:val="24"/>
          <w:szCs w:val="24"/>
          <w:highlight w:val="none"/>
        </w:rPr>
        <w:t>59</w:t>
      </w:r>
      <w:r>
        <w:rPr>
          <w:rFonts w:hint="eastAsia" w:ascii="宋体" w:hAnsi="宋体" w:cs="宋体"/>
          <w:color w:val="auto"/>
          <w:sz w:val="24"/>
          <w:szCs w:val="24"/>
          <w:highlight w:val="none"/>
        </w:rPr>
        <w:t>条的规定。</w:t>
      </w:r>
    </w:p>
    <w:p w14:paraId="70EA4D7D">
      <w:pPr>
        <w:shd w:val="clear"/>
        <w:snapToGrid w:val="0"/>
        <w:spacing w:line="520" w:lineRule="exact"/>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磋商总报价（以人民币计价）应包括</w:t>
      </w:r>
      <w:r>
        <w:rPr>
          <w:rFonts w:ascii="宋体" w:hAnsi="宋体" w:cs="宋体"/>
          <w:color w:val="auto"/>
          <w:sz w:val="24"/>
          <w:szCs w:val="24"/>
          <w:highlight w:val="none"/>
        </w:rPr>
        <w:t>招标文件所确定的委托监理的范围和监理业务及招标服务所需的全部费用，含质保期间的监理费用。</w:t>
      </w:r>
    </w:p>
    <w:p w14:paraId="5AE81A82">
      <w:pPr>
        <w:shd w:val="clear"/>
        <w:snapToGrid w:val="0"/>
        <w:spacing w:line="52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本项目竞争性磋商的最终总报价作为成交价。同时，供应商的最终成交单价在合同实施期间不因市场变化因素而变动。</w:t>
      </w:r>
    </w:p>
    <w:p w14:paraId="3EB77A57">
      <w:pPr>
        <w:shd w:val="clear"/>
        <w:snapToGrid w:val="0"/>
        <w:spacing w:line="480" w:lineRule="exact"/>
        <w:ind w:firstLine="470" w:firstLineChars="196"/>
        <w:outlineLvl w:val="1"/>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最低的磋商报价是成交的重要条件，但不是成交的唯一条件。</w:t>
      </w:r>
    </w:p>
    <w:p w14:paraId="3AC0BF48">
      <w:pPr>
        <w:shd w:val="clear"/>
        <w:snapToGrid w:val="0"/>
        <w:spacing w:line="480" w:lineRule="exact"/>
        <w:ind w:firstLine="470" w:firstLineChars="196"/>
        <w:outlineLvl w:val="1"/>
        <w:rPr>
          <w:rFonts w:ascii="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1E1DBA7D">
      <w:pPr>
        <w:shd w:val="clear"/>
        <w:snapToGrid w:val="0"/>
        <w:spacing w:line="480" w:lineRule="exact"/>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七、联合体参与磋商</w:t>
      </w:r>
    </w:p>
    <w:p w14:paraId="7EDF5F3D">
      <w:pPr>
        <w:shd w:val="clear"/>
        <w:snapToGrid w:val="0"/>
        <w:spacing w:line="480" w:lineRule="exact"/>
        <w:ind w:firstLine="470" w:firstLineChars="196"/>
        <w:outlineLvl w:val="1"/>
        <w:rPr>
          <w:rFonts w:ascii="宋体"/>
          <w:color w:val="auto"/>
          <w:sz w:val="24"/>
          <w:szCs w:val="24"/>
          <w:highlight w:val="none"/>
        </w:rPr>
      </w:pPr>
      <w:r>
        <w:rPr>
          <w:rFonts w:hint="eastAsia" w:ascii="宋体" w:hAnsi="宋体" w:cs="宋体"/>
          <w:color w:val="auto"/>
          <w:sz w:val="24"/>
          <w:szCs w:val="24"/>
          <w:highlight w:val="none"/>
        </w:rPr>
        <w:t>不接受任何形式的联合体参与本项目的竞争性磋商。</w:t>
      </w:r>
    </w:p>
    <w:p w14:paraId="6D2F22F7">
      <w:pPr>
        <w:shd w:val="clear"/>
        <w:snapToGrid w:val="0"/>
        <w:spacing w:line="480" w:lineRule="exact"/>
        <w:ind w:firstLine="482" w:firstLineChars="200"/>
        <w:outlineLvl w:val="1"/>
        <w:rPr>
          <w:rFonts w:ascii="宋体"/>
          <w:color w:val="auto"/>
          <w:sz w:val="24"/>
          <w:szCs w:val="24"/>
          <w:highlight w:val="none"/>
        </w:rPr>
      </w:pPr>
      <w:r>
        <w:rPr>
          <w:rFonts w:hint="eastAsia" w:ascii="宋体" w:hAnsi="宋体" w:cs="宋体"/>
          <w:b/>
          <w:bCs/>
          <w:color w:val="auto"/>
          <w:sz w:val="24"/>
          <w:szCs w:val="24"/>
          <w:highlight w:val="none"/>
        </w:rPr>
        <w:t>八、响应文件及</w:t>
      </w:r>
      <w:r>
        <w:rPr>
          <w:rFonts w:hint="eastAsia" w:ascii="宋体" w:hAnsi="宋体" w:cs="宋体"/>
          <w:b/>
          <w:bCs/>
          <w:color w:val="auto"/>
          <w:kern w:val="0"/>
          <w:sz w:val="24"/>
          <w:szCs w:val="24"/>
          <w:highlight w:val="none"/>
        </w:rPr>
        <w:t>磋商</w:t>
      </w:r>
      <w:r>
        <w:rPr>
          <w:rFonts w:hint="eastAsia" w:ascii="宋体" w:hAnsi="宋体" w:cs="宋体"/>
          <w:b/>
          <w:bCs/>
          <w:color w:val="auto"/>
          <w:sz w:val="24"/>
          <w:szCs w:val="24"/>
          <w:highlight w:val="none"/>
        </w:rPr>
        <w:t>费用</w:t>
      </w:r>
    </w:p>
    <w:p w14:paraId="31A28C75">
      <w:pPr>
        <w:shd w:val="clear"/>
        <w:snapToGrid w:val="0"/>
        <w:spacing w:line="480" w:lineRule="exact"/>
        <w:ind w:firstLine="470" w:firstLineChars="196"/>
        <w:outlineLvl w:val="1"/>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磋商程序顺利进行后，除供应商的原件可退回外，其余所有的响应文件都将作为档案保存，不论成交与否，代理机构均不退回（未拆封的除外）。</w:t>
      </w:r>
    </w:p>
    <w:p w14:paraId="72B2F541">
      <w:pPr>
        <w:shd w:val="clear"/>
        <w:snapToGrid w:val="0"/>
        <w:spacing w:line="480" w:lineRule="exact"/>
        <w:ind w:firstLine="470" w:firstLineChars="196"/>
        <w:outlineLvl w:val="1"/>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无论磋商过程和结果如何，参加项目磋商的供应商自行承担与本次项目磋商有关的全部费用。</w:t>
      </w:r>
    </w:p>
    <w:p w14:paraId="762F2FB1">
      <w:pPr>
        <w:shd w:val="clear"/>
        <w:snapToGrid w:val="0"/>
        <w:spacing w:line="360" w:lineRule="auto"/>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九、履约保证金</w:t>
      </w:r>
    </w:p>
    <w:p w14:paraId="204F5DC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本项目成交后的履约保证金为项目中标价的</w:t>
      </w:r>
      <w:r>
        <w:rPr>
          <w:rFonts w:ascii="宋体" w:hAnsi="宋体" w:cs="宋体"/>
          <w:color w:val="auto"/>
          <w:sz w:val="24"/>
          <w:szCs w:val="24"/>
          <w:highlight w:val="none"/>
          <w:u w:val="single"/>
        </w:rPr>
        <w:t>10%</w:t>
      </w:r>
      <w:r>
        <w:rPr>
          <w:rFonts w:hint="eastAsia" w:ascii="宋体" w:hAnsi="宋体" w:cs="宋体"/>
          <w:color w:val="auto"/>
          <w:sz w:val="24"/>
          <w:szCs w:val="24"/>
          <w:highlight w:val="none"/>
        </w:rPr>
        <w:t>。</w:t>
      </w:r>
    </w:p>
    <w:p w14:paraId="1C69011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成交供应商的履约保证金须在招标代理通知发成交通知书之日起</w:t>
      </w:r>
      <w:r>
        <w:rPr>
          <w:rFonts w:ascii="宋体" w:hAnsi="宋体" w:cs="宋体"/>
          <w:color w:val="auto"/>
          <w:sz w:val="24"/>
          <w:szCs w:val="24"/>
          <w:highlight w:val="none"/>
        </w:rPr>
        <w:t>3</w:t>
      </w:r>
      <w:r>
        <w:rPr>
          <w:rFonts w:hint="eastAsia" w:ascii="宋体" w:hAnsi="宋体" w:cs="宋体"/>
          <w:color w:val="auto"/>
          <w:sz w:val="24"/>
          <w:szCs w:val="24"/>
          <w:highlight w:val="none"/>
        </w:rPr>
        <w:t>个工作日内汇入采购人账户，成交凭“成交通知书”和已经汇至采购人账上的“履约保证金”凭证，并在招标代理通知发成交通知书之日起30日内与采购人签订合同。超期则视为自动放弃中标资格，没收投标保证金。</w:t>
      </w:r>
    </w:p>
    <w:p w14:paraId="62D74B7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成交供应商在按要求保质保量的完成该项目合同并通过验收后，采购人凭成交供应商提交的申请，一次性无息退还该合同项目的履约保证金。</w:t>
      </w:r>
    </w:p>
    <w:p w14:paraId="3F9EB83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由于成交供应商原因，在签订合同后出现不按合同履行的情况，采购人有权将履约保证金作为违约金，全额不予退还，同时采购人亦有权终止合同，成交供应商还须承担相应的法律赔偿责任。</w:t>
      </w:r>
    </w:p>
    <w:p w14:paraId="7A849BF2">
      <w:pPr>
        <w:shd w:val="clear"/>
        <w:snapToGrid w:val="0"/>
        <w:spacing w:line="480" w:lineRule="exact"/>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十、未尽事宜</w:t>
      </w:r>
    </w:p>
    <w:p w14:paraId="4A8D9B6F">
      <w:pPr>
        <w:shd w:val="clear"/>
        <w:snapToGrid w:val="0"/>
        <w:spacing w:line="480" w:lineRule="exact"/>
        <w:ind w:firstLine="494" w:firstLineChars="206"/>
        <w:rPr>
          <w:rFonts w:hint="eastAsia" w:ascii="宋体" w:eastAsia="宋体"/>
          <w:color w:val="auto"/>
          <w:sz w:val="24"/>
          <w:szCs w:val="24"/>
          <w:highlight w:val="none"/>
          <w:lang w:eastAsia="zh-CN"/>
        </w:rPr>
        <w:sectPr>
          <w:headerReference r:id="rId3" w:type="default"/>
          <w:footerReference r:id="rId4" w:type="default"/>
          <w:type w:val="continuous"/>
          <w:pgSz w:w="11906" w:h="16838"/>
          <w:pgMar w:top="1247" w:right="1531" w:bottom="1247" w:left="1621" w:header="851" w:footer="992" w:gutter="0"/>
          <w:pgNumType w:fmt="numberInDash"/>
          <w:cols w:space="720" w:num="1"/>
          <w:docGrid w:linePitch="312" w:charSpace="0"/>
        </w:sectPr>
      </w:pPr>
      <w:r>
        <w:rPr>
          <w:rFonts w:hint="eastAsia" w:ascii="宋体" w:hAnsi="宋体" w:cs="宋体"/>
          <w:color w:val="auto"/>
          <w:sz w:val="24"/>
          <w:szCs w:val="24"/>
          <w:highlight w:val="none"/>
        </w:rPr>
        <w:t>按《中华人民共和国政府采购法》、《政府采</w:t>
      </w:r>
      <w:bookmarkStart w:id="34" w:name="_Toc363573855"/>
      <w:r>
        <w:rPr>
          <w:rFonts w:hint="eastAsia" w:ascii="宋体" w:hAnsi="宋体" w:cs="宋体"/>
          <w:color w:val="auto"/>
          <w:sz w:val="24"/>
          <w:szCs w:val="24"/>
          <w:highlight w:val="none"/>
        </w:rPr>
        <w:t>购竞争性磋商采购方式管理暂行办法》及其他有关法律法规的规定执行</w:t>
      </w:r>
      <w:r>
        <w:rPr>
          <w:rFonts w:hint="eastAsia" w:ascii="宋体" w:hAnsi="宋体" w:cs="宋体"/>
          <w:color w:val="auto"/>
          <w:sz w:val="24"/>
          <w:szCs w:val="24"/>
          <w:highlight w:val="none"/>
          <w:lang w:eastAsia="zh-CN"/>
        </w:rPr>
        <w:t>。</w:t>
      </w:r>
    </w:p>
    <w:bookmarkEnd w:id="24"/>
    <w:bookmarkEnd w:id="25"/>
    <w:bookmarkEnd w:id="26"/>
    <w:bookmarkEnd w:id="27"/>
    <w:bookmarkEnd w:id="28"/>
    <w:bookmarkEnd w:id="29"/>
    <w:bookmarkEnd w:id="30"/>
    <w:bookmarkEnd w:id="31"/>
    <w:bookmarkEnd w:id="32"/>
    <w:bookmarkEnd w:id="33"/>
    <w:bookmarkEnd w:id="34"/>
    <w:p w14:paraId="41A2174A">
      <w:pPr>
        <w:numPr>
          <w:ilvl w:val="0"/>
          <w:numId w:val="4"/>
        </w:numPr>
        <w:shd w:val="clear"/>
        <w:tabs>
          <w:tab w:val="left" w:pos="1050"/>
          <w:tab w:val="right" w:leader="dot" w:pos="9402"/>
        </w:tabs>
        <w:spacing w:before="312" w:beforeLines="100" w:line="600" w:lineRule="exact"/>
        <w:jc w:val="center"/>
        <w:outlineLvl w:val="0"/>
        <w:rPr>
          <w:rFonts w:hint="eastAsia" w:cs="宋体"/>
          <w:b/>
          <w:bCs/>
          <w:color w:val="auto"/>
          <w:w w:val="80"/>
          <w:sz w:val="36"/>
          <w:szCs w:val="36"/>
          <w:highlight w:val="none"/>
        </w:rPr>
      </w:pPr>
      <w:r>
        <w:rPr>
          <w:rFonts w:cs="宋体"/>
          <w:b/>
          <w:bCs/>
          <w:color w:val="auto"/>
          <w:w w:val="80"/>
          <w:sz w:val="36"/>
          <w:szCs w:val="36"/>
          <w:highlight w:val="none"/>
        </w:rPr>
        <w:t xml:space="preserve"> </w:t>
      </w:r>
      <w:r>
        <w:rPr>
          <w:rFonts w:hint="eastAsia" w:cs="宋体"/>
          <w:b/>
          <w:bCs/>
          <w:color w:val="auto"/>
          <w:w w:val="80"/>
          <w:sz w:val="36"/>
          <w:szCs w:val="36"/>
          <w:highlight w:val="none"/>
        </w:rPr>
        <w:t>项目需求</w:t>
      </w:r>
      <w:bookmarkStart w:id="35" w:name="_Toc13642116"/>
    </w:p>
    <w:p w14:paraId="4CD5C636">
      <w:pPr>
        <w:shd w:val="clea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A164CCC">
      <w:pPr>
        <w:shd w:val="clea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供应商不能简单照搬照抄磋商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11CFB9D9">
      <w:pPr>
        <w:shd w:val="clear"/>
        <w:adjustRightInd w:val="0"/>
        <w:snapToGrid w:val="0"/>
        <w:spacing w:line="360" w:lineRule="auto"/>
        <w:ind w:firstLine="482" w:firstLineChars="200"/>
        <w:rPr>
          <w:b/>
          <w:color w:val="auto"/>
          <w:highlight w:val="none"/>
        </w:rPr>
      </w:pPr>
      <w:r>
        <w:rPr>
          <w:rFonts w:hint="eastAsia" w:ascii="宋体" w:hAnsi="宋体" w:eastAsia="宋体" w:cs="宋体"/>
          <w:b/>
          <w:color w:val="auto"/>
          <w:sz w:val="24"/>
          <w:highlight w:val="none"/>
        </w:rPr>
        <w:t>其内容包含：</w:t>
      </w:r>
    </w:p>
    <w:p w14:paraId="6DB37191">
      <w:pPr>
        <w:shd w:val="clear"/>
        <w:adjustRightInd w:val="0"/>
        <w:snapToGrid w:val="0"/>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、项目概况</w:t>
      </w:r>
    </w:p>
    <w:p w14:paraId="1B0ECD5A">
      <w:pPr>
        <w:pStyle w:val="2"/>
        <w:numPr>
          <w:ilvl w:val="0"/>
          <w:numId w:val="0"/>
        </w:numPr>
        <w:shd w:val="clear"/>
        <w:ind w:firstLine="360"/>
        <w:rPr>
          <w:rFonts w:hint="eastAsia" w:cs="宋体" w:asciiTheme="minorEastAsia" w:hAnsiTheme="minorEastAsia" w:eastAsiaTheme="minorEastAsia"/>
          <w:color w:val="auto"/>
          <w:kern w:val="2"/>
          <w:sz w:val="24"/>
          <w:szCs w:val="21"/>
          <w:highlight w:val="none"/>
          <w:lang w:val="en-US" w:eastAsia="zh-CN" w:bidi="ar-SA"/>
        </w:rPr>
      </w:pPr>
      <w:r>
        <w:rPr>
          <w:rFonts w:hint="eastAsia" w:cs="宋体" w:asciiTheme="minorEastAsia" w:hAnsiTheme="minorEastAsia" w:eastAsiaTheme="minorEastAsia"/>
          <w:color w:val="auto"/>
          <w:kern w:val="2"/>
          <w:sz w:val="24"/>
          <w:szCs w:val="21"/>
          <w:highlight w:val="none"/>
          <w:lang w:val="en-US" w:eastAsia="zh-CN" w:bidi="ar-SA"/>
        </w:rPr>
        <w:t>本项目涉及市行政中心、政务中心、图书馆及综合服务中心3个区域共7个项目的更新改造项目，主要涉及既有房屋的装饰装修，线路改造，会议设备更新，智能化设备建设，恒温恒湿机电设备更新安装等内容监理服务。具体项目见下表一：</w:t>
      </w:r>
    </w:p>
    <w:p w14:paraId="7FE6A7DD">
      <w:pPr>
        <w:pStyle w:val="52"/>
        <w:numPr>
          <w:ilvl w:val="0"/>
          <w:numId w:val="0"/>
        </w:numPr>
        <w:shd w:val="clear"/>
        <w:rPr>
          <w:rFonts w:ascii="宋体" w:hAnsi="宋体" w:cs="宋体"/>
          <w:color w:val="auto"/>
          <w:highlight w:val="none"/>
        </w:rPr>
      </w:pPr>
      <w:r>
        <w:rPr>
          <w:rFonts w:hint="eastAsia" w:ascii="宋体" w:hAnsi="宋体" w:cs="宋体"/>
          <w:color w:val="auto"/>
          <w:highlight w:val="none"/>
          <w:lang w:val="en-US" w:eastAsia="zh-CN"/>
        </w:rPr>
        <w:t>本项目总监理费约</w:t>
      </w:r>
      <w:r>
        <w:rPr>
          <w:rFonts w:hint="eastAsia" w:ascii="宋体" w:hAnsi="宋体" w:cs="宋体"/>
          <w:color w:val="auto"/>
          <w:highlight w:val="none"/>
          <w:lang w:eastAsia="zh-CN"/>
        </w:rPr>
        <w:t>103524.80</w:t>
      </w:r>
      <w:r>
        <w:rPr>
          <w:rFonts w:hint="eastAsia" w:ascii="宋体" w:hAnsi="宋体" w:cs="宋体"/>
          <w:color w:val="auto"/>
          <w:highlight w:val="none"/>
        </w:rPr>
        <w:t>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分别如下：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5690"/>
        <w:gridCol w:w="1495"/>
      </w:tblGrid>
      <w:tr w14:paraId="4793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74679A59">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序号</w:t>
            </w:r>
          </w:p>
        </w:tc>
        <w:tc>
          <w:tcPr>
            <w:tcW w:w="5690" w:type="dxa"/>
            <w:vAlign w:val="center"/>
          </w:tcPr>
          <w:p w14:paraId="64433639">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项目名称</w:t>
            </w:r>
          </w:p>
        </w:tc>
        <w:tc>
          <w:tcPr>
            <w:tcW w:w="1495" w:type="dxa"/>
            <w:vAlign w:val="center"/>
          </w:tcPr>
          <w:p w14:paraId="6759254A">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限价（元）</w:t>
            </w:r>
          </w:p>
        </w:tc>
      </w:tr>
      <w:tr w14:paraId="2EA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65FBC8B4">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w:t>
            </w:r>
          </w:p>
        </w:tc>
        <w:tc>
          <w:tcPr>
            <w:tcW w:w="5690" w:type="dxa"/>
            <w:vAlign w:val="center"/>
          </w:tcPr>
          <w:p w14:paraId="23B305BA">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rPr>
              <w:t>南通市行政中心部分会议室会议设备补充更新项</w:t>
            </w:r>
            <w:r>
              <w:rPr>
                <w:rFonts w:hint="eastAsia" w:ascii="宋体" w:hAnsi="宋体" w:cs="宋体"/>
                <w:color w:val="auto"/>
                <w:highlight w:val="none"/>
                <w:vertAlign w:val="baseline"/>
                <w:lang w:val="en-US" w:eastAsia="zh-CN"/>
              </w:rPr>
              <w:t>目</w:t>
            </w:r>
          </w:p>
        </w:tc>
        <w:tc>
          <w:tcPr>
            <w:tcW w:w="1495" w:type="dxa"/>
            <w:vAlign w:val="center"/>
          </w:tcPr>
          <w:p w14:paraId="244999A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rPr>
            </w:pPr>
            <w:r>
              <w:rPr>
                <w:rFonts w:hint="eastAsia" w:ascii="宋体" w:hAnsi="宋体" w:cs="宋体"/>
                <w:color w:val="auto"/>
                <w:highlight w:val="none"/>
                <w:vertAlign w:val="baseline"/>
                <w:lang w:val="en-US" w:eastAsia="zh-CN"/>
              </w:rPr>
              <w:t>10958.00</w:t>
            </w:r>
          </w:p>
        </w:tc>
      </w:tr>
      <w:tr w14:paraId="76FE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65" w:type="dxa"/>
            <w:vAlign w:val="center"/>
          </w:tcPr>
          <w:p w14:paraId="51370FF2">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2</w:t>
            </w:r>
          </w:p>
        </w:tc>
        <w:tc>
          <w:tcPr>
            <w:tcW w:w="5690" w:type="dxa"/>
            <w:vAlign w:val="center"/>
          </w:tcPr>
          <w:p w14:paraId="75D18703">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rPr>
              <w:t>南通市信访局接待中心房屋整修</w:t>
            </w:r>
            <w:r>
              <w:rPr>
                <w:rFonts w:hint="eastAsia" w:ascii="宋体" w:hAnsi="宋体" w:cs="宋体"/>
                <w:color w:val="auto"/>
                <w:highlight w:val="none"/>
                <w:shd w:val="clear" w:color="FFFFFF" w:fill="D9D9D9"/>
                <w:vertAlign w:val="baseline"/>
                <w:lang w:eastAsia="zh-CN"/>
              </w:rPr>
              <w:t>工程</w:t>
            </w:r>
          </w:p>
        </w:tc>
        <w:tc>
          <w:tcPr>
            <w:tcW w:w="1495" w:type="dxa"/>
            <w:vAlign w:val="center"/>
          </w:tcPr>
          <w:p w14:paraId="13EC122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13700.00</w:t>
            </w:r>
          </w:p>
        </w:tc>
      </w:tr>
      <w:tr w14:paraId="3153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53ED8C4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3</w:t>
            </w:r>
          </w:p>
        </w:tc>
        <w:tc>
          <w:tcPr>
            <w:tcW w:w="5690" w:type="dxa"/>
            <w:vAlign w:val="center"/>
          </w:tcPr>
          <w:p w14:paraId="3BBE82E2">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南通市信访接待中心大门车牌及人脸识别道闸采购及安装项目</w:t>
            </w:r>
          </w:p>
        </w:tc>
        <w:tc>
          <w:tcPr>
            <w:tcW w:w="1495" w:type="dxa"/>
            <w:vAlign w:val="center"/>
          </w:tcPr>
          <w:p w14:paraId="4C162AF7">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19666.80</w:t>
            </w:r>
          </w:p>
        </w:tc>
      </w:tr>
      <w:tr w14:paraId="47AA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529DB72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4</w:t>
            </w:r>
          </w:p>
        </w:tc>
        <w:tc>
          <w:tcPr>
            <w:tcW w:w="5690" w:type="dxa"/>
            <w:vAlign w:val="center"/>
          </w:tcPr>
          <w:p w14:paraId="69AC4B16">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南通市政务中心立体停车设备电机更新项目</w:t>
            </w:r>
          </w:p>
        </w:tc>
        <w:tc>
          <w:tcPr>
            <w:tcW w:w="1495" w:type="dxa"/>
            <w:vAlign w:val="center"/>
          </w:tcPr>
          <w:p w14:paraId="4A12F3B2">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13200.00</w:t>
            </w:r>
          </w:p>
        </w:tc>
      </w:tr>
      <w:tr w14:paraId="0F4F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76664B0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5</w:t>
            </w:r>
          </w:p>
        </w:tc>
        <w:tc>
          <w:tcPr>
            <w:tcW w:w="5690" w:type="dxa"/>
            <w:vAlign w:val="center"/>
          </w:tcPr>
          <w:p w14:paraId="3BF2EAE3">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eastAsia="zh-CN"/>
              </w:rPr>
            </w:pPr>
            <w:r>
              <w:rPr>
                <w:rFonts w:hint="eastAsia" w:ascii="宋体" w:hAnsi="宋体" w:cs="宋体"/>
                <w:color w:val="auto"/>
                <w:highlight w:val="none"/>
                <w:vertAlign w:val="baseline"/>
              </w:rPr>
              <w:t>南通市政务中心应急照明及疏散指示系统更换</w:t>
            </w:r>
            <w:r>
              <w:rPr>
                <w:rFonts w:hint="eastAsia" w:ascii="宋体" w:hAnsi="宋体" w:cs="宋体"/>
                <w:color w:val="auto"/>
                <w:highlight w:val="none"/>
                <w:vertAlign w:val="baseline"/>
                <w:lang w:eastAsia="zh-CN"/>
              </w:rPr>
              <w:t>项目</w:t>
            </w:r>
          </w:p>
        </w:tc>
        <w:tc>
          <w:tcPr>
            <w:tcW w:w="1495" w:type="dxa"/>
            <w:vAlign w:val="center"/>
          </w:tcPr>
          <w:p w14:paraId="3078246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9800.00</w:t>
            </w:r>
          </w:p>
        </w:tc>
      </w:tr>
      <w:tr w14:paraId="0CAB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4007CFCC">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6</w:t>
            </w:r>
          </w:p>
        </w:tc>
        <w:tc>
          <w:tcPr>
            <w:tcW w:w="5690" w:type="dxa"/>
            <w:vAlign w:val="center"/>
          </w:tcPr>
          <w:p w14:paraId="248E3627">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南通市图书馆及综合服务中心档案库房恒温恒湿</w:t>
            </w:r>
            <w:r>
              <w:rPr>
                <w:rFonts w:hint="eastAsia" w:ascii="宋体" w:hAnsi="宋体" w:cs="宋体"/>
                <w:color w:val="auto"/>
                <w:highlight w:val="none"/>
                <w:shd w:val="clear" w:color="FFFFFF" w:fill="D9D9D9"/>
                <w:vertAlign w:val="baseline"/>
                <w:lang w:eastAsia="zh-CN"/>
              </w:rPr>
              <w:t>机组改造</w:t>
            </w:r>
            <w:r>
              <w:rPr>
                <w:rFonts w:hint="eastAsia" w:ascii="宋体" w:hAnsi="宋体" w:cs="宋体"/>
                <w:color w:val="auto"/>
                <w:highlight w:val="none"/>
                <w:vertAlign w:val="baseline"/>
              </w:rPr>
              <w:t>项目</w:t>
            </w:r>
          </w:p>
        </w:tc>
        <w:tc>
          <w:tcPr>
            <w:tcW w:w="1495" w:type="dxa"/>
            <w:vAlign w:val="center"/>
          </w:tcPr>
          <w:p w14:paraId="458FC800">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23800.00</w:t>
            </w:r>
          </w:p>
        </w:tc>
      </w:tr>
      <w:tr w14:paraId="036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7C8D9767">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7</w:t>
            </w:r>
          </w:p>
        </w:tc>
        <w:tc>
          <w:tcPr>
            <w:tcW w:w="5690" w:type="dxa"/>
            <w:vAlign w:val="center"/>
          </w:tcPr>
          <w:p w14:paraId="493AF63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南通市图书馆及综合服务中心档案库房整修项目</w:t>
            </w:r>
          </w:p>
        </w:tc>
        <w:tc>
          <w:tcPr>
            <w:tcW w:w="1495" w:type="dxa"/>
            <w:vAlign w:val="center"/>
          </w:tcPr>
          <w:p w14:paraId="23B2FDF7">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12400.00</w:t>
            </w:r>
          </w:p>
        </w:tc>
      </w:tr>
      <w:tr w14:paraId="5426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5" w:type="dxa"/>
            <w:gridSpan w:val="2"/>
            <w:vAlign w:val="center"/>
          </w:tcPr>
          <w:p w14:paraId="0824066C">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合计</w:t>
            </w:r>
          </w:p>
        </w:tc>
        <w:tc>
          <w:tcPr>
            <w:tcW w:w="1495" w:type="dxa"/>
            <w:vAlign w:val="center"/>
          </w:tcPr>
          <w:p w14:paraId="4EF9B92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103524.80</w:t>
            </w:r>
          </w:p>
        </w:tc>
      </w:tr>
    </w:tbl>
    <w:p w14:paraId="2CA71DB6">
      <w:pPr>
        <w:pStyle w:val="3"/>
        <w:shd w:val="clear"/>
        <w:ind w:left="0" w:leftChars="0" w:firstLine="0" w:firstLineChars="0"/>
        <w:jc w:val="center"/>
        <w:rPr>
          <w:rFonts w:hint="eastAsia"/>
          <w:color w:val="auto"/>
          <w:highlight w:val="none"/>
          <w:lang w:val="en-US" w:eastAsia="zh-CN"/>
        </w:rPr>
      </w:pPr>
      <w:r>
        <w:rPr>
          <w:rFonts w:hint="eastAsia"/>
          <w:color w:val="auto"/>
          <w:highlight w:val="none"/>
          <w:lang w:val="en-US" w:eastAsia="zh-CN"/>
        </w:rPr>
        <w:t>表一</w:t>
      </w:r>
    </w:p>
    <w:p w14:paraId="0CC37113">
      <w:pPr>
        <w:shd w:val="clear"/>
        <w:rPr>
          <w:rFonts w:hint="eastAsia"/>
          <w:color w:val="auto"/>
          <w:highlight w:val="none"/>
          <w:lang w:val="en-US" w:eastAsia="zh-CN"/>
        </w:rPr>
      </w:pPr>
    </w:p>
    <w:bookmarkEnd w:id="35"/>
    <w:p w14:paraId="6DB2DCB0">
      <w:pPr>
        <w:shd w:val="clear"/>
        <w:snapToGrid w:val="0"/>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lang w:eastAsia="zh-CN"/>
        </w:rPr>
        <w:t>二、</w:t>
      </w:r>
      <w:r>
        <w:rPr>
          <w:rFonts w:hint="eastAsia" w:cs="宋体" w:asciiTheme="minorEastAsia" w:hAnsiTheme="minorEastAsia" w:eastAsiaTheme="minorEastAsia"/>
          <w:b/>
          <w:bCs/>
          <w:color w:val="auto"/>
          <w:sz w:val="24"/>
          <w:highlight w:val="none"/>
        </w:rPr>
        <w:t xml:space="preserve">技术标准与规范 </w:t>
      </w:r>
    </w:p>
    <w:p w14:paraId="3EA69B36">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《建设工程监理规范》GB</w:t>
      </w:r>
      <w:r>
        <w:rPr>
          <w:rFonts w:hint="eastAsia" w:cs="宋体" w:asciiTheme="minorEastAsia" w:hAnsiTheme="minorEastAsia" w:eastAsiaTheme="minorEastAsia"/>
          <w:color w:val="auto"/>
          <w:sz w:val="24"/>
          <w:highlight w:val="none"/>
          <w:lang w:val="en-US" w:eastAsia="zh-CN"/>
        </w:rPr>
        <w:t>/T</w:t>
      </w:r>
      <w:r>
        <w:rPr>
          <w:rFonts w:hint="eastAsia" w:cs="宋体" w:asciiTheme="minorEastAsia" w:hAnsiTheme="minorEastAsia" w:eastAsiaTheme="minorEastAsia"/>
          <w:color w:val="auto"/>
          <w:sz w:val="24"/>
          <w:highlight w:val="none"/>
        </w:rPr>
        <w:t>50319-2013</w:t>
      </w:r>
    </w:p>
    <w:p w14:paraId="0FF6AF12">
      <w:pPr>
        <w:shd w:val="clear"/>
        <w:snapToGrid w:val="0"/>
        <w:spacing w:line="360" w:lineRule="auto"/>
        <w:ind w:firstLine="480" w:firstLineChars="200"/>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《工程测量规范》GB50026-20</w:t>
      </w:r>
      <w:r>
        <w:rPr>
          <w:rFonts w:hint="eastAsia" w:cs="宋体" w:asciiTheme="minorEastAsia" w:hAnsiTheme="minorEastAsia" w:eastAsiaTheme="minorEastAsia"/>
          <w:color w:val="auto"/>
          <w:sz w:val="24"/>
          <w:highlight w:val="none"/>
          <w:lang w:val="en-US" w:eastAsia="zh-CN"/>
        </w:rPr>
        <w:t>20</w:t>
      </w:r>
    </w:p>
    <w:p w14:paraId="2702497D">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《建筑与市政工程施工质量控制通用规范》GB 55032-2022 </w:t>
      </w:r>
    </w:p>
    <w:p w14:paraId="7C1097E2">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《建筑机械使用安全技术规程》JGJ33-2012</w:t>
      </w:r>
    </w:p>
    <w:p w14:paraId="67D2B0ED">
      <w:pPr>
        <w:shd w:val="clear"/>
        <w:snapToGrid w:val="0"/>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《建设工程文件归档规范》GB/T50328-2014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2019年版</w:t>
      </w:r>
      <w:r>
        <w:rPr>
          <w:rFonts w:hint="eastAsia" w:cs="宋体" w:asciiTheme="minorEastAsia" w:hAnsiTheme="minorEastAsia" w:eastAsiaTheme="minorEastAsia"/>
          <w:color w:val="auto"/>
          <w:sz w:val="24"/>
          <w:highlight w:val="none"/>
          <w:lang w:eastAsia="zh-CN"/>
        </w:rPr>
        <w:t>）</w:t>
      </w:r>
    </w:p>
    <w:p w14:paraId="56F9CBCD">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国家、地方、行业现行的建设工程强制性条文、其他规范和标准</w:t>
      </w:r>
    </w:p>
    <w:p w14:paraId="60BB6055">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国家、地方、行业现行的有关材料、设备的规范和标准</w:t>
      </w:r>
    </w:p>
    <w:p w14:paraId="0E055AA8">
      <w:pPr>
        <w:shd w:val="clear"/>
        <w:snapToGrid w:val="0"/>
        <w:spacing w:line="360" w:lineRule="auto"/>
        <w:ind w:firstLine="482" w:firstLineChars="200"/>
        <w:rPr>
          <w:rStyle w:val="59"/>
          <w:rFonts w:hint="eastAsia" w:ascii="宋体" w:hAnsi="宋体" w:eastAsia="宋体" w:cs="宋体"/>
          <w:b/>
          <w:bCs/>
          <w:color w:val="auto"/>
          <w:sz w:val="24"/>
          <w:szCs w:val="24"/>
          <w:highlight w:val="none"/>
          <w:lang w:eastAsia="zh-CN"/>
        </w:rPr>
      </w:pPr>
      <w:r>
        <w:rPr>
          <w:rStyle w:val="59"/>
          <w:rFonts w:hint="eastAsia" w:ascii="宋体" w:hAnsi="宋体" w:eastAsia="宋体" w:cs="宋体"/>
          <w:b/>
          <w:bCs/>
          <w:color w:val="auto"/>
          <w:sz w:val="24"/>
          <w:szCs w:val="24"/>
          <w:highlight w:val="none"/>
          <w:lang w:eastAsia="zh-CN"/>
        </w:rPr>
        <w:t>如在合同履行期间，有新规范或新标准等发布，则以最新发布的为准。</w:t>
      </w:r>
    </w:p>
    <w:p w14:paraId="49B15825">
      <w:pPr>
        <w:shd w:val="clear"/>
        <w:snapToGrid w:val="0"/>
        <w:spacing w:line="360" w:lineRule="auto"/>
        <w:ind w:firstLine="482" w:firstLineChars="200"/>
        <w:rPr>
          <w:rStyle w:val="59"/>
          <w:rFonts w:hint="eastAsia" w:ascii="宋体" w:hAnsi="宋体" w:eastAsia="宋体" w:cs="宋体"/>
          <w:b/>
          <w:bCs/>
          <w:color w:val="auto"/>
          <w:sz w:val="24"/>
          <w:szCs w:val="24"/>
          <w:highlight w:val="none"/>
        </w:rPr>
      </w:pPr>
      <w:r>
        <w:rPr>
          <w:rStyle w:val="59"/>
          <w:rFonts w:hint="eastAsia" w:ascii="宋体" w:hAnsi="宋体" w:eastAsia="宋体" w:cs="宋体"/>
          <w:b/>
          <w:bCs/>
          <w:color w:val="auto"/>
          <w:sz w:val="24"/>
          <w:szCs w:val="24"/>
          <w:highlight w:val="none"/>
          <w:lang w:eastAsia="zh-CN"/>
        </w:rPr>
        <w:t>三、</w:t>
      </w:r>
      <w:r>
        <w:rPr>
          <w:rStyle w:val="59"/>
          <w:rFonts w:hint="eastAsia" w:ascii="宋体" w:hAnsi="宋体" w:eastAsia="宋体" w:cs="宋体"/>
          <w:b/>
          <w:bCs/>
          <w:color w:val="auto"/>
          <w:sz w:val="24"/>
          <w:szCs w:val="24"/>
          <w:highlight w:val="none"/>
        </w:rPr>
        <w:t>任务范围</w:t>
      </w:r>
    </w:p>
    <w:p w14:paraId="49820887">
      <w:pPr>
        <w:shd w:val="clea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hint="eastAsia" w:ascii="宋体" w:hAnsi="宋体" w:eastAsia="宋体" w:cs="宋体"/>
          <w:color w:val="auto"/>
          <w:sz w:val="24"/>
          <w:highlight w:val="none"/>
          <w:lang w:eastAsia="zh-CN"/>
        </w:rPr>
        <w:t>工程施工准备阶段、施工阶段、竣工验收和保修阶段全过程监理。协助业主办理图纸审查和各项报批工作，对工程进行质量、进度、投资控制和合同管理、信息管理、安全生产管理、文明施工管理、工程竣工资料收集归档审核、组织协调施工现场各方关系等。</w:t>
      </w:r>
    </w:p>
    <w:p w14:paraId="5F134AF2">
      <w:pPr>
        <w:shd w:val="clea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监理工作内容还包括：</w:t>
      </w:r>
    </w:p>
    <w:p w14:paraId="05173186">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bookmarkStart w:id="36" w:name="_Toc77608640"/>
      <w:bookmarkStart w:id="37" w:name="_Toc77608800"/>
      <w:bookmarkStart w:id="38" w:name="_Toc85897722"/>
      <w:bookmarkStart w:id="39" w:name="_Toc80795199"/>
      <w:bookmarkStart w:id="40" w:name="_Toc80795339"/>
      <w:r>
        <w:rPr>
          <w:rFonts w:hint="eastAsia" w:ascii="宋体" w:hAnsi="宋体" w:eastAsia="宋体" w:cs="宋体"/>
          <w:color w:val="auto"/>
          <w:sz w:val="24"/>
          <w:highlight w:val="none"/>
          <w:lang w:eastAsia="zh-CN"/>
        </w:rPr>
        <w:t>（1）协助委托人进行设计图纸审查工作，凭借自身的技能和经验，根据本地的实际情况，为设计院提供建设性改进意见，并协调市有关部门完成各项报批工作；</w:t>
      </w:r>
      <w:bookmarkEnd w:id="36"/>
      <w:bookmarkEnd w:id="37"/>
      <w:bookmarkEnd w:id="38"/>
      <w:bookmarkEnd w:id="39"/>
      <w:bookmarkEnd w:id="40"/>
    </w:p>
    <w:p w14:paraId="36D378E3">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bookmarkStart w:id="41" w:name="_Toc77608641"/>
      <w:bookmarkStart w:id="42" w:name="_Toc80795340"/>
      <w:bookmarkStart w:id="43" w:name="_Toc77608801"/>
      <w:bookmarkStart w:id="44" w:name="_Toc80795200"/>
      <w:bookmarkStart w:id="45" w:name="_Toc85897723"/>
      <w:r>
        <w:rPr>
          <w:rFonts w:hint="eastAsia" w:ascii="宋体" w:hAnsi="宋体" w:eastAsia="宋体" w:cs="宋体"/>
          <w:color w:val="auto"/>
          <w:sz w:val="24"/>
          <w:highlight w:val="none"/>
          <w:lang w:eastAsia="zh-CN"/>
        </w:rPr>
        <w:t>（2）审核承包单位施工组织设计和施工方案，并督促检查承包单位按规范、规程、标准及图纸进行施工。</w:t>
      </w:r>
      <w:bookmarkEnd w:id="41"/>
      <w:bookmarkEnd w:id="42"/>
      <w:bookmarkEnd w:id="43"/>
      <w:bookmarkEnd w:id="44"/>
      <w:bookmarkEnd w:id="45"/>
    </w:p>
    <w:p w14:paraId="0A5F1340">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（3）协助承包单位进行工程前期和外部管线的协调工作以及审核承包单位的各项施工准备工作；</w:t>
      </w:r>
    </w:p>
    <w:p w14:paraId="79E8E3EF">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审查督促承包单位施工管理制度、质量管理、安全管理和质量保证体系，确保体系（及制度）的建立、健全和实施。负责施工现场的安全生产管理工作，按相关要求进行管理，督促检查并考核施工单位安全防护措施及设备满足施工要求，若发生工程安全事故，参与分析及处理工程安全事故的全过程；</w:t>
      </w:r>
    </w:p>
    <w:p w14:paraId="10ABB8D6">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（5）监理人员应熟悉及消化各专业图纸，了解设计要求、意图。协助组织设计交底、施工图纸会审及审查设计变更；</w:t>
      </w:r>
    </w:p>
    <w:p w14:paraId="5D147939">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（6）审核承包单位提出的分包单位的资质；</w:t>
      </w:r>
    </w:p>
    <w:p w14:paraId="408BCC52">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（7）实施施工单位的质量、进度、投资三大控制，工程合同和信息管理及工程中的组织协调工作；</w:t>
      </w:r>
    </w:p>
    <w:p w14:paraId="1D6C1AB5">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（8）复核计算已完工程量，对工程变更和技术核定调整的工程进行初步审核，签署工程付款凭证；并对结算进行初审；</w:t>
      </w:r>
    </w:p>
    <w:p w14:paraId="79CBFDEA">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（9）审查工程使用的原材料、半成品、成品和设备质量，按程序进行见证取样、送样、封样。同时配合业主考察设备供应，进场设备开箱检验及安装调试确认；</w:t>
      </w:r>
    </w:p>
    <w:p w14:paraId="66462BB5">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（10）按时向业主提供形象进度报告，每月向业主提交监理月报；</w:t>
      </w:r>
    </w:p>
    <w:p w14:paraId="7B22851E">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（11）分部、分项工程质量签证，组织基础、结构中验和竣工预验收，并提出工程质量评估报告，协助业主组织竣工验收，办理竣工资料备案手续；</w:t>
      </w:r>
    </w:p>
    <w:p w14:paraId="7093A976">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（12）按照工程监理规划的要求，采用旁站、巡视和平行检查等形式监理工程质量。负责施工工序过程中的质量控制，对重要工序和关键部位实行旁站监理，对隐蔽工程进行复验签证及时检查质量保证资料记录；</w:t>
      </w:r>
    </w:p>
    <w:p w14:paraId="4FE30C1D">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（13）负责竣工图和各项工程质量资料的审查，督促施工单位完成资料的归档工作；</w:t>
      </w:r>
    </w:p>
    <w:p w14:paraId="780D5606">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（14）国家、省、市规定监理工作的内容。</w:t>
      </w:r>
    </w:p>
    <w:p w14:paraId="7F9D583E">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（15）安全文明施工要求：</w:t>
      </w:r>
    </w:p>
    <w:p w14:paraId="7869CC5A">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（16）竣工验收工作：</w:t>
      </w:r>
    </w:p>
    <w:p w14:paraId="04F90F08">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17）工程移交及保修要求：在该项目缺陷责任期满之前，监理人需协助建设单位完成项目的移交工作，如果责任期满之后，项目仍未能按时移交，则监理人仍需承担后续的监理服务，但产生的监理费建设单位不予另行支付；</w:t>
      </w:r>
    </w:p>
    <w:p w14:paraId="30CCF1BA">
      <w:pPr>
        <w:keepNext w:val="0"/>
        <w:keepLines w:val="0"/>
        <w:pageBreakBefore w:val="0"/>
        <w:widowControl w:val="0"/>
        <w:shd w:val="clear"/>
        <w:kinsoku/>
        <w:wordWrap/>
        <w:overflowPunct/>
        <w:topLinePunct w:val="0"/>
        <w:autoSpaceDE/>
        <w:autoSpaceDN/>
        <w:bidi w:val="0"/>
        <w:adjustRightInd/>
        <w:snapToGrid w:val="0"/>
        <w:spacing w:line="400" w:lineRule="exact"/>
        <w:ind w:firstLine="480" w:firstLineChars="200"/>
        <w:textAlignment w:val="auto"/>
        <w:rPr>
          <w:rStyle w:val="59"/>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（18）国家、省、市规定监理工作的内容。</w:t>
      </w:r>
    </w:p>
    <w:p w14:paraId="4668FDC5">
      <w:pPr>
        <w:shd w:val="clear"/>
        <w:snapToGrid w:val="0"/>
        <w:spacing w:line="360" w:lineRule="auto"/>
        <w:ind w:firstLine="482" w:firstLineChars="200"/>
        <w:rPr>
          <w:rStyle w:val="59"/>
          <w:rFonts w:hint="eastAsia" w:ascii="宋体" w:hAnsi="宋体" w:eastAsia="宋体" w:cs="宋体"/>
          <w:b/>
          <w:bCs/>
          <w:color w:val="auto"/>
          <w:sz w:val="24"/>
          <w:szCs w:val="24"/>
          <w:highlight w:val="none"/>
        </w:rPr>
      </w:pPr>
      <w:r>
        <w:rPr>
          <w:rStyle w:val="59"/>
          <w:rFonts w:hint="eastAsia" w:ascii="宋体" w:hAnsi="宋体" w:eastAsia="宋体" w:cs="宋体"/>
          <w:b/>
          <w:bCs/>
          <w:color w:val="auto"/>
          <w:sz w:val="24"/>
          <w:szCs w:val="24"/>
          <w:highlight w:val="none"/>
          <w:lang w:eastAsia="zh-CN"/>
        </w:rPr>
        <w:t>四、</w:t>
      </w:r>
      <w:r>
        <w:rPr>
          <w:rStyle w:val="59"/>
          <w:rFonts w:hint="eastAsia" w:ascii="宋体" w:hAnsi="宋体" w:eastAsia="宋体" w:cs="宋体"/>
          <w:b/>
          <w:bCs/>
          <w:color w:val="auto"/>
          <w:sz w:val="24"/>
          <w:szCs w:val="24"/>
          <w:highlight w:val="none"/>
        </w:rPr>
        <w:t>其他</w:t>
      </w:r>
    </w:p>
    <w:p w14:paraId="47D9252E">
      <w:pPr>
        <w:shd w:val="clear"/>
        <w:snapToGrid w:val="0"/>
        <w:spacing w:line="360" w:lineRule="auto"/>
        <w:ind w:firstLine="480" w:firstLineChars="200"/>
        <w:rPr>
          <w:rStyle w:val="59"/>
          <w:rFonts w:hint="eastAsia" w:ascii="宋体" w:hAnsi="宋体" w:eastAsia="宋体" w:cs="宋体"/>
          <w:color w:val="auto"/>
          <w:sz w:val="24"/>
          <w:szCs w:val="24"/>
          <w:highlight w:val="none"/>
        </w:rPr>
      </w:pPr>
      <w:r>
        <w:rPr>
          <w:rStyle w:val="59"/>
          <w:rFonts w:hint="eastAsia" w:ascii="宋体" w:hAnsi="宋体" w:eastAsia="宋体" w:cs="宋体"/>
          <w:color w:val="auto"/>
          <w:sz w:val="24"/>
          <w:szCs w:val="24"/>
          <w:highlight w:val="none"/>
          <w:lang w:val="en-US" w:eastAsia="zh-CN"/>
        </w:rPr>
        <w:t>1</w:t>
      </w:r>
      <w:r>
        <w:rPr>
          <w:rStyle w:val="59"/>
          <w:rFonts w:hint="eastAsia" w:ascii="宋体" w:hAnsi="宋体" w:cs="宋体"/>
          <w:color w:val="auto"/>
          <w:sz w:val="24"/>
          <w:szCs w:val="24"/>
          <w:highlight w:val="none"/>
          <w:lang w:val="en-US" w:eastAsia="zh-CN"/>
        </w:rPr>
        <w:t>.</w:t>
      </w:r>
      <w:r>
        <w:rPr>
          <w:rStyle w:val="59"/>
          <w:rFonts w:hint="eastAsia" w:ascii="宋体" w:hAnsi="宋体" w:eastAsia="宋体" w:cs="宋体"/>
          <w:color w:val="auto"/>
          <w:sz w:val="24"/>
          <w:szCs w:val="24"/>
          <w:highlight w:val="none"/>
          <w:lang w:eastAsia="zh-CN"/>
        </w:rPr>
        <w:t>监理工作</w:t>
      </w:r>
      <w:r>
        <w:rPr>
          <w:rStyle w:val="59"/>
          <w:rFonts w:hint="eastAsia" w:ascii="宋体" w:hAnsi="宋体" w:eastAsia="宋体" w:cs="宋体"/>
          <w:color w:val="auto"/>
          <w:sz w:val="24"/>
          <w:szCs w:val="24"/>
          <w:highlight w:val="none"/>
        </w:rPr>
        <w:t>应遵守国家有关法律法规，必须符合</w:t>
      </w:r>
      <w:r>
        <w:rPr>
          <w:rStyle w:val="59"/>
          <w:rFonts w:hint="eastAsia" w:ascii="宋体" w:hAnsi="宋体" w:eastAsia="宋体" w:cs="宋体"/>
          <w:color w:val="auto"/>
          <w:sz w:val="24"/>
          <w:szCs w:val="24"/>
          <w:highlight w:val="none"/>
          <w:lang w:eastAsia="zh-CN"/>
        </w:rPr>
        <w:t>工作规范</w:t>
      </w:r>
      <w:r>
        <w:rPr>
          <w:rStyle w:val="59"/>
          <w:rFonts w:hint="eastAsia" w:ascii="宋体" w:hAnsi="宋体" w:eastAsia="宋体" w:cs="宋体"/>
          <w:color w:val="auto"/>
          <w:sz w:val="24"/>
          <w:szCs w:val="24"/>
          <w:highlight w:val="none"/>
        </w:rPr>
        <w:t>，且标准和内容必须按照本工程项目的有关要求。</w:t>
      </w:r>
    </w:p>
    <w:p w14:paraId="40C6D566">
      <w:pPr>
        <w:shd w:val="clear"/>
        <w:snapToGrid w:val="0"/>
        <w:spacing w:line="360" w:lineRule="auto"/>
        <w:ind w:firstLine="480" w:firstLineChars="200"/>
        <w:rPr>
          <w:rStyle w:val="59"/>
          <w:rFonts w:hint="eastAsia" w:ascii="宋体" w:hAnsi="宋体" w:eastAsia="宋体" w:cs="宋体"/>
          <w:color w:val="auto"/>
          <w:sz w:val="24"/>
          <w:szCs w:val="24"/>
          <w:highlight w:val="none"/>
        </w:rPr>
      </w:pPr>
      <w:r>
        <w:rPr>
          <w:rStyle w:val="59"/>
          <w:rFonts w:hint="eastAsia" w:ascii="宋体" w:hAnsi="宋体" w:eastAsia="宋体" w:cs="宋体"/>
          <w:color w:val="auto"/>
          <w:sz w:val="24"/>
          <w:szCs w:val="24"/>
          <w:highlight w:val="none"/>
          <w:lang w:val="en-US" w:eastAsia="zh-CN"/>
        </w:rPr>
        <w:t>2</w:t>
      </w:r>
      <w:r>
        <w:rPr>
          <w:rStyle w:val="59"/>
          <w:rFonts w:hint="eastAsia" w:ascii="宋体" w:hAnsi="宋体" w:cs="宋体"/>
          <w:color w:val="auto"/>
          <w:sz w:val="24"/>
          <w:szCs w:val="24"/>
          <w:highlight w:val="none"/>
          <w:lang w:val="en-US" w:eastAsia="zh-CN"/>
        </w:rPr>
        <w:t>.</w:t>
      </w:r>
      <w:r>
        <w:rPr>
          <w:rStyle w:val="59"/>
          <w:rFonts w:hint="eastAsia" w:ascii="宋体" w:hAnsi="宋体" w:eastAsia="宋体" w:cs="宋体"/>
          <w:color w:val="auto"/>
          <w:sz w:val="24"/>
          <w:szCs w:val="24"/>
          <w:highlight w:val="none"/>
          <w:lang w:eastAsia="zh-CN"/>
        </w:rPr>
        <w:t>供应商</w:t>
      </w:r>
      <w:r>
        <w:rPr>
          <w:rStyle w:val="59"/>
          <w:rFonts w:hint="eastAsia" w:ascii="宋体" w:hAnsi="宋体" w:eastAsia="宋体" w:cs="宋体"/>
          <w:color w:val="auto"/>
          <w:sz w:val="24"/>
          <w:szCs w:val="24"/>
          <w:highlight w:val="none"/>
        </w:rPr>
        <w:t>需</w:t>
      </w:r>
      <w:r>
        <w:rPr>
          <w:rStyle w:val="59"/>
          <w:rFonts w:hint="eastAsia" w:ascii="宋体" w:hAnsi="宋体" w:eastAsia="宋体" w:cs="宋体"/>
          <w:color w:val="auto"/>
          <w:sz w:val="24"/>
          <w:szCs w:val="24"/>
          <w:highlight w:val="none"/>
          <w:lang w:eastAsia="zh-CN"/>
        </w:rPr>
        <w:t>根据采购人</w:t>
      </w:r>
      <w:r>
        <w:rPr>
          <w:rStyle w:val="59"/>
          <w:rFonts w:hint="eastAsia" w:ascii="宋体" w:hAnsi="宋体" w:eastAsia="宋体" w:cs="宋体"/>
          <w:color w:val="auto"/>
          <w:sz w:val="24"/>
          <w:szCs w:val="24"/>
          <w:highlight w:val="none"/>
        </w:rPr>
        <w:t>进度计划</w:t>
      </w:r>
      <w:r>
        <w:rPr>
          <w:rStyle w:val="59"/>
          <w:rFonts w:hint="eastAsia" w:ascii="宋体" w:hAnsi="宋体" w:eastAsia="宋体" w:cs="宋体"/>
          <w:color w:val="auto"/>
          <w:sz w:val="24"/>
          <w:szCs w:val="24"/>
          <w:highlight w:val="none"/>
          <w:lang w:eastAsia="zh-CN"/>
        </w:rPr>
        <w:t>安排监理人员驻场，并</w:t>
      </w:r>
      <w:r>
        <w:rPr>
          <w:rStyle w:val="59"/>
          <w:rFonts w:hint="eastAsia" w:ascii="宋体" w:hAnsi="宋体" w:eastAsia="宋体" w:cs="宋体"/>
          <w:color w:val="auto"/>
          <w:sz w:val="24"/>
          <w:szCs w:val="24"/>
          <w:highlight w:val="none"/>
        </w:rPr>
        <w:t>提供相应</w:t>
      </w:r>
      <w:r>
        <w:rPr>
          <w:rStyle w:val="59"/>
          <w:rFonts w:hint="eastAsia" w:ascii="宋体" w:hAnsi="宋体" w:eastAsia="宋体" w:cs="宋体"/>
          <w:color w:val="auto"/>
          <w:sz w:val="24"/>
          <w:szCs w:val="24"/>
          <w:highlight w:val="none"/>
          <w:lang w:eastAsia="zh-CN"/>
        </w:rPr>
        <w:t>监理</w:t>
      </w:r>
      <w:r>
        <w:rPr>
          <w:rStyle w:val="59"/>
          <w:rFonts w:hint="eastAsia" w:ascii="宋体" w:hAnsi="宋体" w:eastAsia="宋体" w:cs="宋体"/>
          <w:color w:val="auto"/>
          <w:sz w:val="24"/>
          <w:szCs w:val="24"/>
          <w:highlight w:val="none"/>
        </w:rPr>
        <w:t>及其他按有关规定需要承担及配合的相关工作。</w:t>
      </w:r>
    </w:p>
    <w:p w14:paraId="6CCDE453">
      <w:pPr>
        <w:shd w:val="clear"/>
        <w:snapToGrid w:val="0"/>
        <w:spacing w:line="360" w:lineRule="auto"/>
        <w:ind w:firstLine="480" w:firstLineChars="200"/>
        <w:rPr>
          <w:rStyle w:val="59"/>
          <w:rFonts w:hint="eastAsia" w:ascii="宋体" w:hAnsi="宋体" w:eastAsia="宋体" w:cs="宋体"/>
          <w:color w:val="auto"/>
          <w:sz w:val="24"/>
          <w:szCs w:val="24"/>
          <w:highlight w:val="none"/>
        </w:rPr>
      </w:pPr>
      <w:r>
        <w:rPr>
          <w:rStyle w:val="59"/>
          <w:rFonts w:hint="eastAsia" w:ascii="宋体" w:hAnsi="宋体" w:eastAsia="宋体" w:cs="宋体"/>
          <w:color w:val="auto"/>
          <w:sz w:val="24"/>
          <w:szCs w:val="24"/>
          <w:highlight w:val="none"/>
          <w:lang w:val="en-US" w:eastAsia="zh-CN"/>
        </w:rPr>
        <w:t>3</w:t>
      </w:r>
      <w:r>
        <w:rPr>
          <w:rStyle w:val="59"/>
          <w:rFonts w:hint="eastAsia" w:ascii="宋体" w:hAnsi="宋体" w:cs="宋体"/>
          <w:color w:val="auto"/>
          <w:sz w:val="24"/>
          <w:szCs w:val="24"/>
          <w:highlight w:val="none"/>
          <w:lang w:val="en-US" w:eastAsia="zh-CN"/>
        </w:rPr>
        <w:t>.</w:t>
      </w:r>
      <w:r>
        <w:rPr>
          <w:rStyle w:val="59"/>
          <w:rFonts w:hint="eastAsia" w:ascii="宋体" w:hAnsi="宋体" w:eastAsia="宋体" w:cs="宋体"/>
          <w:color w:val="auto"/>
          <w:sz w:val="24"/>
          <w:szCs w:val="24"/>
          <w:highlight w:val="none"/>
          <w:lang w:eastAsia="zh-CN"/>
        </w:rPr>
        <w:t>供应商</w:t>
      </w:r>
      <w:r>
        <w:rPr>
          <w:rStyle w:val="59"/>
          <w:rFonts w:hint="eastAsia" w:ascii="宋体" w:hAnsi="宋体" w:eastAsia="宋体" w:cs="宋体"/>
          <w:color w:val="auto"/>
          <w:sz w:val="24"/>
          <w:szCs w:val="24"/>
          <w:highlight w:val="none"/>
        </w:rPr>
        <w:t>在其工作范围内应确保在中国境内外都没有且也不会侵犯任何第三方的知识产权（包括但不限于著作权、商标权、专利权）或专有技术或商业秘密；</w:t>
      </w:r>
      <w:r>
        <w:rPr>
          <w:rStyle w:val="59"/>
          <w:rFonts w:hint="eastAsia" w:ascii="宋体" w:hAnsi="宋体" w:eastAsia="宋体" w:cs="宋体"/>
          <w:color w:val="auto"/>
          <w:sz w:val="24"/>
          <w:szCs w:val="24"/>
          <w:highlight w:val="none"/>
          <w:lang w:eastAsia="zh-CN"/>
        </w:rPr>
        <w:t>供应商</w:t>
      </w:r>
      <w:r>
        <w:rPr>
          <w:rStyle w:val="59"/>
          <w:rFonts w:hint="eastAsia" w:ascii="宋体" w:hAnsi="宋体" w:eastAsia="宋体" w:cs="宋体"/>
          <w:color w:val="auto"/>
          <w:sz w:val="24"/>
          <w:szCs w:val="24"/>
          <w:highlight w:val="none"/>
        </w:rPr>
        <w:t>如果在其设计文件中使用或包含任何其他人的知识产权或专有技术或商业秘密，应保证已经获得权利人的合法、有效、充分的授权；</w:t>
      </w:r>
      <w:r>
        <w:rPr>
          <w:rStyle w:val="59"/>
          <w:rFonts w:hint="eastAsia" w:ascii="宋体" w:hAnsi="宋体" w:eastAsia="宋体" w:cs="宋体"/>
          <w:color w:val="auto"/>
          <w:sz w:val="24"/>
          <w:szCs w:val="24"/>
          <w:highlight w:val="none"/>
          <w:lang w:eastAsia="zh-CN"/>
        </w:rPr>
        <w:t>采购</w:t>
      </w:r>
      <w:r>
        <w:rPr>
          <w:rStyle w:val="59"/>
          <w:rFonts w:hint="eastAsia" w:ascii="宋体" w:hAnsi="宋体" w:eastAsia="宋体" w:cs="宋体"/>
          <w:color w:val="auto"/>
          <w:sz w:val="24"/>
          <w:szCs w:val="24"/>
          <w:highlight w:val="none"/>
        </w:rPr>
        <w:t>人拥有</w:t>
      </w:r>
      <w:r>
        <w:rPr>
          <w:rStyle w:val="59"/>
          <w:rFonts w:hint="eastAsia" w:ascii="宋体" w:hAnsi="宋体" w:eastAsia="宋体" w:cs="宋体"/>
          <w:color w:val="auto"/>
          <w:sz w:val="24"/>
          <w:szCs w:val="24"/>
          <w:highlight w:val="none"/>
          <w:lang w:eastAsia="zh-CN"/>
        </w:rPr>
        <w:t>供应商</w:t>
      </w:r>
      <w:r>
        <w:rPr>
          <w:rStyle w:val="59"/>
          <w:rFonts w:hint="eastAsia" w:ascii="宋体" w:hAnsi="宋体" w:eastAsia="宋体" w:cs="宋体"/>
          <w:color w:val="auto"/>
          <w:sz w:val="24"/>
          <w:szCs w:val="24"/>
          <w:highlight w:val="none"/>
        </w:rPr>
        <w:t>所提交的全部文件的使用权和受益权，并使用于</w:t>
      </w:r>
      <w:r>
        <w:rPr>
          <w:rStyle w:val="59"/>
          <w:rFonts w:hint="eastAsia" w:ascii="宋体" w:hAnsi="宋体" w:eastAsia="宋体" w:cs="宋体"/>
          <w:color w:val="auto"/>
          <w:sz w:val="24"/>
          <w:szCs w:val="24"/>
          <w:highlight w:val="none"/>
          <w:lang w:eastAsia="zh-CN"/>
        </w:rPr>
        <w:t>本次磋商</w:t>
      </w:r>
      <w:r>
        <w:rPr>
          <w:rStyle w:val="59"/>
          <w:rFonts w:hint="eastAsia" w:ascii="宋体" w:hAnsi="宋体" w:eastAsia="宋体" w:cs="宋体"/>
          <w:color w:val="auto"/>
          <w:sz w:val="24"/>
          <w:szCs w:val="24"/>
          <w:highlight w:val="none"/>
        </w:rPr>
        <w:t>项目。</w:t>
      </w:r>
    </w:p>
    <w:p w14:paraId="0A8A84ED">
      <w:pPr>
        <w:shd w:val="clear"/>
        <w:snapToGrid w:val="0"/>
        <w:spacing w:line="360" w:lineRule="auto"/>
        <w:ind w:firstLine="480" w:firstLineChars="200"/>
        <w:rPr>
          <w:rStyle w:val="59"/>
          <w:rFonts w:hint="eastAsia" w:ascii="宋体" w:hAnsi="宋体" w:eastAsia="宋体" w:cs="宋体"/>
          <w:color w:val="auto"/>
          <w:sz w:val="24"/>
          <w:szCs w:val="24"/>
          <w:highlight w:val="none"/>
        </w:rPr>
      </w:pPr>
      <w:r>
        <w:rPr>
          <w:rStyle w:val="59"/>
          <w:rFonts w:hint="eastAsia" w:ascii="宋体" w:hAnsi="宋体" w:cs="宋体"/>
          <w:color w:val="auto"/>
          <w:sz w:val="24"/>
          <w:szCs w:val="24"/>
          <w:highlight w:val="none"/>
          <w:lang w:val="en-US" w:eastAsia="zh-CN"/>
        </w:rPr>
        <w:t>4.</w:t>
      </w:r>
      <w:r>
        <w:rPr>
          <w:rStyle w:val="59"/>
          <w:rFonts w:hint="eastAsia" w:ascii="宋体" w:hAnsi="宋体" w:eastAsia="宋体" w:cs="宋体"/>
          <w:color w:val="auto"/>
          <w:sz w:val="24"/>
          <w:szCs w:val="24"/>
          <w:highlight w:val="none"/>
        </w:rPr>
        <w:t>本次合同签订之日起12个月内，采购单位委托的零星装修工程项目累计投资额在100万（含）以内的，成交单位提供免费监理服务；累计投资额超过100万的，超出部分的监理费用按本项目成交费率计取，即按本项目总成交价/财政审核的项目总概算比例。</w:t>
      </w:r>
    </w:p>
    <w:p w14:paraId="501B1AE1">
      <w:pPr>
        <w:shd w:val="clear"/>
        <w:snapToGrid w:val="0"/>
        <w:spacing w:line="360" w:lineRule="auto"/>
        <w:ind w:firstLine="482" w:firstLineChars="200"/>
        <w:rPr>
          <w:rFonts w:ascii="宋体" w:hAnsi="宋体" w:eastAsia="宋体" w:cs="宋体"/>
          <w:b/>
          <w:color w:val="auto"/>
          <w:sz w:val="24"/>
          <w:highlight w:val="none"/>
        </w:rPr>
      </w:pPr>
      <w:r>
        <w:rPr>
          <w:rStyle w:val="59"/>
          <w:rFonts w:hint="eastAsia" w:ascii="宋体" w:hAnsi="宋体" w:eastAsia="宋体" w:cs="宋体"/>
          <w:b/>
          <w:bCs/>
          <w:color w:val="auto"/>
          <w:sz w:val="24"/>
          <w:szCs w:val="24"/>
          <w:highlight w:val="none"/>
          <w:lang w:eastAsia="zh-CN"/>
        </w:rPr>
        <w:t>五、服务</w:t>
      </w:r>
      <w:r>
        <w:rPr>
          <w:rFonts w:hint="eastAsia" w:ascii="宋体" w:hAnsi="宋体" w:eastAsia="宋体" w:cs="宋体"/>
          <w:b/>
          <w:color w:val="auto"/>
          <w:sz w:val="24"/>
          <w:highlight w:val="none"/>
        </w:rPr>
        <w:t>期要求</w:t>
      </w:r>
    </w:p>
    <w:p w14:paraId="55E75FA7">
      <w:pPr>
        <w:shd w:val="clea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施工准备期+施工期+保修期，具体施工期以实际施工期为准，进场日期以中标通知书发出时间为准。</w:t>
      </w:r>
    </w:p>
    <w:p w14:paraId="28B788F5">
      <w:pPr>
        <w:shd w:val="clear"/>
        <w:adjustRightInd w:val="0"/>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、其他要求：</w:t>
      </w:r>
      <w:r>
        <w:rPr>
          <w:rFonts w:hint="eastAsia" w:ascii="宋体" w:hAnsi="宋体" w:eastAsia="宋体" w:cs="宋体"/>
          <w:color w:val="auto"/>
          <w:sz w:val="24"/>
          <w:highlight w:val="none"/>
          <w:lang w:eastAsia="zh-CN"/>
        </w:rPr>
        <w:t>详见合同条款</w:t>
      </w:r>
      <w:r>
        <w:rPr>
          <w:rFonts w:hint="eastAsia" w:ascii="宋体" w:hAnsi="宋体" w:eastAsia="宋体" w:cs="宋体"/>
          <w:color w:val="auto"/>
          <w:sz w:val="24"/>
          <w:highlight w:val="none"/>
        </w:rPr>
        <w:t>。</w:t>
      </w:r>
    </w:p>
    <w:p w14:paraId="510DF4B2">
      <w:pPr>
        <w:shd w:val="clear"/>
        <w:adjustRightInd w:val="0"/>
        <w:snapToGrid w:val="0"/>
        <w:spacing w:line="360" w:lineRule="auto"/>
        <w:ind w:firstLine="482" w:firstLineChars="200"/>
        <w:rPr>
          <w:rFonts w:ascii="宋体" w:hAnsi="宋体" w:eastAsia="宋体" w:cs="宋体"/>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、付款方式</w:t>
      </w:r>
      <w:r>
        <w:rPr>
          <w:rFonts w:hint="eastAsia" w:ascii="宋体" w:hAnsi="宋体" w:eastAsia="宋体" w:cs="宋体"/>
          <w:b/>
          <w:color w:val="auto"/>
          <w:sz w:val="24"/>
          <w:highlight w:val="none"/>
          <w:lang w:eastAsia="zh-CN"/>
        </w:rPr>
        <w:t>：</w:t>
      </w:r>
      <w:r>
        <w:rPr>
          <w:rStyle w:val="59"/>
          <w:rFonts w:hint="eastAsia" w:ascii="宋体" w:hAnsi="宋体" w:eastAsia="宋体" w:cs="宋体"/>
          <w:color w:val="auto"/>
          <w:sz w:val="24"/>
          <w:szCs w:val="24"/>
          <w:highlight w:val="none"/>
          <w:lang w:eastAsia="zh-CN"/>
        </w:rPr>
        <w:t>详见合同价款</w:t>
      </w:r>
      <w:r>
        <w:rPr>
          <w:rStyle w:val="59"/>
          <w:rFonts w:hint="eastAsia" w:ascii="宋体" w:hAnsi="宋体" w:eastAsia="宋体" w:cs="宋体"/>
          <w:color w:val="auto"/>
          <w:sz w:val="24"/>
          <w:szCs w:val="24"/>
          <w:highlight w:val="none"/>
        </w:rPr>
        <w:t>。</w:t>
      </w:r>
    </w:p>
    <w:p w14:paraId="6CC56299">
      <w:pPr>
        <w:shd w:val="clear"/>
        <w:adjustRightInd w:val="0"/>
        <w:snapToGrid w:val="0"/>
        <w:spacing w:line="360" w:lineRule="auto"/>
        <w:ind w:firstLine="482" w:firstLineChars="200"/>
        <w:rPr>
          <w:rFonts w:hint="eastAsia" w:ascii="宋体" w:hAnsi="宋体" w:eastAsia="宋体" w:cs="宋体"/>
          <w:b/>
          <w:color w:val="auto"/>
          <w:kern w:val="2"/>
          <w:sz w:val="24"/>
          <w:highlight w:val="none"/>
          <w:lang w:eastAsia="zh-CN"/>
        </w:rPr>
      </w:pPr>
      <w:r>
        <w:rPr>
          <w:rFonts w:hint="eastAsia" w:ascii="宋体" w:hAnsi="宋体" w:eastAsia="宋体" w:cs="宋体"/>
          <w:b/>
          <w:color w:val="auto"/>
          <w:kern w:val="2"/>
          <w:sz w:val="24"/>
          <w:highlight w:val="none"/>
          <w:lang w:eastAsia="zh-CN"/>
        </w:rPr>
        <w:t>八</w:t>
      </w:r>
      <w:r>
        <w:rPr>
          <w:rFonts w:hint="eastAsia" w:ascii="宋体" w:hAnsi="宋体" w:eastAsia="宋体" w:cs="宋体"/>
          <w:b/>
          <w:color w:val="auto"/>
          <w:kern w:val="2"/>
          <w:sz w:val="24"/>
          <w:highlight w:val="none"/>
        </w:rPr>
        <w:t>、履约保证金</w:t>
      </w:r>
      <w:r>
        <w:rPr>
          <w:rFonts w:hint="eastAsia" w:ascii="宋体" w:hAnsi="宋体" w:eastAsia="宋体" w:cs="宋体"/>
          <w:b/>
          <w:color w:val="auto"/>
          <w:kern w:val="2"/>
          <w:sz w:val="24"/>
          <w:highlight w:val="none"/>
          <w:lang w:eastAsia="zh-CN"/>
        </w:rPr>
        <w:t>：</w:t>
      </w:r>
    </w:p>
    <w:p w14:paraId="273EEF72">
      <w:pPr>
        <w:shd w:val="clea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1.金额为</w:t>
      </w:r>
      <w:r>
        <w:rPr>
          <w:rFonts w:hint="eastAsia" w:ascii="宋体" w:hAnsi="宋体" w:eastAsia="宋体" w:cs="宋体"/>
          <w:color w:val="auto"/>
          <w:sz w:val="24"/>
          <w:highlight w:val="none"/>
          <w:lang w:eastAsia="zh-CN"/>
        </w:rPr>
        <w:t>合同价的</w:t>
      </w:r>
      <w:r>
        <w:rPr>
          <w:rFonts w:hint="eastAsia" w:ascii="宋体" w:hAnsi="宋体" w:eastAsia="宋体" w:cs="宋体"/>
          <w:color w:val="auto"/>
          <w:sz w:val="24"/>
          <w:highlight w:val="none"/>
          <w:lang w:val="en-US" w:eastAsia="zh-CN"/>
        </w:rPr>
        <w:t>10%，缴纳方式：银行转账、电汇、网银。</w:t>
      </w:r>
    </w:p>
    <w:p w14:paraId="494C84D8">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成交人的履约保证金须在</w:t>
      </w:r>
      <w:r>
        <w:rPr>
          <w:rFonts w:hint="eastAsia" w:ascii="宋体" w:hAnsi="宋体" w:eastAsia="宋体" w:cs="宋体"/>
          <w:color w:val="auto"/>
          <w:sz w:val="24"/>
          <w:highlight w:val="none"/>
          <w:lang w:eastAsia="zh-CN"/>
        </w:rPr>
        <w:t>成交结果公告</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个工作日内汇入采购人账户，成交人凭成交通知书及履约保证金缴费证明</w:t>
      </w:r>
      <w:r>
        <w:rPr>
          <w:rFonts w:hint="eastAsia" w:ascii="宋体" w:hAnsi="宋体" w:eastAsia="宋体" w:cs="宋体"/>
          <w:color w:val="auto"/>
          <w:sz w:val="24"/>
          <w:highlight w:val="none"/>
          <w:lang w:eastAsia="zh-CN"/>
        </w:rPr>
        <w:t>在成交结果公告发出之日起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日内与采购人签订合同。超期或未有协商，则视为自动放弃成交资格。</w:t>
      </w:r>
    </w:p>
    <w:p w14:paraId="0F4890EB">
      <w:pPr>
        <w:shd w:val="clea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成交供应商在按要求保质保量的完成该项目合同并通过验收</w:t>
      </w:r>
      <w:r>
        <w:rPr>
          <w:rFonts w:hint="eastAsia" w:ascii="宋体" w:hAnsi="宋体" w:eastAsia="宋体" w:cs="宋体"/>
          <w:color w:val="auto"/>
          <w:sz w:val="24"/>
          <w:highlight w:val="none"/>
          <w:lang w:eastAsia="zh-CN"/>
        </w:rPr>
        <w:t>合格</w:t>
      </w:r>
      <w:r>
        <w:rPr>
          <w:rFonts w:hint="eastAsia" w:ascii="宋体" w:hAnsi="宋体" w:eastAsia="宋体" w:cs="宋体"/>
          <w:color w:val="auto"/>
          <w:sz w:val="24"/>
          <w:highlight w:val="none"/>
        </w:rPr>
        <w:t>后，采购人凭成交供应商提交的申请，一次性无息退还该合同项目的履约保证金。</w:t>
      </w:r>
    </w:p>
    <w:p w14:paraId="79F0A987">
      <w:pPr>
        <w:shd w:val="clear"/>
        <w:adjustRightInd w:val="0"/>
        <w:snapToGrid w:val="0"/>
        <w:spacing w:line="360" w:lineRule="auto"/>
        <w:ind w:firstLine="480" w:firstLineChars="200"/>
        <w:rPr>
          <w:rFonts w:cs="宋体"/>
          <w:b/>
          <w:bCs/>
          <w:color w:val="auto"/>
          <w:w w:val="80"/>
          <w:sz w:val="36"/>
          <w:szCs w:val="36"/>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r>
        <w:rPr>
          <w:rFonts w:cs="宋体"/>
          <w:b/>
          <w:bCs/>
          <w:color w:val="auto"/>
          <w:w w:val="80"/>
          <w:sz w:val="36"/>
          <w:szCs w:val="36"/>
          <w:highlight w:val="none"/>
        </w:rPr>
        <w:br w:type="page"/>
      </w:r>
    </w:p>
    <w:p w14:paraId="0A8E301A">
      <w:pPr>
        <w:shd w:val="clear"/>
        <w:tabs>
          <w:tab w:val="left" w:pos="1050"/>
          <w:tab w:val="right" w:leader="dot" w:pos="9402"/>
        </w:tabs>
        <w:spacing w:before="312" w:beforeLines="100" w:line="600" w:lineRule="exact"/>
        <w:jc w:val="center"/>
        <w:outlineLvl w:val="0"/>
        <w:rPr>
          <w:b/>
          <w:bCs/>
          <w:color w:val="auto"/>
          <w:w w:val="80"/>
          <w:sz w:val="36"/>
          <w:szCs w:val="36"/>
          <w:highlight w:val="none"/>
        </w:rPr>
      </w:pPr>
      <w:r>
        <w:rPr>
          <w:rFonts w:hint="eastAsia" w:cs="宋体"/>
          <w:b/>
          <w:bCs/>
          <w:color w:val="auto"/>
          <w:w w:val="80"/>
          <w:sz w:val="36"/>
          <w:szCs w:val="36"/>
          <w:highlight w:val="none"/>
        </w:rPr>
        <w:t>第四章</w:t>
      </w:r>
      <w:bookmarkStart w:id="46" w:name="_Toc182848996"/>
      <w:r>
        <w:rPr>
          <w:rFonts w:hint="eastAsia" w:cs="宋体"/>
          <w:b/>
          <w:bCs/>
          <w:color w:val="auto"/>
          <w:w w:val="80"/>
          <w:sz w:val="36"/>
          <w:szCs w:val="36"/>
          <w:highlight w:val="none"/>
        </w:rPr>
        <w:t xml:space="preserve"> </w:t>
      </w:r>
      <w:r>
        <w:rPr>
          <w:rFonts w:cs="宋体"/>
          <w:b/>
          <w:bCs/>
          <w:color w:val="auto"/>
          <w:w w:val="80"/>
          <w:sz w:val="36"/>
          <w:szCs w:val="36"/>
          <w:highlight w:val="none"/>
        </w:rPr>
        <w:t xml:space="preserve"> </w:t>
      </w:r>
      <w:r>
        <w:rPr>
          <w:rFonts w:hint="eastAsia" w:cs="宋体"/>
          <w:b/>
          <w:bCs/>
          <w:color w:val="auto"/>
          <w:w w:val="80"/>
          <w:sz w:val="36"/>
          <w:szCs w:val="36"/>
          <w:highlight w:val="none"/>
        </w:rPr>
        <w:t>评审程序和方法</w:t>
      </w:r>
    </w:p>
    <w:p w14:paraId="23B491A4">
      <w:pPr>
        <w:shd w:val="clear"/>
        <w:adjustRightInd w:val="0"/>
        <w:snapToGrid w:val="0"/>
        <w:spacing w:line="360" w:lineRule="auto"/>
        <w:ind w:firstLine="482" w:firstLineChars="200"/>
        <w:jc w:val="left"/>
        <w:textAlignment w:val="baseline"/>
        <w:rPr>
          <w:rFonts w:ascii="宋体" w:hAnsi="宋体" w:eastAsia="宋体" w:cs="宋体"/>
          <w:b/>
          <w:color w:val="auto"/>
          <w:sz w:val="24"/>
          <w:highlight w:val="none"/>
        </w:rPr>
      </w:pPr>
      <w:r>
        <w:rPr>
          <w:rFonts w:hint="eastAsia" w:ascii="宋体" w:hAnsi="宋体" w:eastAsia="宋体" w:cs="宋体"/>
          <w:b/>
          <w:color w:val="auto"/>
          <w:sz w:val="24"/>
          <w:highlight w:val="none"/>
        </w:rPr>
        <w:t>一、磋商方式</w:t>
      </w:r>
    </w:p>
    <w:p w14:paraId="53C46D39">
      <w:pPr>
        <w:shd w:val="clear"/>
        <w:tabs>
          <w:tab w:val="left" w:pos="3585"/>
        </w:tabs>
        <w:adjustRightInd w:val="0"/>
        <w:snapToGrid w:val="0"/>
        <w:spacing w:line="360" w:lineRule="auto"/>
        <w:ind w:firstLine="460" w:firstLineChars="192"/>
        <w:rPr>
          <w:rFonts w:ascii="宋体" w:hAnsi="宋体" w:eastAsia="宋体" w:cs="宋体"/>
          <w:color w:val="auto"/>
          <w:sz w:val="24"/>
          <w:highlight w:val="none"/>
        </w:rPr>
      </w:pPr>
      <w:r>
        <w:rPr>
          <w:rFonts w:hint="eastAsia" w:ascii="宋体" w:hAnsi="宋体" w:eastAsia="宋体" w:cs="宋体"/>
          <w:color w:val="auto"/>
          <w:sz w:val="24"/>
          <w:highlight w:val="none"/>
        </w:rPr>
        <w:t>项目磋商活动模式：本项目采用现场开标模式。</w:t>
      </w:r>
    </w:p>
    <w:p w14:paraId="55C03A2C">
      <w:pPr>
        <w:shd w:val="clear"/>
        <w:adjustRightInd w:val="0"/>
        <w:snapToGrid w:val="0"/>
        <w:spacing w:line="360" w:lineRule="auto"/>
        <w:ind w:firstLine="482" w:firstLineChars="200"/>
        <w:jc w:val="left"/>
        <w:textAlignment w:val="baseline"/>
        <w:rPr>
          <w:rFonts w:ascii="宋体" w:hAnsi="宋体" w:eastAsia="宋体" w:cs="宋体"/>
          <w:b/>
          <w:color w:val="auto"/>
          <w:sz w:val="24"/>
          <w:highlight w:val="none"/>
        </w:rPr>
      </w:pPr>
      <w:r>
        <w:rPr>
          <w:rFonts w:hint="eastAsia" w:ascii="宋体" w:hAnsi="宋体" w:eastAsia="宋体" w:cs="宋体"/>
          <w:b/>
          <w:color w:val="auto"/>
          <w:sz w:val="24"/>
          <w:highlight w:val="none"/>
        </w:rPr>
        <w:t>二、磋商程序及评审方法和标准</w:t>
      </w:r>
    </w:p>
    <w:p w14:paraId="70641B5C">
      <w:pPr>
        <w:shd w:val="clear"/>
        <w:adjustRightInd w:val="0"/>
        <w:snapToGrid w:val="0"/>
        <w:spacing w:line="360" w:lineRule="auto"/>
        <w:ind w:firstLine="592" w:firstLineChars="247"/>
        <w:rPr>
          <w:rFonts w:ascii="宋体" w:hAnsi="宋体" w:eastAsia="宋体" w:cs="宋体"/>
          <w:bCs/>
          <w:color w:val="auto"/>
          <w:sz w:val="24"/>
          <w:highlight w:val="none"/>
        </w:rPr>
      </w:pPr>
      <w:r>
        <w:rPr>
          <w:rFonts w:hint="eastAsia" w:ascii="宋体" w:hAnsi="宋体" w:eastAsia="宋体" w:cs="宋体"/>
          <w:bCs/>
          <w:color w:val="auto"/>
          <w:sz w:val="24"/>
          <w:highlight w:val="none"/>
        </w:rPr>
        <w:t>评审方法：综合评分法，经磋商确定最终采购需求和提交最后报价的供应商后，由磋商小组采用综合评分法对提交最后报价的供应商的响应文件和最后报价进行综合评分。</w:t>
      </w:r>
    </w:p>
    <w:p w14:paraId="3B6D1FF5">
      <w:pPr>
        <w:shd w:val="clear"/>
        <w:adjustRightInd w:val="0"/>
        <w:snapToGrid w:val="0"/>
        <w:spacing w:line="360" w:lineRule="auto"/>
        <w:ind w:firstLine="600" w:firstLineChars="25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E520F85">
      <w:pPr>
        <w:shd w:val="clea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11BF6E17">
      <w:pPr>
        <w:shd w:val="clear"/>
        <w:tabs>
          <w:tab w:val="left" w:pos="900"/>
        </w:tabs>
        <w:adjustRightInd w:val="0"/>
        <w:snapToGrid w:val="0"/>
        <w:spacing w:line="360" w:lineRule="auto"/>
        <w:ind w:firstLine="477" w:firstLineChars="199"/>
        <w:rPr>
          <w:rFonts w:ascii="宋体" w:hAnsi="宋体" w:eastAsia="宋体" w:cs="宋体"/>
          <w:bCs/>
          <w:color w:val="auto"/>
          <w:sz w:val="24"/>
          <w:highlight w:val="none"/>
        </w:rPr>
      </w:pPr>
      <w:r>
        <w:rPr>
          <w:rFonts w:hint="eastAsia" w:ascii="宋体" w:hAnsi="宋体" w:eastAsia="宋体" w:cs="宋体"/>
          <w:bCs/>
          <w:color w:val="auto"/>
          <w:sz w:val="24"/>
          <w:highlight w:val="none"/>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730385A4">
      <w:pPr>
        <w:shd w:val="clear"/>
        <w:adjustRightInd w:val="0"/>
        <w:snapToGrid w:val="0"/>
        <w:spacing w:line="360" w:lineRule="auto"/>
        <w:ind w:firstLine="555"/>
        <w:rPr>
          <w:rFonts w:ascii="宋体" w:hAnsi="宋体" w:eastAsia="宋体" w:cs="宋体"/>
          <w:color w:val="auto"/>
          <w:sz w:val="24"/>
          <w:highlight w:val="none"/>
        </w:rPr>
      </w:pPr>
      <w:r>
        <w:rPr>
          <w:rFonts w:hint="eastAsia" w:ascii="宋体" w:hAnsi="宋体" w:eastAsia="宋体" w:cs="宋体"/>
          <w:color w:val="auto"/>
          <w:sz w:val="24"/>
          <w:highlight w:val="none"/>
        </w:rPr>
        <w:t>供应商商务技术部分和价格部分的合计分值，为该供应商的评审总得分。</w:t>
      </w:r>
    </w:p>
    <w:p w14:paraId="2760BFC2">
      <w:pPr>
        <w:shd w:val="clear"/>
        <w:adjustRightInd w:val="0"/>
        <w:snapToGrid w:val="0"/>
        <w:spacing w:line="360" w:lineRule="auto"/>
        <w:ind w:firstLine="555"/>
        <w:rPr>
          <w:rFonts w:ascii="宋体" w:hAnsi="宋体" w:eastAsia="宋体" w:cs="宋体"/>
          <w:color w:val="auto"/>
          <w:sz w:val="24"/>
          <w:highlight w:val="none"/>
        </w:rPr>
      </w:pPr>
      <w:r>
        <w:rPr>
          <w:rFonts w:hint="eastAsia" w:ascii="宋体" w:hAnsi="宋体" w:eastAsia="宋体" w:cs="宋体"/>
          <w:color w:val="auto"/>
          <w:sz w:val="24"/>
          <w:highlight w:val="none"/>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1EE3FAAD">
      <w:pPr>
        <w:shd w:val="clear"/>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评审过程中出现下列情形之一的，评审委员会应当启动异常低价投标(响应)审查程序：①投标(响应)报价低于采购项目预算50%的，即投标(响应)报价&lt;采购项目预算×50%；②投标(响应)报价低于采购项目最高限价45%的，即投标(响应)报价&lt;采购项目最高限价×45%；③评审委员会认定的供应商报价过低、有可能影响产品质量或者不能诚信履约的其他情形。</w:t>
      </w:r>
    </w:p>
    <w:p w14:paraId="0190DAE8">
      <w:pPr>
        <w:shd w:val="clear"/>
        <w:adjustRightInd w:val="0"/>
        <w:snapToGrid w:val="0"/>
        <w:spacing w:line="360" w:lineRule="auto"/>
        <w:ind w:firstLine="555"/>
        <w:rPr>
          <w:rFonts w:hint="eastAsia" w:ascii="宋体" w:hAnsi="宋体" w:eastAsia="宋体" w:cs="宋体"/>
          <w:color w:val="auto"/>
          <w:sz w:val="24"/>
          <w:highlight w:val="none"/>
        </w:rPr>
      </w:pPr>
      <w:r>
        <w:rPr>
          <w:rFonts w:hint="eastAsia" w:ascii="宋体" w:hAnsi="宋体" w:eastAsia="宋体" w:cs="宋体"/>
          <w:color w:val="auto"/>
          <w:sz w:val="24"/>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30802D94">
      <w:pPr>
        <w:shd w:val="clear"/>
        <w:adjustRightInd w:val="0"/>
        <w:snapToGrid w:val="0"/>
        <w:spacing w:line="360" w:lineRule="auto"/>
        <w:ind w:firstLine="555"/>
        <w:rPr>
          <w:rFonts w:ascii="宋体" w:hAnsi="宋体" w:eastAsia="宋体" w:cs="宋体"/>
          <w:color w:val="auto"/>
          <w:sz w:val="24"/>
          <w:highlight w:val="none"/>
        </w:rPr>
      </w:pPr>
      <w:r>
        <w:rPr>
          <w:rFonts w:hint="eastAsia" w:ascii="宋体" w:hAnsi="宋体" w:eastAsia="宋体" w:cs="宋体"/>
          <w:color w:val="auto"/>
          <w:sz w:val="24"/>
          <w:highlight w:val="none"/>
        </w:rPr>
        <w:t>评委在认真审阅响应文件的基础上，根据各响应文件的响应程度独立评判，不得统一打分。</w:t>
      </w:r>
    </w:p>
    <w:p w14:paraId="4E034195">
      <w:pPr>
        <w:shd w:val="clea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（一）采购单位（代表）对供应商资格进行审查。</w:t>
      </w:r>
    </w:p>
    <w:p w14:paraId="6B8C6A6D">
      <w:pPr>
        <w:shd w:val="clear"/>
        <w:adjustRightInd w:val="0"/>
        <w:snapToGrid w:val="0"/>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供应商资格不合格的，其响应文件判定为无效响应文件。</w:t>
      </w:r>
    </w:p>
    <w:p w14:paraId="20976944">
      <w:pPr>
        <w:shd w:val="clear"/>
        <w:adjustRightInd w:val="0"/>
        <w:snapToGrid w:val="0"/>
        <w:spacing w:line="360" w:lineRule="auto"/>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（二）磋商小组对符合资格供应商的响应文件进行符合性审查。</w:t>
      </w:r>
    </w:p>
    <w:p w14:paraId="525F60C5">
      <w:pPr>
        <w:shd w:val="clear"/>
        <w:adjustRightInd w:val="0"/>
        <w:snapToGrid w:val="0"/>
        <w:spacing w:line="360" w:lineRule="auto"/>
        <w:ind w:firstLine="494" w:firstLineChars="206"/>
        <w:rPr>
          <w:rFonts w:ascii="宋体" w:hAnsi="宋体" w:eastAsia="宋体" w:cs="宋体"/>
          <w:color w:val="auto"/>
          <w:sz w:val="24"/>
          <w:highlight w:val="none"/>
        </w:rPr>
      </w:pPr>
      <w:r>
        <w:rPr>
          <w:rFonts w:hint="eastAsia" w:ascii="宋体" w:hAnsi="宋体" w:eastAsia="宋体" w:cs="宋体"/>
          <w:color w:val="auto"/>
          <w:sz w:val="24"/>
          <w:highlight w:val="none"/>
        </w:rPr>
        <w:t xml:space="preserve">未通过符合性审查的响应文件，将被判为不满足磋商文件实质性要求。 </w:t>
      </w:r>
    </w:p>
    <w:p w14:paraId="35B46004">
      <w:pPr>
        <w:numPr>
          <w:ilvl w:val="0"/>
          <w:numId w:val="5"/>
        </w:numPr>
        <w:shd w:val="clear"/>
        <w:adjustRightInd w:val="0"/>
        <w:snapToGrid w:val="0"/>
        <w:spacing w:line="360" w:lineRule="auto"/>
        <w:ind w:firstLine="496" w:firstLineChars="206"/>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商务技术分</w:t>
      </w:r>
      <w:r>
        <w:rPr>
          <w:rFonts w:hint="eastAsia" w:ascii="宋体" w:hAnsi="宋体" w:eastAsia="宋体" w:cs="宋体"/>
          <w:b/>
          <w:color w:val="auto"/>
          <w:sz w:val="24"/>
          <w:highlight w:val="none"/>
          <w:lang w:val="zh-CN"/>
        </w:rPr>
        <w:t>：</w:t>
      </w:r>
      <w:r>
        <w:rPr>
          <w:rFonts w:hint="eastAsia" w:ascii="宋体" w:hAnsi="宋体" w:cs="宋体"/>
          <w:b/>
          <w:color w:val="auto"/>
          <w:sz w:val="24"/>
          <w:highlight w:val="none"/>
          <w:lang w:val="en-US" w:eastAsia="zh-CN"/>
        </w:rPr>
        <w:t>70</w:t>
      </w:r>
      <w:r>
        <w:rPr>
          <w:rFonts w:hint="eastAsia" w:ascii="宋体" w:hAnsi="宋体" w:eastAsia="宋体" w:cs="宋体"/>
          <w:b/>
          <w:color w:val="auto"/>
          <w:sz w:val="24"/>
          <w:highlight w:val="none"/>
          <w:lang w:val="zh-CN"/>
        </w:rPr>
        <w:t>分</w:t>
      </w:r>
    </w:p>
    <w:p w14:paraId="741F4B62">
      <w:pPr>
        <w:pStyle w:val="6"/>
        <w:keepNext w:val="0"/>
        <w:keepLines w:val="0"/>
        <w:shd w:val="clear"/>
        <w:snapToGrid w:val="0"/>
        <w:spacing w:before="0" w:after="0"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各供应商得分为磋商小组成员评分的算术平均分，分值保留小数点后两位。</w:t>
      </w:r>
    </w:p>
    <w:tbl>
      <w:tblPr>
        <w:tblStyle w:val="53"/>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6253"/>
        <w:gridCol w:w="907"/>
      </w:tblGrid>
      <w:tr w14:paraId="5B78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78" w:type="dxa"/>
            <w:vAlign w:val="center"/>
          </w:tcPr>
          <w:p w14:paraId="108E5CF8">
            <w:pPr>
              <w:shd w:val="clea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评审类别</w:t>
            </w:r>
          </w:p>
        </w:tc>
        <w:tc>
          <w:tcPr>
            <w:tcW w:w="6253" w:type="dxa"/>
            <w:vAlign w:val="center"/>
          </w:tcPr>
          <w:p w14:paraId="41C3C951">
            <w:pPr>
              <w:shd w:val="clea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评审规则</w:t>
            </w:r>
          </w:p>
        </w:tc>
        <w:tc>
          <w:tcPr>
            <w:tcW w:w="907" w:type="dxa"/>
            <w:vAlign w:val="center"/>
          </w:tcPr>
          <w:p w14:paraId="7D907EAB">
            <w:pPr>
              <w:shd w:val="clear"/>
              <w:spacing w:line="4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分值</w:t>
            </w:r>
          </w:p>
        </w:tc>
      </w:tr>
      <w:tr w14:paraId="6813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Align w:val="center"/>
          </w:tcPr>
          <w:p w14:paraId="2ED69038">
            <w:pPr>
              <w:pStyle w:val="124"/>
              <w:shd w:val="clear"/>
              <w:spacing w:before="22"/>
              <w:ind w:right="127"/>
              <w:jc w:val="center"/>
              <w:rPr>
                <w:b/>
                <w:color w:val="auto"/>
                <w:sz w:val="21"/>
                <w:szCs w:val="21"/>
                <w:highlight w:val="none"/>
              </w:rPr>
            </w:pPr>
            <w:r>
              <w:rPr>
                <w:rFonts w:hint="eastAsia" w:ascii="宋体" w:hAnsi="宋体" w:eastAsia="宋体"/>
                <w:snapToGrid/>
                <w:color w:val="auto"/>
                <w:sz w:val="24"/>
                <w:highlight w:val="none"/>
              </w:rPr>
              <w:t>拟派项目总监理工程师</w:t>
            </w:r>
            <w:r>
              <w:rPr>
                <w:rFonts w:hint="eastAsia" w:ascii="宋体" w:hAnsi="宋体" w:eastAsia="宋体" w:cs="宋体"/>
                <w:color w:val="auto"/>
                <w:sz w:val="24"/>
                <w:highlight w:val="none"/>
              </w:rPr>
              <w:t>业绩</w:t>
            </w:r>
          </w:p>
        </w:tc>
        <w:tc>
          <w:tcPr>
            <w:tcW w:w="6253" w:type="dxa"/>
          </w:tcPr>
          <w:p w14:paraId="6B4B6AAD">
            <w:pPr>
              <w:shd w:val="clea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自20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年1月1日（以竣工验收证明时间为准）以后在本供应商企业任职期内，承担过</w:t>
            </w:r>
            <w:r>
              <w:rPr>
                <w:rFonts w:hint="eastAsia" w:ascii="宋体" w:hAnsi="宋体" w:eastAsia="宋体" w:cs="宋体"/>
                <w:color w:val="auto"/>
                <w:sz w:val="24"/>
                <w:highlight w:val="none"/>
                <w:lang w:val="en-US" w:eastAsia="zh-CN"/>
              </w:rPr>
              <w:t>公共建筑</w:t>
            </w:r>
            <w:r>
              <w:rPr>
                <w:rFonts w:hint="eastAsia" w:ascii="宋体" w:hAnsi="宋体" w:eastAsia="宋体" w:cs="宋体"/>
                <w:color w:val="auto"/>
                <w:sz w:val="24"/>
                <w:highlight w:val="none"/>
              </w:rPr>
              <w:t>的监理，且担任职务为项目总监的，每有一个得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分，最多得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w:t>
            </w:r>
          </w:p>
          <w:p w14:paraId="44A5AAAD">
            <w:pPr>
              <w:shd w:val="clea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每个业绩</w:t>
            </w:r>
            <w:r>
              <w:rPr>
                <w:rFonts w:hint="eastAsia" w:ascii="宋体" w:hAnsi="宋体" w:eastAsia="宋体" w:cs="宋体"/>
                <w:b/>
                <w:bCs/>
                <w:color w:val="auto"/>
                <w:sz w:val="24"/>
                <w:highlight w:val="none"/>
              </w:rPr>
              <w:t>须同时提供</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①中标通知书</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rPr>
              <w:t>监理合同</w:t>
            </w:r>
            <w:r>
              <w:rPr>
                <w:rFonts w:hint="eastAsia" w:ascii="宋体" w:hAnsi="宋体" w:eastAsia="宋体" w:cs="宋体"/>
                <w:b/>
                <w:bCs/>
                <w:color w:val="auto"/>
                <w:sz w:val="24"/>
                <w:highlight w:val="none"/>
                <w:lang w:eastAsia="zh-CN"/>
              </w:rPr>
              <w:t>、②</w:t>
            </w:r>
            <w:r>
              <w:rPr>
                <w:rFonts w:hint="eastAsia" w:ascii="宋体" w:hAnsi="宋体" w:eastAsia="宋体" w:cs="宋体"/>
                <w:b/>
                <w:bCs/>
                <w:color w:val="auto"/>
                <w:sz w:val="24"/>
                <w:highlight w:val="none"/>
              </w:rPr>
              <w:t>竣工验收证明</w:t>
            </w:r>
            <w:r>
              <w:rPr>
                <w:rFonts w:hint="eastAsia" w:ascii="宋体" w:hAnsi="宋体" w:eastAsia="宋体" w:cs="宋体"/>
                <w:b/>
                <w:bCs/>
                <w:color w:val="auto"/>
                <w:sz w:val="24"/>
                <w:highlight w:val="none"/>
                <w:lang w:eastAsia="zh-CN"/>
              </w:rPr>
              <w:t>材料的</w:t>
            </w:r>
            <w:r>
              <w:rPr>
                <w:rFonts w:hint="eastAsia" w:ascii="宋体" w:hAnsi="宋体" w:eastAsia="宋体" w:cs="宋体"/>
                <w:b/>
                <w:bCs/>
                <w:color w:val="auto"/>
                <w:sz w:val="24"/>
                <w:highlight w:val="none"/>
              </w:rPr>
              <w:t>扫描</w:t>
            </w:r>
            <w:r>
              <w:rPr>
                <w:rFonts w:hint="eastAsia" w:ascii="宋体" w:hAnsi="宋体" w:eastAsia="宋体" w:cs="宋体"/>
                <w:b/>
                <w:bCs/>
                <w:color w:val="auto"/>
                <w:sz w:val="24"/>
                <w:highlight w:val="none"/>
                <w:lang w:eastAsia="zh-CN"/>
              </w:rPr>
              <w:t>打印</w:t>
            </w:r>
            <w:r>
              <w:rPr>
                <w:rFonts w:hint="eastAsia" w:ascii="宋体" w:hAnsi="宋体" w:eastAsia="宋体" w:cs="宋体"/>
                <w:b/>
                <w:bCs/>
                <w:color w:val="auto"/>
                <w:sz w:val="24"/>
                <w:highlight w:val="none"/>
              </w:rPr>
              <w:t>件或复印件，否则不得分。如上述材料中不能完全体现项目总监理工程师姓名等评审要素的，供应商须提供发包人的证明材料。</w:t>
            </w:r>
            <w:r>
              <w:rPr>
                <w:rFonts w:hint="eastAsia" w:ascii="宋体" w:hAnsi="宋体" w:eastAsia="宋体" w:cs="宋体"/>
                <w:b/>
                <w:bCs/>
                <w:color w:val="auto"/>
                <w:sz w:val="24"/>
                <w:highlight w:val="none"/>
                <w:lang w:eastAsia="zh-CN"/>
              </w:rPr>
              <w:t>若</w:t>
            </w:r>
            <w:r>
              <w:rPr>
                <w:rFonts w:hint="eastAsia" w:ascii="宋体" w:hAnsi="宋体" w:eastAsia="宋体" w:cs="宋体"/>
                <w:b/>
                <w:bCs/>
                <w:color w:val="auto"/>
                <w:sz w:val="24"/>
                <w:highlight w:val="none"/>
                <w:lang w:val="en-US" w:eastAsia="zh-CN"/>
              </w:rPr>
              <w:t>总监理工程师发生变更的，属于变更后总监的业绩，供应商须提供变更证明。</w:t>
            </w:r>
          </w:p>
          <w:p w14:paraId="110AEBBF">
            <w:pPr>
              <w:pStyle w:val="124"/>
              <w:numPr>
                <w:ilvl w:val="0"/>
                <w:numId w:val="0"/>
              </w:numPr>
              <w:shd w:val="clear"/>
              <w:spacing w:before="75"/>
              <w:ind w:left="360" w:leftChars="0" w:hanging="360" w:firstLineChars="0"/>
              <w:rPr>
                <w:rFonts w:hint="eastAsia" w:ascii="宋体" w:hAnsi="宋体" w:eastAsia="宋体" w:cs="宋体"/>
                <w:b/>
                <w:bCs/>
                <w:color w:val="auto"/>
                <w:kern w:val="0"/>
                <w:sz w:val="24"/>
                <w:szCs w:val="22"/>
                <w:highlight w:val="none"/>
                <w:lang w:val="en-US" w:eastAsia="zh-CN" w:bidi="zh-CN"/>
              </w:rPr>
            </w:pPr>
            <w:r>
              <w:rPr>
                <w:rFonts w:hint="eastAsia" w:ascii="宋体" w:hAnsi="宋体" w:eastAsia="宋体" w:cs="宋体"/>
                <w:b/>
                <w:bCs/>
                <w:color w:val="auto"/>
                <w:kern w:val="0"/>
                <w:sz w:val="24"/>
                <w:szCs w:val="22"/>
                <w:highlight w:val="none"/>
                <w:lang w:val="en-US" w:eastAsia="zh-CN" w:bidi="zh-CN"/>
              </w:rPr>
              <w:t>注：所有扫描打印件或复印件须加盖供应商公章。原件备</w:t>
            </w:r>
          </w:p>
          <w:p w14:paraId="7A748FB4">
            <w:pPr>
              <w:pStyle w:val="124"/>
              <w:numPr>
                <w:ilvl w:val="0"/>
                <w:numId w:val="0"/>
              </w:numPr>
              <w:shd w:val="clear"/>
              <w:spacing w:before="75"/>
              <w:ind w:leftChars="0"/>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2"/>
                <w:highlight w:val="none"/>
                <w:lang w:val="en-US" w:eastAsia="zh-CN" w:bidi="zh-CN"/>
              </w:rPr>
              <w:t>查。</w:t>
            </w:r>
          </w:p>
        </w:tc>
        <w:tc>
          <w:tcPr>
            <w:tcW w:w="907" w:type="dxa"/>
            <w:vAlign w:val="center"/>
          </w:tcPr>
          <w:p w14:paraId="4B04D138">
            <w:pPr>
              <w:pStyle w:val="124"/>
              <w:shd w:val="clear"/>
              <w:jc w:val="center"/>
              <w:rPr>
                <w:rFonts w:hint="default" w:eastAsia="宋体"/>
                <w:b/>
                <w:color w:val="auto"/>
                <w:sz w:val="21"/>
                <w:szCs w:val="21"/>
                <w:highlight w:val="none"/>
                <w:lang w:val="en-US" w:eastAsia="zh-CN"/>
              </w:rPr>
            </w:pPr>
            <w:r>
              <w:rPr>
                <w:rFonts w:hint="eastAsia"/>
                <w:b/>
                <w:color w:val="auto"/>
                <w:sz w:val="21"/>
                <w:szCs w:val="21"/>
                <w:highlight w:val="none"/>
                <w:lang w:val="en-US" w:eastAsia="zh-CN"/>
              </w:rPr>
              <w:t>10</w:t>
            </w:r>
          </w:p>
        </w:tc>
      </w:tr>
      <w:tr w14:paraId="232C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restart"/>
            <w:vAlign w:val="center"/>
          </w:tcPr>
          <w:p w14:paraId="64F9A760">
            <w:pPr>
              <w:pStyle w:val="124"/>
              <w:shd w:val="clear"/>
              <w:ind w:right="2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拟派项目总监理工程师资信</w:t>
            </w:r>
          </w:p>
          <w:p w14:paraId="4F62F5F2">
            <w:pPr>
              <w:pStyle w:val="124"/>
              <w:shd w:val="clear"/>
              <w:ind w:right="233"/>
              <w:jc w:val="center"/>
              <w:rPr>
                <w:color w:val="auto"/>
                <w:sz w:val="21"/>
                <w:szCs w:val="21"/>
                <w:highlight w:val="none"/>
              </w:rPr>
            </w:pPr>
          </w:p>
        </w:tc>
        <w:tc>
          <w:tcPr>
            <w:tcW w:w="6253" w:type="dxa"/>
          </w:tcPr>
          <w:p w14:paraId="0B9C92BD">
            <w:pPr>
              <w:shd w:val="clea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具备国家注册监理工程师执业资格满</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年及以上的，得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分；具备国家注册监理工程师执业资格满</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年及以上的，得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。最多得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p>
          <w:p w14:paraId="2233A735">
            <w:pPr>
              <w:pStyle w:val="126"/>
              <w:shd w:val="clear"/>
              <w:rPr>
                <w:rFonts w:hint="eastAsia" w:ascii="宋体" w:hAnsi="宋体" w:eastAsia="宋体" w:cs="宋体"/>
                <w:color w:val="auto"/>
                <w:sz w:val="24"/>
                <w:highlight w:val="none"/>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color w:val="auto"/>
                <w:sz w:val="24"/>
                <w:highlight w:val="none"/>
              </w:rPr>
              <w:t>具有建设工程类高级工程师职称证书的，得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14:paraId="47628CB5">
            <w:pPr>
              <w:pStyle w:val="124"/>
              <w:keepNext w:val="0"/>
              <w:keepLines w:val="0"/>
              <w:pageBreakBefore w:val="0"/>
              <w:widowControl w:val="0"/>
              <w:numPr>
                <w:ilvl w:val="0"/>
                <w:numId w:val="0"/>
              </w:numPr>
              <w:shd w:val="clear"/>
              <w:kinsoku/>
              <w:wordWrap/>
              <w:overflowPunct/>
              <w:topLinePunct w:val="0"/>
              <w:autoSpaceDE w:val="0"/>
              <w:autoSpaceDN w:val="0"/>
              <w:bidi w:val="0"/>
              <w:adjustRightInd/>
              <w:snapToGrid/>
              <w:spacing w:before="75"/>
              <w:ind w:left="0" w:leftChars="0" w:firstLine="0" w:firstLineChars="0"/>
              <w:textAlignment w:val="auto"/>
              <w:rPr>
                <w:rFonts w:hint="eastAsia" w:ascii="宋体" w:hAnsi="宋体" w:eastAsia="宋体" w:cs="宋体"/>
                <w:b/>
                <w:bCs/>
                <w:color w:val="auto"/>
                <w:kern w:val="0"/>
                <w:sz w:val="24"/>
                <w:szCs w:val="22"/>
                <w:highlight w:val="none"/>
                <w:lang w:val="en-US" w:eastAsia="zh-CN" w:bidi="zh-CN"/>
              </w:rPr>
            </w:pPr>
            <w:r>
              <w:rPr>
                <w:rFonts w:hint="eastAsia" w:ascii="宋体" w:hAnsi="宋体" w:eastAsia="宋体" w:cs="宋体"/>
                <w:b/>
                <w:bCs/>
                <w:color w:val="auto"/>
                <w:kern w:val="0"/>
                <w:sz w:val="24"/>
                <w:szCs w:val="22"/>
                <w:highlight w:val="none"/>
                <w:lang w:val="en-US" w:eastAsia="zh-CN" w:bidi="zh-CN"/>
              </w:rPr>
              <w:t>注：执业资格年限以国家监理工程师执业资格证书载明的签发日期起算。</w:t>
            </w:r>
          </w:p>
          <w:p w14:paraId="43E43F62">
            <w:pPr>
              <w:pStyle w:val="52"/>
              <w:shd w:val="clear"/>
              <w:snapToGrid w:val="0"/>
              <w:spacing w:after="0"/>
              <w:ind w:left="0" w:leftChars="0" w:firstLine="0" w:firstLineChars="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须提供</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项目总监</w:t>
            </w:r>
            <w:r>
              <w:rPr>
                <w:rFonts w:hint="eastAsia" w:ascii="宋体" w:hAnsi="宋体" w:cs="宋体"/>
                <w:b/>
                <w:bCs/>
                <w:color w:val="auto"/>
                <w:sz w:val="24"/>
                <w:highlight w:val="none"/>
                <w:lang w:val="en-US" w:eastAsia="zh-CN"/>
              </w:rPr>
              <w:t>的国家监理工程师执业资格</w:t>
            </w:r>
            <w:r>
              <w:rPr>
                <w:rFonts w:hint="eastAsia" w:ascii="宋体" w:hAnsi="宋体" w:eastAsia="宋体" w:cs="宋体"/>
                <w:b/>
                <w:bCs/>
                <w:color w:val="auto"/>
                <w:sz w:val="24"/>
                <w:highlight w:val="none"/>
                <w:lang w:val="en-US" w:eastAsia="zh-CN"/>
              </w:rPr>
              <w:t>证书、职称证书原件的</w:t>
            </w:r>
            <w:r>
              <w:rPr>
                <w:rFonts w:hint="eastAsia" w:ascii="宋体" w:hAnsi="宋体" w:eastAsia="宋体" w:cs="宋体"/>
                <w:b/>
                <w:bCs/>
                <w:color w:val="auto"/>
                <w:sz w:val="24"/>
                <w:highlight w:val="none"/>
              </w:rPr>
              <w:t>扫描</w:t>
            </w:r>
            <w:r>
              <w:rPr>
                <w:rFonts w:hint="eastAsia" w:ascii="宋体" w:hAnsi="宋体" w:eastAsia="宋体" w:cs="宋体"/>
                <w:b/>
                <w:bCs/>
                <w:color w:val="auto"/>
                <w:sz w:val="24"/>
                <w:highlight w:val="none"/>
                <w:lang w:eastAsia="zh-CN"/>
              </w:rPr>
              <w:t>打印</w:t>
            </w:r>
            <w:r>
              <w:rPr>
                <w:rFonts w:hint="eastAsia" w:ascii="宋体" w:hAnsi="宋体" w:eastAsia="宋体" w:cs="宋体"/>
                <w:b/>
                <w:bCs/>
                <w:color w:val="auto"/>
                <w:sz w:val="24"/>
                <w:highlight w:val="none"/>
              </w:rPr>
              <w:t>件或复印件</w:t>
            </w:r>
            <w:r>
              <w:rPr>
                <w:rFonts w:hint="eastAsia" w:ascii="宋体" w:hAnsi="宋体" w:eastAsia="宋体" w:cs="宋体"/>
                <w:b/>
                <w:bCs/>
                <w:color w:val="auto"/>
                <w:sz w:val="24"/>
                <w:highlight w:val="none"/>
                <w:lang w:val="en-US" w:eastAsia="zh-CN"/>
              </w:rPr>
              <w:t>。</w:t>
            </w:r>
          </w:p>
          <w:p w14:paraId="50D2714A">
            <w:pPr>
              <w:pStyle w:val="124"/>
              <w:keepNext w:val="0"/>
              <w:keepLines w:val="0"/>
              <w:pageBreakBefore w:val="0"/>
              <w:widowControl w:val="0"/>
              <w:numPr>
                <w:ilvl w:val="0"/>
                <w:numId w:val="0"/>
              </w:numPr>
              <w:shd w:val="clear"/>
              <w:kinsoku/>
              <w:wordWrap/>
              <w:overflowPunct/>
              <w:topLinePunct w:val="0"/>
              <w:autoSpaceDE w:val="0"/>
              <w:autoSpaceDN w:val="0"/>
              <w:bidi w:val="0"/>
              <w:adjustRightInd/>
              <w:snapToGrid/>
              <w:spacing w:before="75"/>
              <w:ind w:left="0" w:leftChars="0" w:firstLine="0" w:firstLineChars="0"/>
              <w:textAlignment w:val="auto"/>
              <w:rPr>
                <w:rFonts w:hint="eastAsia" w:ascii="Times New Roman" w:eastAsia="宋体"/>
                <w:color w:val="auto"/>
                <w:sz w:val="21"/>
                <w:szCs w:val="21"/>
                <w:highlight w:val="none"/>
                <w:lang w:val="en-US" w:eastAsia="zh-CN"/>
              </w:rPr>
            </w:pPr>
            <w:r>
              <w:rPr>
                <w:rFonts w:hint="eastAsia" w:ascii="宋体" w:hAnsi="宋体" w:eastAsia="宋体" w:cs="宋体"/>
                <w:b/>
                <w:bCs/>
                <w:color w:val="auto"/>
                <w:kern w:val="0"/>
                <w:sz w:val="24"/>
                <w:szCs w:val="22"/>
                <w:highlight w:val="none"/>
                <w:lang w:val="en-US" w:eastAsia="zh-CN" w:bidi="zh-CN"/>
              </w:rPr>
              <w:t>注：所有扫描打印件或复印件须加盖供应商公章。原件备查。</w:t>
            </w:r>
          </w:p>
        </w:tc>
        <w:tc>
          <w:tcPr>
            <w:tcW w:w="907" w:type="dxa"/>
            <w:vAlign w:val="center"/>
          </w:tcPr>
          <w:p w14:paraId="3A2B2986">
            <w:pPr>
              <w:pStyle w:val="124"/>
              <w:shd w:val="clear"/>
              <w:jc w:val="center"/>
              <w:rPr>
                <w:rFonts w:hint="default"/>
                <w:b/>
                <w:color w:val="auto"/>
                <w:sz w:val="21"/>
                <w:szCs w:val="21"/>
                <w:highlight w:val="none"/>
                <w:lang w:val="en-US" w:eastAsia="zh-CN"/>
              </w:rPr>
            </w:pPr>
            <w:r>
              <w:rPr>
                <w:rFonts w:hint="eastAsia"/>
                <w:b/>
                <w:color w:val="auto"/>
                <w:sz w:val="21"/>
                <w:szCs w:val="21"/>
                <w:highlight w:val="none"/>
                <w:lang w:val="en-US" w:eastAsia="zh-CN"/>
              </w:rPr>
              <w:t>10</w:t>
            </w:r>
          </w:p>
        </w:tc>
      </w:tr>
      <w:tr w14:paraId="2742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continue"/>
            <w:vAlign w:val="center"/>
          </w:tcPr>
          <w:p w14:paraId="4B72E059">
            <w:pPr>
              <w:pStyle w:val="124"/>
              <w:shd w:val="clear"/>
              <w:ind w:right="233"/>
              <w:jc w:val="center"/>
              <w:rPr>
                <w:color w:val="auto"/>
                <w:sz w:val="21"/>
                <w:szCs w:val="21"/>
                <w:highlight w:val="none"/>
              </w:rPr>
            </w:pPr>
          </w:p>
        </w:tc>
        <w:tc>
          <w:tcPr>
            <w:tcW w:w="6253" w:type="dxa"/>
          </w:tcPr>
          <w:p w14:paraId="00B3B1F7">
            <w:pPr>
              <w:shd w:val="clea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拟派项目总监20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年1月1日以来（以文件或荣誉证书载明的日期为准），获得</w:t>
            </w:r>
            <w:r>
              <w:rPr>
                <w:rFonts w:hint="eastAsia" w:ascii="宋体" w:hAnsi="宋体" w:eastAsia="宋体" w:cs="宋体"/>
                <w:color w:val="auto"/>
                <w:sz w:val="24"/>
                <w:highlight w:val="none"/>
                <w:lang w:eastAsia="zh-CN"/>
              </w:rPr>
              <w:t>省</w:t>
            </w:r>
            <w:r>
              <w:rPr>
                <w:rFonts w:hint="eastAsia" w:ascii="宋体" w:hAnsi="宋体" w:eastAsia="宋体" w:cs="宋体"/>
                <w:color w:val="auto"/>
                <w:sz w:val="24"/>
                <w:highlight w:val="none"/>
              </w:rPr>
              <w:t>级及以上建设</w:t>
            </w:r>
            <w:r>
              <w:rPr>
                <w:rFonts w:hint="eastAsia" w:ascii="宋体" w:hAnsi="宋体" w:eastAsia="宋体" w:cs="宋体"/>
                <w:color w:val="auto"/>
                <w:sz w:val="24"/>
                <w:highlight w:val="none"/>
                <w:lang w:eastAsia="zh-CN"/>
              </w:rPr>
              <w:t>行政主管部门或</w:t>
            </w:r>
            <w:r>
              <w:rPr>
                <w:rFonts w:hint="eastAsia" w:ascii="宋体" w:hAnsi="宋体" w:eastAsia="宋体" w:cs="宋体"/>
                <w:color w:val="auto"/>
                <w:sz w:val="24"/>
                <w:highlight w:val="none"/>
              </w:rPr>
              <w:t>建设监理协会颁发的优秀总监理工程师的，得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分；获得市级建设</w:t>
            </w:r>
            <w:r>
              <w:rPr>
                <w:rFonts w:hint="eastAsia" w:ascii="宋体" w:hAnsi="宋体" w:eastAsia="宋体" w:cs="宋体"/>
                <w:color w:val="auto"/>
                <w:sz w:val="24"/>
                <w:highlight w:val="none"/>
                <w:lang w:eastAsia="zh-CN"/>
              </w:rPr>
              <w:t>行政主管部门或</w:t>
            </w:r>
            <w:r>
              <w:rPr>
                <w:rFonts w:hint="eastAsia" w:ascii="宋体" w:hAnsi="宋体" w:eastAsia="宋体" w:cs="宋体"/>
                <w:color w:val="auto"/>
                <w:sz w:val="24"/>
                <w:highlight w:val="none"/>
              </w:rPr>
              <w:t>建设监理协会颁发的优秀总监理工程师的，得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1F81A558">
            <w:pPr>
              <w:shd w:val="clea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本项最高得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6448F96A">
            <w:pPr>
              <w:pStyle w:val="124"/>
              <w:keepNext w:val="0"/>
              <w:keepLines w:val="0"/>
              <w:pageBreakBefore w:val="0"/>
              <w:widowControl w:val="0"/>
              <w:numPr>
                <w:ilvl w:val="0"/>
                <w:numId w:val="0"/>
              </w:numPr>
              <w:shd w:val="clear"/>
              <w:kinsoku/>
              <w:wordWrap/>
              <w:overflowPunct/>
              <w:topLinePunct w:val="0"/>
              <w:autoSpaceDE w:val="0"/>
              <w:autoSpaceDN w:val="0"/>
              <w:bidi w:val="0"/>
              <w:adjustRightInd/>
              <w:snapToGrid/>
              <w:spacing w:before="75"/>
              <w:ind w:left="0" w:leftChars="0" w:firstLine="0" w:firstLineChars="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0"/>
                <w:sz w:val="24"/>
                <w:szCs w:val="22"/>
                <w:highlight w:val="none"/>
                <w:lang w:val="en-US" w:eastAsia="zh-CN" w:bidi="zh-CN"/>
              </w:rPr>
              <w:t>注：须提供相关获奖证书或文件的扫描打印件或复印件。所有扫描打印件或复印件须加盖供应商公章。原件备查。</w:t>
            </w:r>
          </w:p>
        </w:tc>
        <w:tc>
          <w:tcPr>
            <w:tcW w:w="907" w:type="dxa"/>
            <w:vAlign w:val="center"/>
          </w:tcPr>
          <w:p w14:paraId="345264FE">
            <w:pPr>
              <w:pStyle w:val="124"/>
              <w:shd w:val="clear"/>
              <w:jc w:val="center"/>
              <w:rPr>
                <w:rFonts w:hint="default" w:eastAsia="宋体"/>
                <w:b/>
                <w:color w:val="auto"/>
                <w:sz w:val="21"/>
                <w:szCs w:val="21"/>
                <w:highlight w:val="none"/>
                <w:lang w:val="en-US" w:eastAsia="zh-CN"/>
              </w:rPr>
            </w:pPr>
            <w:r>
              <w:rPr>
                <w:rFonts w:hint="eastAsia"/>
                <w:b/>
                <w:color w:val="auto"/>
                <w:sz w:val="21"/>
                <w:szCs w:val="21"/>
                <w:highlight w:val="none"/>
                <w:lang w:val="en-US" w:eastAsia="zh-CN"/>
              </w:rPr>
              <w:t>2</w:t>
            </w:r>
          </w:p>
        </w:tc>
      </w:tr>
      <w:tr w14:paraId="004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6" w:hRule="atLeast"/>
          <w:jc w:val="center"/>
        </w:trPr>
        <w:tc>
          <w:tcPr>
            <w:tcW w:w="1778" w:type="dxa"/>
            <w:vAlign w:val="center"/>
          </w:tcPr>
          <w:p w14:paraId="2CC20488">
            <w:pPr>
              <w:pStyle w:val="124"/>
              <w:shd w:val="clear"/>
              <w:ind w:right="233"/>
              <w:jc w:val="center"/>
              <w:rPr>
                <w:rFonts w:hint="eastAsia" w:eastAsia="宋体"/>
                <w:b/>
                <w:color w:val="auto"/>
                <w:sz w:val="21"/>
                <w:szCs w:val="21"/>
                <w:highlight w:val="none"/>
                <w:lang w:val="en-US" w:eastAsia="zh-CN"/>
              </w:rPr>
            </w:pPr>
            <w:r>
              <w:rPr>
                <w:rFonts w:hint="eastAsia" w:ascii="宋体" w:hAnsi="宋体" w:eastAsia="宋体" w:cs="宋体"/>
                <w:color w:val="auto"/>
                <w:sz w:val="24"/>
                <w:highlight w:val="none"/>
                <w:lang w:val="en-US" w:eastAsia="zh-CN"/>
              </w:rPr>
              <w:t>拟派专监工程师资信</w:t>
            </w:r>
          </w:p>
        </w:tc>
        <w:tc>
          <w:tcPr>
            <w:tcW w:w="6253" w:type="dxa"/>
          </w:tcPr>
          <w:p w14:paraId="0A449636">
            <w:pPr>
              <w:pStyle w:val="124"/>
              <w:shd w:val="clear"/>
              <w:spacing w:before="11"/>
              <w:rPr>
                <w:rFonts w:hint="eastAsia" w:ascii="宋体" w:hAnsi="宋体" w:cs="宋体"/>
                <w:bCs/>
                <w:color w:val="auto"/>
                <w:kern w:val="0"/>
                <w:sz w:val="24"/>
                <w:szCs w:val="24"/>
                <w:highlight w:val="none"/>
                <w:lang w:bidi="zh-CN"/>
              </w:rPr>
            </w:pPr>
            <w:r>
              <w:rPr>
                <w:rFonts w:hint="eastAsia" w:ascii="宋体" w:hAnsi="宋体" w:cs="宋体"/>
                <w:bCs/>
                <w:color w:val="auto"/>
                <w:kern w:val="0"/>
                <w:sz w:val="24"/>
                <w:szCs w:val="24"/>
                <w:highlight w:val="none"/>
                <w:lang w:bidi="zh-CN"/>
              </w:rPr>
              <w:t>（1）拟派专业监理工程师</w:t>
            </w:r>
            <w:r>
              <w:rPr>
                <w:rFonts w:hint="eastAsia" w:cs="宋体"/>
                <w:bCs/>
                <w:color w:val="auto"/>
                <w:kern w:val="0"/>
                <w:sz w:val="24"/>
                <w:szCs w:val="24"/>
                <w:highlight w:val="none"/>
                <w:lang w:val="en-US" w:bidi="zh-CN"/>
              </w:rPr>
              <w:t>1</w:t>
            </w:r>
            <w:r>
              <w:rPr>
                <w:rFonts w:hint="eastAsia" w:ascii="宋体" w:hAnsi="宋体" w:cs="宋体"/>
                <w:bCs/>
                <w:color w:val="auto"/>
                <w:kern w:val="0"/>
                <w:sz w:val="24"/>
                <w:szCs w:val="24"/>
                <w:highlight w:val="none"/>
                <w:lang w:bidi="zh-CN"/>
              </w:rPr>
              <w:t>：具备国家注册监理工程师资格的且注册专业为房屋建筑工程得</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分，同时执业年限满</w:t>
            </w:r>
            <w:r>
              <w:rPr>
                <w:rFonts w:hint="eastAsia" w:cs="宋体"/>
                <w:bCs/>
                <w:color w:val="auto"/>
                <w:kern w:val="0"/>
                <w:sz w:val="24"/>
                <w:szCs w:val="24"/>
                <w:highlight w:val="none"/>
                <w:lang w:val="en-US" w:bidi="zh-CN"/>
              </w:rPr>
              <w:t>5</w:t>
            </w:r>
            <w:r>
              <w:rPr>
                <w:rFonts w:hint="eastAsia" w:ascii="宋体" w:hAnsi="宋体" w:cs="宋体"/>
                <w:bCs/>
                <w:color w:val="auto"/>
                <w:kern w:val="0"/>
                <w:sz w:val="24"/>
                <w:szCs w:val="24"/>
                <w:highlight w:val="none"/>
                <w:lang w:bidi="zh-CN"/>
              </w:rPr>
              <w:t>年得1分（</w:t>
            </w:r>
            <w:r>
              <w:rPr>
                <w:rFonts w:hint="eastAsia" w:ascii="宋体" w:hAnsi="宋体" w:cs="宋体"/>
                <w:bCs/>
                <w:color w:val="auto"/>
                <w:kern w:val="0"/>
                <w:sz w:val="24"/>
                <w:szCs w:val="24"/>
                <w:highlight w:val="none"/>
                <w:lang w:val="en-US" w:eastAsia="zh-CN" w:bidi="zh-CN"/>
              </w:rPr>
              <w:t>年限以国家</w:t>
            </w:r>
            <w:r>
              <w:rPr>
                <w:rFonts w:hint="eastAsia" w:ascii="宋体" w:hAnsi="宋体" w:cs="宋体"/>
                <w:bCs/>
                <w:color w:val="auto"/>
                <w:kern w:val="0"/>
                <w:sz w:val="24"/>
                <w:szCs w:val="24"/>
                <w:highlight w:val="none"/>
                <w:lang w:bidi="zh-CN"/>
              </w:rPr>
              <w:t>监理工程师执业资格证书载明的签发日期</w:t>
            </w:r>
            <w:r>
              <w:rPr>
                <w:rFonts w:hint="eastAsia" w:ascii="宋体" w:hAnsi="宋体" w:cs="宋体"/>
                <w:bCs/>
                <w:color w:val="auto"/>
                <w:kern w:val="0"/>
                <w:sz w:val="24"/>
                <w:szCs w:val="24"/>
                <w:highlight w:val="none"/>
                <w:lang w:eastAsia="zh-CN" w:bidi="zh-CN"/>
              </w:rPr>
              <w:t>起算</w:t>
            </w:r>
            <w:r>
              <w:rPr>
                <w:rFonts w:hint="eastAsia" w:ascii="宋体" w:hAnsi="宋体" w:cs="宋体"/>
                <w:bCs/>
                <w:color w:val="auto"/>
                <w:kern w:val="0"/>
                <w:sz w:val="24"/>
                <w:szCs w:val="24"/>
                <w:highlight w:val="none"/>
                <w:lang w:bidi="zh-CN"/>
              </w:rPr>
              <w:t>）</w:t>
            </w:r>
            <w:r>
              <w:rPr>
                <w:rFonts w:hint="eastAsia" w:cs="宋体"/>
                <w:bCs/>
                <w:color w:val="auto"/>
                <w:kern w:val="0"/>
                <w:sz w:val="24"/>
                <w:szCs w:val="24"/>
                <w:highlight w:val="none"/>
                <w:lang w:bidi="zh-CN"/>
              </w:rPr>
              <w:t>，</w:t>
            </w:r>
            <w:r>
              <w:rPr>
                <w:rFonts w:hint="eastAsia" w:ascii="宋体" w:hAnsi="宋体" w:cs="宋体"/>
                <w:bCs/>
                <w:color w:val="auto"/>
                <w:kern w:val="0"/>
                <w:sz w:val="24"/>
                <w:szCs w:val="24"/>
                <w:highlight w:val="none"/>
                <w:lang w:bidi="zh-CN"/>
              </w:rPr>
              <w:t xml:space="preserve">具备注册一级建造师资格的得 </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 xml:space="preserve"> 分，具备注册一级</w:t>
            </w:r>
            <w:r>
              <w:rPr>
                <w:rFonts w:hint="eastAsia" w:ascii="宋体" w:hAnsi="宋体" w:cs="宋体"/>
                <w:bCs/>
                <w:color w:val="auto"/>
                <w:kern w:val="0"/>
                <w:sz w:val="24"/>
                <w:szCs w:val="24"/>
                <w:highlight w:val="none"/>
                <w:lang w:val="en-US" w:bidi="zh-CN"/>
              </w:rPr>
              <w:t>造价师</w:t>
            </w:r>
            <w:r>
              <w:rPr>
                <w:rFonts w:hint="eastAsia" w:ascii="宋体" w:hAnsi="宋体" w:cs="宋体"/>
                <w:bCs/>
                <w:color w:val="auto"/>
                <w:kern w:val="0"/>
                <w:sz w:val="24"/>
                <w:szCs w:val="24"/>
                <w:highlight w:val="none"/>
                <w:lang w:bidi="zh-CN"/>
              </w:rPr>
              <w:t>资格</w:t>
            </w:r>
            <w:r>
              <w:rPr>
                <w:rFonts w:hint="eastAsia" w:cs="宋体"/>
                <w:bCs/>
                <w:color w:val="auto"/>
                <w:kern w:val="0"/>
                <w:sz w:val="24"/>
                <w:szCs w:val="24"/>
                <w:highlight w:val="none"/>
                <w:lang w:bidi="zh-CN"/>
              </w:rPr>
              <w:t>得</w:t>
            </w:r>
            <w:r>
              <w:rPr>
                <w:rFonts w:hint="eastAsia" w:cs="宋体"/>
                <w:bCs/>
                <w:color w:val="auto"/>
                <w:kern w:val="0"/>
                <w:sz w:val="24"/>
                <w:szCs w:val="24"/>
                <w:highlight w:val="none"/>
                <w:lang w:val="en-US" w:bidi="zh-CN"/>
              </w:rPr>
              <w:t>2分，</w:t>
            </w:r>
            <w:r>
              <w:rPr>
                <w:rFonts w:hint="eastAsia" w:ascii="宋体" w:hAnsi="宋体" w:cs="宋体"/>
                <w:bCs/>
                <w:color w:val="auto"/>
                <w:kern w:val="0"/>
                <w:sz w:val="24"/>
                <w:szCs w:val="24"/>
                <w:highlight w:val="none"/>
                <w:lang w:bidi="zh-CN"/>
              </w:rPr>
              <w:t>具备建设工程类高级工程师得</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分，最多得</w:t>
            </w:r>
            <w:r>
              <w:rPr>
                <w:rFonts w:hint="eastAsia" w:cs="宋体"/>
                <w:bCs/>
                <w:color w:val="auto"/>
                <w:kern w:val="0"/>
                <w:sz w:val="24"/>
                <w:szCs w:val="24"/>
                <w:highlight w:val="none"/>
                <w:lang w:val="en-US" w:bidi="zh-CN"/>
              </w:rPr>
              <w:t>9</w:t>
            </w:r>
            <w:r>
              <w:rPr>
                <w:rFonts w:hint="eastAsia" w:ascii="宋体" w:hAnsi="宋体" w:cs="宋体"/>
                <w:bCs/>
                <w:color w:val="auto"/>
                <w:kern w:val="0"/>
                <w:sz w:val="24"/>
                <w:szCs w:val="24"/>
                <w:highlight w:val="none"/>
                <w:lang w:bidi="zh-CN"/>
              </w:rPr>
              <w:t>分</w:t>
            </w:r>
            <w:r>
              <w:rPr>
                <w:rFonts w:hint="eastAsia" w:cs="宋体"/>
                <w:bCs/>
                <w:color w:val="auto"/>
                <w:kern w:val="0"/>
                <w:sz w:val="24"/>
                <w:szCs w:val="24"/>
                <w:highlight w:val="none"/>
                <w:lang w:bidi="zh-CN"/>
              </w:rPr>
              <w:t>。</w:t>
            </w:r>
          </w:p>
          <w:p w14:paraId="1D7C6BB2">
            <w:pPr>
              <w:pStyle w:val="124"/>
              <w:shd w:val="clear"/>
              <w:spacing w:before="11"/>
              <w:rPr>
                <w:rFonts w:hint="eastAsia" w:ascii="宋体" w:hAnsi="宋体" w:eastAsia="宋体" w:cs="宋体"/>
                <w:bCs/>
                <w:color w:val="auto"/>
                <w:kern w:val="0"/>
                <w:sz w:val="24"/>
                <w:szCs w:val="24"/>
                <w:highlight w:val="none"/>
                <w:lang w:val="en-US" w:eastAsia="zh-CN" w:bidi="zh-CN"/>
              </w:rPr>
            </w:pPr>
            <w:r>
              <w:rPr>
                <w:rFonts w:hint="eastAsia" w:ascii="宋体" w:hAnsi="宋体" w:cs="宋体"/>
                <w:bCs/>
                <w:color w:val="auto"/>
                <w:kern w:val="0"/>
                <w:sz w:val="24"/>
                <w:szCs w:val="24"/>
                <w:highlight w:val="none"/>
                <w:lang w:bidi="zh-CN"/>
              </w:rPr>
              <w:t>（2）拟派专业监理工程师2：具备国家注册监理工程师资格的且注册专业为</w:t>
            </w:r>
            <w:r>
              <w:rPr>
                <w:rFonts w:ascii="宋体" w:hAnsi="宋体" w:cs="宋体"/>
                <w:color w:val="auto"/>
                <w:sz w:val="24"/>
                <w:szCs w:val="24"/>
                <w:highlight w:val="none"/>
              </w:rPr>
              <w:t>机电</w:t>
            </w:r>
            <w:r>
              <w:rPr>
                <w:rFonts w:hint="eastAsia" w:cs="宋体"/>
                <w:color w:val="auto"/>
                <w:sz w:val="24"/>
                <w:szCs w:val="24"/>
                <w:highlight w:val="none"/>
                <w:lang w:eastAsia="zh-CN"/>
              </w:rPr>
              <w:t>安装</w:t>
            </w:r>
            <w:r>
              <w:rPr>
                <w:rFonts w:ascii="宋体" w:hAnsi="宋体" w:cs="宋体"/>
                <w:color w:val="auto"/>
                <w:sz w:val="24"/>
                <w:szCs w:val="24"/>
                <w:highlight w:val="none"/>
              </w:rPr>
              <w:t>工程专业</w:t>
            </w:r>
            <w:r>
              <w:rPr>
                <w:rFonts w:hint="eastAsia" w:ascii="宋体" w:hAnsi="宋体" w:cs="宋体"/>
                <w:bCs/>
                <w:color w:val="auto"/>
                <w:kern w:val="0"/>
                <w:sz w:val="24"/>
                <w:szCs w:val="24"/>
                <w:highlight w:val="none"/>
                <w:lang w:bidi="zh-CN"/>
              </w:rPr>
              <w:t>得</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分，同时执业年限满</w:t>
            </w:r>
            <w:r>
              <w:rPr>
                <w:rFonts w:hint="eastAsia" w:cs="宋体"/>
                <w:bCs/>
                <w:color w:val="auto"/>
                <w:kern w:val="0"/>
                <w:sz w:val="24"/>
                <w:szCs w:val="24"/>
                <w:highlight w:val="none"/>
                <w:lang w:val="en-US" w:bidi="zh-CN"/>
              </w:rPr>
              <w:t>5</w:t>
            </w:r>
            <w:r>
              <w:rPr>
                <w:rFonts w:hint="eastAsia" w:ascii="宋体" w:hAnsi="宋体" w:cs="宋体"/>
                <w:bCs/>
                <w:color w:val="auto"/>
                <w:kern w:val="0"/>
                <w:sz w:val="24"/>
                <w:szCs w:val="24"/>
                <w:highlight w:val="none"/>
                <w:lang w:bidi="zh-CN"/>
              </w:rPr>
              <w:t>年得1分，（</w:t>
            </w:r>
            <w:r>
              <w:rPr>
                <w:rFonts w:hint="eastAsia" w:ascii="宋体" w:hAnsi="宋体" w:cs="宋体"/>
                <w:bCs/>
                <w:color w:val="auto"/>
                <w:kern w:val="0"/>
                <w:sz w:val="24"/>
                <w:szCs w:val="24"/>
                <w:highlight w:val="none"/>
                <w:lang w:val="en-US" w:eastAsia="zh-CN" w:bidi="zh-CN"/>
              </w:rPr>
              <w:t>年限以国家</w:t>
            </w:r>
            <w:r>
              <w:rPr>
                <w:rFonts w:hint="eastAsia" w:ascii="宋体" w:hAnsi="宋体" w:cs="宋体"/>
                <w:bCs/>
                <w:color w:val="auto"/>
                <w:kern w:val="0"/>
                <w:sz w:val="24"/>
                <w:szCs w:val="24"/>
                <w:highlight w:val="none"/>
                <w:lang w:bidi="zh-CN"/>
              </w:rPr>
              <w:t>监理工程师执业资格证书载明的签发日期</w:t>
            </w:r>
            <w:r>
              <w:rPr>
                <w:rFonts w:hint="eastAsia" w:ascii="宋体" w:hAnsi="宋体" w:cs="宋体"/>
                <w:bCs/>
                <w:color w:val="auto"/>
                <w:kern w:val="0"/>
                <w:sz w:val="24"/>
                <w:szCs w:val="24"/>
                <w:highlight w:val="none"/>
                <w:lang w:eastAsia="zh-CN" w:bidi="zh-CN"/>
              </w:rPr>
              <w:t>起算</w:t>
            </w:r>
            <w:r>
              <w:rPr>
                <w:rFonts w:hint="eastAsia" w:ascii="宋体" w:hAnsi="宋体" w:cs="宋体"/>
                <w:bCs/>
                <w:color w:val="auto"/>
                <w:kern w:val="0"/>
                <w:sz w:val="24"/>
                <w:szCs w:val="24"/>
                <w:highlight w:val="none"/>
                <w:lang w:bidi="zh-CN"/>
              </w:rPr>
              <w:t xml:space="preserve">）。具备注册一级建造师资格的得 </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 xml:space="preserve"> 分，具备一级注册造价工程师资格得</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分，具备建设工程类高级工程师得</w:t>
            </w:r>
            <w:r>
              <w:rPr>
                <w:rFonts w:hint="eastAsia" w:cs="宋体"/>
                <w:bCs/>
                <w:color w:val="auto"/>
                <w:kern w:val="0"/>
                <w:sz w:val="24"/>
                <w:szCs w:val="24"/>
                <w:highlight w:val="none"/>
                <w:lang w:val="en-US" w:bidi="zh-CN"/>
              </w:rPr>
              <w:t>2</w:t>
            </w:r>
            <w:r>
              <w:rPr>
                <w:rFonts w:hint="eastAsia" w:ascii="宋体" w:hAnsi="宋体" w:cs="宋体"/>
                <w:bCs/>
                <w:color w:val="auto"/>
                <w:kern w:val="0"/>
                <w:sz w:val="24"/>
                <w:szCs w:val="24"/>
                <w:highlight w:val="none"/>
                <w:lang w:bidi="zh-CN"/>
              </w:rPr>
              <w:t>分，最多得</w:t>
            </w:r>
            <w:r>
              <w:rPr>
                <w:rFonts w:hint="eastAsia" w:cs="宋体"/>
                <w:bCs/>
                <w:color w:val="auto"/>
                <w:kern w:val="0"/>
                <w:sz w:val="24"/>
                <w:szCs w:val="24"/>
                <w:highlight w:val="none"/>
                <w:lang w:val="en-US" w:bidi="zh-CN"/>
              </w:rPr>
              <w:t>9</w:t>
            </w:r>
            <w:r>
              <w:rPr>
                <w:rFonts w:hint="eastAsia" w:ascii="宋体" w:hAnsi="宋体" w:cs="宋体"/>
                <w:bCs/>
                <w:color w:val="auto"/>
                <w:kern w:val="0"/>
                <w:sz w:val="24"/>
                <w:szCs w:val="24"/>
                <w:highlight w:val="none"/>
                <w:lang w:bidi="zh-CN"/>
              </w:rPr>
              <w:t>分</w:t>
            </w:r>
            <w:r>
              <w:rPr>
                <w:rFonts w:hint="eastAsia" w:cs="宋体"/>
                <w:bCs/>
                <w:color w:val="auto"/>
                <w:kern w:val="0"/>
                <w:sz w:val="24"/>
                <w:szCs w:val="24"/>
                <w:highlight w:val="none"/>
                <w:lang w:eastAsia="zh-CN" w:bidi="zh-CN"/>
              </w:rPr>
              <w:t>。</w:t>
            </w:r>
          </w:p>
          <w:p w14:paraId="6A07C1D3">
            <w:pPr>
              <w:pStyle w:val="124"/>
              <w:shd w:val="clear"/>
              <w:spacing w:before="11"/>
              <w:rPr>
                <w:rFonts w:hint="eastAsia" w:ascii="宋体" w:hAnsi="宋体" w:cs="宋体"/>
                <w:bCs/>
                <w:color w:val="auto"/>
                <w:kern w:val="0"/>
                <w:sz w:val="24"/>
                <w:szCs w:val="24"/>
                <w:highlight w:val="none"/>
                <w:lang w:bidi="zh-CN"/>
              </w:rPr>
            </w:pPr>
            <w:r>
              <w:rPr>
                <w:rFonts w:hint="eastAsia" w:ascii="宋体" w:hAnsi="宋体" w:cs="宋体"/>
                <w:b/>
                <w:bCs w:val="0"/>
                <w:color w:val="auto"/>
                <w:kern w:val="0"/>
                <w:sz w:val="24"/>
                <w:szCs w:val="24"/>
                <w:highlight w:val="none"/>
                <w:lang w:bidi="zh-CN"/>
              </w:rPr>
              <w:t>备注</w:t>
            </w:r>
            <w:r>
              <w:rPr>
                <w:rFonts w:hint="eastAsia" w:ascii="宋体" w:hAnsi="宋体" w:cs="宋体"/>
                <w:bCs/>
                <w:color w:val="auto"/>
                <w:kern w:val="0"/>
                <w:sz w:val="24"/>
                <w:szCs w:val="24"/>
                <w:highlight w:val="none"/>
                <w:lang w:bidi="zh-CN"/>
              </w:rPr>
              <w:t>：</w:t>
            </w:r>
          </w:p>
          <w:p w14:paraId="1165D5C6">
            <w:pPr>
              <w:pStyle w:val="124"/>
              <w:shd w:val="clear"/>
              <w:spacing w:before="11"/>
              <w:rPr>
                <w:rFonts w:hint="eastAsia" w:ascii="宋体" w:hAnsi="宋体" w:cs="宋体"/>
                <w:bCs/>
                <w:color w:val="auto"/>
                <w:kern w:val="0"/>
                <w:sz w:val="24"/>
                <w:szCs w:val="24"/>
                <w:highlight w:val="none"/>
                <w:lang w:bidi="zh-CN"/>
              </w:rPr>
            </w:pPr>
            <w:r>
              <w:rPr>
                <w:rFonts w:hint="eastAsia" w:ascii="宋体" w:hAnsi="宋体" w:cs="宋体"/>
                <w:bCs/>
                <w:color w:val="auto"/>
                <w:kern w:val="0"/>
                <w:sz w:val="24"/>
                <w:szCs w:val="24"/>
                <w:highlight w:val="none"/>
                <w:lang w:bidi="zh-CN"/>
              </w:rPr>
              <w:t>（1）如同一人员同时具备多个证书的，可重复加分，本项最高得分</w:t>
            </w:r>
            <w:r>
              <w:rPr>
                <w:rFonts w:hint="eastAsia" w:cs="宋体"/>
                <w:bCs/>
                <w:color w:val="auto"/>
                <w:kern w:val="0"/>
                <w:sz w:val="24"/>
                <w:szCs w:val="24"/>
                <w:highlight w:val="none"/>
                <w:lang w:val="en-US" w:bidi="zh-CN"/>
              </w:rPr>
              <w:t>18</w:t>
            </w:r>
            <w:r>
              <w:rPr>
                <w:rFonts w:hint="eastAsia" w:ascii="宋体" w:hAnsi="宋体" w:cs="宋体"/>
                <w:bCs/>
                <w:color w:val="auto"/>
                <w:kern w:val="0"/>
                <w:sz w:val="24"/>
                <w:szCs w:val="24"/>
                <w:highlight w:val="none"/>
                <w:lang w:bidi="zh-CN"/>
              </w:rPr>
              <w:t>分。</w:t>
            </w:r>
          </w:p>
          <w:p w14:paraId="747C1DB3">
            <w:pPr>
              <w:pStyle w:val="124"/>
              <w:shd w:val="clear"/>
              <w:spacing w:before="11"/>
              <w:rPr>
                <w:rFonts w:hint="eastAsia" w:ascii="宋体" w:hAnsi="宋体" w:cs="宋体"/>
                <w:bCs/>
                <w:color w:val="auto"/>
                <w:kern w:val="0"/>
                <w:sz w:val="24"/>
                <w:szCs w:val="24"/>
                <w:highlight w:val="none"/>
                <w:lang w:bidi="zh-CN"/>
              </w:rPr>
            </w:pPr>
            <w:r>
              <w:rPr>
                <w:rFonts w:hint="eastAsia" w:ascii="宋体" w:hAnsi="宋体" w:cs="宋体"/>
                <w:bCs/>
                <w:color w:val="auto"/>
                <w:kern w:val="0"/>
                <w:sz w:val="24"/>
                <w:szCs w:val="24"/>
                <w:highlight w:val="none"/>
                <w:lang w:bidi="zh-CN"/>
              </w:rPr>
              <w:t>（2）提供上述人员身份证、有效的注册证书（或职称证书）、投标企业为其缴纳的202</w:t>
            </w:r>
            <w:r>
              <w:rPr>
                <w:rFonts w:hint="eastAsia" w:cs="宋体"/>
                <w:bCs/>
                <w:color w:val="auto"/>
                <w:kern w:val="0"/>
                <w:sz w:val="24"/>
                <w:szCs w:val="24"/>
                <w:highlight w:val="none"/>
                <w:lang w:val="en-US" w:bidi="zh-CN"/>
              </w:rPr>
              <w:t>5</w:t>
            </w:r>
            <w:r>
              <w:rPr>
                <w:rFonts w:hint="eastAsia" w:ascii="宋体" w:hAnsi="宋体" w:cs="宋体"/>
                <w:bCs/>
                <w:color w:val="auto"/>
                <w:kern w:val="0"/>
                <w:sz w:val="24"/>
                <w:szCs w:val="24"/>
                <w:highlight w:val="none"/>
                <w:lang w:bidi="zh-CN"/>
              </w:rPr>
              <w:t>年</w:t>
            </w:r>
            <w:r>
              <w:rPr>
                <w:rFonts w:hint="eastAsia" w:cs="宋体"/>
                <w:bCs/>
                <w:color w:val="auto"/>
                <w:kern w:val="0"/>
                <w:sz w:val="24"/>
                <w:szCs w:val="24"/>
                <w:highlight w:val="none"/>
                <w:lang w:val="en-US" w:bidi="zh-CN"/>
              </w:rPr>
              <w:t>4</w:t>
            </w:r>
            <w:r>
              <w:rPr>
                <w:rFonts w:hint="eastAsia" w:ascii="宋体" w:hAnsi="宋体" w:cs="宋体"/>
                <w:bCs/>
                <w:color w:val="auto"/>
                <w:kern w:val="0"/>
                <w:sz w:val="24"/>
                <w:szCs w:val="24"/>
                <w:highlight w:val="none"/>
                <w:lang w:bidi="zh-CN"/>
              </w:rPr>
              <w:t>月至20</w:t>
            </w:r>
            <w:r>
              <w:rPr>
                <w:rFonts w:hint="eastAsia" w:cs="宋体"/>
                <w:bCs/>
                <w:color w:val="auto"/>
                <w:kern w:val="0"/>
                <w:sz w:val="24"/>
                <w:szCs w:val="24"/>
                <w:highlight w:val="none"/>
                <w:lang w:val="en-US" w:bidi="zh-CN"/>
              </w:rPr>
              <w:t>25</w:t>
            </w:r>
            <w:r>
              <w:rPr>
                <w:rFonts w:hint="eastAsia" w:ascii="宋体" w:hAnsi="宋体" w:cs="宋体"/>
                <w:bCs/>
                <w:color w:val="auto"/>
                <w:kern w:val="0"/>
                <w:sz w:val="24"/>
                <w:szCs w:val="24"/>
                <w:highlight w:val="none"/>
                <w:lang w:bidi="zh-CN"/>
              </w:rPr>
              <w:t>年</w:t>
            </w:r>
            <w:r>
              <w:rPr>
                <w:rFonts w:hint="eastAsia" w:cs="宋体"/>
                <w:bCs/>
                <w:color w:val="auto"/>
                <w:kern w:val="0"/>
                <w:sz w:val="24"/>
                <w:szCs w:val="24"/>
                <w:highlight w:val="none"/>
                <w:lang w:val="en-US" w:bidi="zh-CN"/>
              </w:rPr>
              <w:t>6</w:t>
            </w:r>
            <w:r>
              <w:rPr>
                <w:rFonts w:hint="eastAsia" w:ascii="宋体" w:hAnsi="宋体" w:cs="宋体"/>
                <w:bCs/>
                <w:color w:val="auto"/>
                <w:kern w:val="0"/>
                <w:sz w:val="24"/>
                <w:szCs w:val="24"/>
                <w:highlight w:val="none"/>
                <w:lang w:bidi="zh-CN"/>
              </w:rPr>
              <w:t>月</w:t>
            </w:r>
            <w:r>
              <w:rPr>
                <w:rFonts w:hint="eastAsia" w:cs="宋体"/>
                <w:bCs/>
                <w:color w:val="auto"/>
                <w:kern w:val="0"/>
                <w:sz w:val="24"/>
                <w:szCs w:val="24"/>
                <w:highlight w:val="none"/>
                <w:lang w:val="en-US" w:bidi="zh-CN"/>
              </w:rPr>
              <w:t>三个月的</w:t>
            </w:r>
            <w:r>
              <w:rPr>
                <w:rFonts w:hint="eastAsia" w:ascii="宋体" w:hAnsi="宋体" w:cs="宋体"/>
                <w:bCs/>
                <w:color w:val="auto"/>
                <w:kern w:val="0"/>
                <w:sz w:val="24"/>
                <w:szCs w:val="24"/>
                <w:highlight w:val="none"/>
                <w:lang w:bidi="zh-CN"/>
              </w:rPr>
              <w:t>社保缴费证明（社保缴费证明需由社保机构出具）复印件，原件备查（带至开标现场），否则本项不得分。</w:t>
            </w:r>
          </w:p>
          <w:p w14:paraId="3B3A8493">
            <w:pPr>
              <w:pStyle w:val="124"/>
              <w:shd w:val="clear"/>
              <w:spacing w:before="11"/>
              <w:rPr>
                <w:rFonts w:hint="eastAsia" w:ascii="宋体" w:hAnsi="宋体" w:cs="宋体"/>
                <w:b/>
                <w:bCs/>
                <w:color w:val="auto"/>
                <w:sz w:val="24"/>
                <w:szCs w:val="24"/>
                <w:highlight w:val="none"/>
                <w:lang w:val="en-US" w:eastAsia="zh-CN"/>
              </w:rPr>
            </w:pPr>
            <w:r>
              <w:rPr>
                <w:rFonts w:hint="eastAsia" w:ascii="宋体" w:hAnsi="宋体" w:cs="宋体"/>
                <w:bCs/>
                <w:color w:val="auto"/>
                <w:kern w:val="0"/>
                <w:sz w:val="24"/>
                <w:szCs w:val="24"/>
                <w:highlight w:val="none"/>
                <w:lang w:bidi="zh-CN"/>
              </w:rPr>
              <w:t>（3）根据《住房和城乡建设部办公厅关于全面实行一级建造师电子注册证书的通知》(建办市〔2021〕40 号)的规定，自2022年1月1 日起，一级建造师统一使用电子证书，纸质注册证书作废。提供一级建造师的，则须提供符合建办市(2021)40号文件要求的电子注册证书，并应在个人签名处手写本人签名，未提供电子证书或未手写签名或手写签名与签名图像笔迹不一致的,该电子证书无效,视为不符合要求。</w:t>
            </w:r>
          </w:p>
        </w:tc>
        <w:tc>
          <w:tcPr>
            <w:tcW w:w="907" w:type="dxa"/>
            <w:vAlign w:val="center"/>
          </w:tcPr>
          <w:p w14:paraId="311C3992">
            <w:pPr>
              <w:pStyle w:val="124"/>
              <w:shd w:val="clear"/>
              <w:jc w:val="center"/>
              <w:rPr>
                <w:rFonts w:hint="default"/>
                <w:b/>
                <w:color w:val="auto"/>
                <w:sz w:val="21"/>
                <w:szCs w:val="21"/>
                <w:highlight w:val="none"/>
                <w:lang w:val="en-US" w:eastAsia="zh-CN"/>
              </w:rPr>
            </w:pPr>
            <w:r>
              <w:rPr>
                <w:rFonts w:hint="eastAsia"/>
                <w:b/>
                <w:color w:val="auto"/>
                <w:sz w:val="21"/>
                <w:szCs w:val="21"/>
                <w:highlight w:val="none"/>
                <w:lang w:val="en-US" w:eastAsia="zh-CN"/>
              </w:rPr>
              <w:t>18</w:t>
            </w:r>
          </w:p>
        </w:tc>
      </w:tr>
      <w:tr w14:paraId="03BF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restart"/>
            <w:shd w:val="clear" w:color="auto" w:fill="auto"/>
            <w:vAlign w:val="center"/>
          </w:tcPr>
          <w:p w14:paraId="76AC5EA5">
            <w:pPr>
              <w:shd w:val="clear"/>
              <w:jc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监理服务</w:t>
            </w:r>
            <w:r>
              <w:rPr>
                <w:rFonts w:hint="eastAsia" w:ascii="宋体" w:hAnsi="宋体" w:eastAsia="宋体" w:cs="宋体"/>
                <w:color w:val="auto"/>
                <w:sz w:val="24"/>
                <w:highlight w:val="none"/>
                <w:lang w:eastAsia="zh-CN"/>
              </w:rPr>
              <w:t>方案</w:t>
            </w:r>
          </w:p>
        </w:tc>
        <w:tc>
          <w:tcPr>
            <w:tcW w:w="6253" w:type="dxa"/>
            <w:shd w:val="clear" w:color="auto" w:fill="auto"/>
            <w:vAlign w:val="center"/>
          </w:tcPr>
          <w:p w14:paraId="5A520269">
            <w:pPr>
              <w:numPr>
                <w:ilvl w:val="0"/>
                <w:numId w:val="0"/>
              </w:numPr>
              <w:shd w:val="clear"/>
              <w:spacing w:line="320" w:lineRule="atLeast"/>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工程质量控制：</w:t>
            </w:r>
          </w:p>
          <w:p w14:paraId="0E7D7412">
            <w:pPr>
              <w:numPr>
                <w:ilvl w:val="0"/>
                <w:numId w:val="0"/>
              </w:numPr>
              <w:shd w:val="clear"/>
              <w:spacing w:line="320" w:lineRule="atLeast"/>
              <w:ind w:left="0" w:leftChars="0" w:firstLine="0" w:firstLineChars="0"/>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 w:val="24"/>
                <w:highlight w:val="none"/>
              </w:rPr>
              <w:t>质量控制方案</w:t>
            </w:r>
            <w:r>
              <w:rPr>
                <w:rFonts w:hint="eastAsia" w:ascii="宋体" w:hAnsi="宋体" w:eastAsia="宋体" w:cs="宋体"/>
                <w:color w:val="auto"/>
                <w:sz w:val="24"/>
                <w:highlight w:val="none"/>
                <w:lang w:eastAsia="zh-CN"/>
              </w:rPr>
              <w:t>优于或符合</w:t>
            </w:r>
            <w:r>
              <w:rPr>
                <w:rFonts w:hint="eastAsia" w:ascii="宋体" w:hAnsi="宋体" w:eastAsia="宋体" w:cs="宋体"/>
                <w:color w:val="auto"/>
                <w:sz w:val="24"/>
                <w:highlight w:val="none"/>
              </w:rPr>
              <w:t>监理规范要求</w:t>
            </w:r>
            <w:r>
              <w:rPr>
                <w:rFonts w:hint="eastAsia" w:ascii="宋体" w:hAnsi="宋体" w:eastAsia="宋体" w:cs="宋体"/>
                <w:color w:val="auto"/>
                <w:sz w:val="24"/>
                <w:highlight w:val="none"/>
                <w:lang w:eastAsia="zh-CN"/>
              </w:rPr>
              <w:t>，且针对性强、符合施工现场的，得</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质量控制方案</w:t>
            </w:r>
            <w:r>
              <w:rPr>
                <w:rFonts w:hint="eastAsia" w:ascii="宋体" w:hAnsi="宋体" w:eastAsia="宋体" w:cs="宋体"/>
                <w:color w:val="auto"/>
                <w:sz w:val="24"/>
                <w:highlight w:val="none"/>
                <w:lang w:eastAsia="zh-CN"/>
              </w:rPr>
              <w:t>基本</w:t>
            </w:r>
            <w:r>
              <w:rPr>
                <w:rFonts w:hint="eastAsia" w:ascii="宋体" w:hAnsi="宋体" w:eastAsia="宋体" w:cs="宋体"/>
                <w:color w:val="auto"/>
                <w:sz w:val="24"/>
                <w:highlight w:val="none"/>
              </w:rPr>
              <w:t>符合监理规范要求</w:t>
            </w:r>
            <w:r>
              <w:rPr>
                <w:rFonts w:hint="eastAsia" w:ascii="宋体" w:hAnsi="宋体" w:eastAsia="宋体" w:cs="宋体"/>
                <w:color w:val="auto"/>
                <w:sz w:val="24"/>
                <w:highlight w:val="none"/>
                <w:lang w:eastAsia="zh-CN"/>
              </w:rPr>
              <w:t>，有针对性的，得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质量控制方案</w:t>
            </w:r>
            <w:r>
              <w:rPr>
                <w:rFonts w:hint="eastAsia" w:ascii="宋体" w:hAnsi="宋体" w:eastAsia="宋体" w:cs="宋体"/>
                <w:color w:val="auto"/>
                <w:sz w:val="24"/>
                <w:highlight w:val="none"/>
                <w:lang w:eastAsia="zh-CN"/>
              </w:rPr>
              <w:t>基本</w:t>
            </w:r>
            <w:r>
              <w:rPr>
                <w:rFonts w:hint="eastAsia" w:ascii="宋体" w:hAnsi="宋体" w:eastAsia="宋体" w:cs="宋体"/>
                <w:color w:val="auto"/>
                <w:sz w:val="24"/>
                <w:highlight w:val="none"/>
              </w:rPr>
              <w:t>符合监理规范要求</w:t>
            </w:r>
            <w:r>
              <w:rPr>
                <w:rFonts w:hint="eastAsia" w:ascii="宋体" w:hAnsi="宋体" w:eastAsia="宋体" w:cs="宋体"/>
                <w:color w:val="auto"/>
                <w:sz w:val="24"/>
                <w:highlight w:val="none"/>
                <w:lang w:eastAsia="zh-CN"/>
              </w:rPr>
              <w:t>，但无针对性的，得</w:t>
            </w:r>
            <w:r>
              <w:rPr>
                <w:rFonts w:hint="eastAsia" w:ascii="宋体" w:hAnsi="宋体" w:eastAsia="宋体" w:cs="宋体"/>
                <w:color w:val="auto"/>
                <w:sz w:val="24"/>
                <w:highlight w:val="none"/>
                <w:lang w:val="en-US" w:eastAsia="zh-CN"/>
              </w:rPr>
              <w:t>2分；</w:t>
            </w:r>
            <w:r>
              <w:rPr>
                <w:rFonts w:hint="eastAsia" w:ascii="宋体" w:hAnsi="宋体" w:eastAsia="宋体" w:cs="宋体"/>
                <w:color w:val="auto"/>
                <w:sz w:val="24"/>
                <w:highlight w:val="none"/>
              </w:rPr>
              <w:t>质量控制方案</w:t>
            </w:r>
            <w:r>
              <w:rPr>
                <w:rFonts w:hint="eastAsia" w:ascii="宋体" w:hAnsi="宋体" w:eastAsia="宋体" w:cs="宋体"/>
                <w:color w:val="auto"/>
                <w:sz w:val="24"/>
                <w:highlight w:val="none"/>
                <w:lang w:eastAsia="zh-CN"/>
              </w:rPr>
              <w:t>不符合监理规范或无此项内容的，得</w:t>
            </w:r>
            <w:r>
              <w:rPr>
                <w:rFonts w:hint="eastAsia" w:ascii="宋体" w:hAnsi="宋体" w:eastAsia="宋体" w:cs="宋体"/>
                <w:color w:val="auto"/>
                <w:sz w:val="24"/>
                <w:highlight w:val="none"/>
                <w:lang w:val="en-US" w:eastAsia="zh-CN"/>
              </w:rPr>
              <w:t>0分。</w:t>
            </w:r>
          </w:p>
        </w:tc>
        <w:tc>
          <w:tcPr>
            <w:tcW w:w="907" w:type="dxa"/>
            <w:shd w:val="clear" w:color="auto" w:fill="auto"/>
            <w:vAlign w:val="center"/>
          </w:tcPr>
          <w:p w14:paraId="6F0D4D69">
            <w:pPr>
              <w:shd w:val="clear"/>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7</w:t>
            </w:r>
          </w:p>
        </w:tc>
      </w:tr>
      <w:tr w14:paraId="1F83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8" w:type="dxa"/>
            <w:vMerge w:val="continue"/>
            <w:vAlign w:val="center"/>
          </w:tcPr>
          <w:p w14:paraId="2D07FFB7">
            <w:pPr>
              <w:pStyle w:val="124"/>
              <w:shd w:val="clear"/>
              <w:spacing w:before="11"/>
              <w:jc w:val="center"/>
              <w:rPr>
                <w:b/>
                <w:color w:val="auto"/>
                <w:sz w:val="21"/>
                <w:szCs w:val="21"/>
                <w:highlight w:val="none"/>
              </w:rPr>
            </w:pPr>
          </w:p>
        </w:tc>
        <w:tc>
          <w:tcPr>
            <w:tcW w:w="6253" w:type="dxa"/>
            <w:shd w:val="clear" w:color="auto" w:fill="auto"/>
            <w:vAlign w:val="center"/>
          </w:tcPr>
          <w:p w14:paraId="24CDC858">
            <w:pPr>
              <w:shd w:val="clear"/>
              <w:spacing w:line="320" w:lineRule="atLeast"/>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安全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文明施工管理</w:t>
            </w:r>
            <w:r>
              <w:rPr>
                <w:rFonts w:hint="eastAsia" w:ascii="宋体" w:hAnsi="宋体" w:eastAsia="宋体" w:cs="宋体"/>
                <w:color w:val="auto"/>
                <w:sz w:val="24"/>
                <w:highlight w:val="none"/>
                <w:lang w:eastAsia="zh-CN"/>
              </w:rPr>
              <w:t>控制</w:t>
            </w:r>
            <w:r>
              <w:rPr>
                <w:rFonts w:hint="eastAsia" w:ascii="宋体" w:hAnsi="宋体" w:eastAsia="宋体" w:cs="宋体"/>
                <w:color w:val="auto"/>
                <w:sz w:val="24"/>
                <w:highlight w:val="none"/>
              </w:rPr>
              <w:t>：</w:t>
            </w:r>
          </w:p>
          <w:p w14:paraId="11709FC7">
            <w:pPr>
              <w:shd w:val="clear"/>
              <w:textAlignment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安全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文明施工管理</w:t>
            </w:r>
            <w:r>
              <w:rPr>
                <w:rFonts w:hint="eastAsia" w:ascii="宋体" w:hAnsi="宋体" w:eastAsia="宋体" w:cs="宋体"/>
                <w:color w:val="auto"/>
                <w:sz w:val="24"/>
                <w:highlight w:val="none"/>
                <w:lang w:eastAsia="zh-CN"/>
              </w:rPr>
              <w:t>方案优于或符合监理规范要求、切实可行，且针对性强的，得</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安全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文明施工管理</w:t>
            </w:r>
            <w:r>
              <w:rPr>
                <w:rFonts w:hint="eastAsia" w:ascii="宋体" w:hAnsi="宋体" w:eastAsia="宋体" w:cs="宋体"/>
                <w:color w:val="auto"/>
                <w:sz w:val="24"/>
                <w:highlight w:val="none"/>
                <w:lang w:eastAsia="zh-CN"/>
              </w:rPr>
              <w:t>方案基本符合监理规范要求，有针对性的，得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安全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文明施工管理</w:t>
            </w:r>
            <w:r>
              <w:rPr>
                <w:rFonts w:hint="eastAsia" w:ascii="宋体" w:hAnsi="宋体" w:eastAsia="宋体" w:cs="宋体"/>
                <w:color w:val="auto"/>
                <w:sz w:val="24"/>
                <w:highlight w:val="none"/>
                <w:lang w:eastAsia="zh-CN"/>
              </w:rPr>
              <w:t>方案符合监理规范要求，但无针对性的，得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安全</w:t>
            </w:r>
            <w:r>
              <w:rPr>
                <w:rFonts w:hint="eastAsia" w:ascii="宋体" w:hAnsi="宋体" w:eastAsia="宋体" w:cs="宋体"/>
                <w:color w:val="auto"/>
                <w:sz w:val="24"/>
                <w:highlight w:val="none"/>
                <w:lang w:eastAsia="zh-CN"/>
              </w:rPr>
              <w:t>和</w:t>
            </w:r>
            <w:r>
              <w:rPr>
                <w:rFonts w:hint="eastAsia" w:ascii="宋体" w:hAnsi="宋体" w:eastAsia="宋体" w:cs="宋体"/>
                <w:color w:val="auto"/>
                <w:sz w:val="24"/>
                <w:highlight w:val="none"/>
              </w:rPr>
              <w:t>文明施工管理</w:t>
            </w:r>
            <w:r>
              <w:rPr>
                <w:rFonts w:hint="eastAsia" w:ascii="宋体" w:hAnsi="宋体" w:eastAsia="宋体" w:cs="宋体"/>
                <w:color w:val="auto"/>
                <w:sz w:val="24"/>
                <w:highlight w:val="none"/>
                <w:lang w:eastAsia="zh-CN"/>
              </w:rPr>
              <w:t>方案不符合监理规范要求或无此项内容的，得</w:t>
            </w:r>
            <w:r>
              <w:rPr>
                <w:rFonts w:hint="eastAsia" w:ascii="宋体" w:hAnsi="宋体" w:eastAsia="宋体" w:cs="宋体"/>
                <w:color w:val="auto"/>
                <w:sz w:val="24"/>
                <w:highlight w:val="none"/>
                <w:lang w:val="en-US" w:eastAsia="zh-CN"/>
              </w:rPr>
              <w:t>0分。</w:t>
            </w:r>
          </w:p>
        </w:tc>
        <w:tc>
          <w:tcPr>
            <w:tcW w:w="907" w:type="dxa"/>
            <w:shd w:val="clear" w:color="auto" w:fill="auto"/>
            <w:vAlign w:val="center"/>
          </w:tcPr>
          <w:p w14:paraId="7E32AACA">
            <w:pPr>
              <w:shd w:val="clear"/>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8</w:t>
            </w:r>
          </w:p>
        </w:tc>
      </w:tr>
      <w:tr w14:paraId="1A51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8" w:type="dxa"/>
            <w:vMerge w:val="continue"/>
            <w:vAlign w:val="center"/>
          </w:tcPr>
          <w:p w14:paraId="2BDADBA1">
            <w:pPr>
              <w:pStyle w:val="124"/>
              <w:shd w:val="clear"/>
              <w:spacing w:before="11"/>
              <w:jc w:val="center"/>
              <w:rPr>
                <w:b/>
                <w:color w:val="auto"/>
                <w:sz w:val="21"/>
                <w:szCs w:val="21"/>
                <w:highlight w:val="none"/>
              </w:rPr>
            </w:pPr>
          </w:p>
        </w:tc>
        <w:tc>
          <w:tcPr>
            <w:tcW w:w="6253" w:type="dxa"/>
            <w:shd w:val="clear" w:color="auto" w:fill="auto"/>
            <w:vAlign w:val="center"/>
          </w:tcPr>
          <w:p w14:paraId="2F657DB9">
            <w:pPr>
              <w:shd w:val="clear"/>
              <w:spacing w:line="320" w:lineRule="atLeast"/>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 xml:space="preserve">工程进度控制： </w:t>
            </w:r>
          </w:p>
          <w:p w14:paraId="72AF9610">
            <w:pPr>
              <w:shd w:val="clear"/>
              <w:textAlignment w:val="center"/>
              <w:rPr>
                <w:rFonts w:hint="default"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lang w:eastAsia="zh-CN"/>
              </w:rPr>
              <w:t>有切实可行的工程进度措施的，得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工程进度措施基本可行的，得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工程进度措施可行性不高的，得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分；无此项内容的，得0分。</w:t>
            </w:r>
          </w:p>
        </w:tc>
        <w:tc>
          <w:tcPr>
            <w:tcW w:w="907" w:type="dxa"/>
            <w:shd w:val="clear" w:color="auto" w:fill="auto"/>
            <w:vAlign w:val="center"/>
          </w:tcPr>
          <w:p w14:paraId="69FD1EA5">
            <w:pPr>
              <w:shd w:val="clear"/>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6</w:t>
            </w:r>
          </w:p>
        </w:tc>
      </w:tr>
      <w:tr w14:paraId="68F2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vAlign w:val="center"/>
          </w:tcPr>
          <w:p w14:paraId="7EEA7C51">
            <w:pPr>
              <w:pStyle w:val="124"/>
              <w:shd w:val="clear"/>
              <w:spacing w:before="11"/>
              <w:jc w:val="center"/>
              <w:rPr>
                <w:b/>
                <w:color w:val="auto"/>
                <w:sz w:val="21"/>
                <w:szCs w:val="21"/>
                <w:highlight w:val="none"/>
              </w:rPr>
            </w:pPr>
          </w:p>
        </w:tc>
        <w:tc>
          <w:tcPr>
            <w:tcW w:w="6253" w:type="dxa"/>
            <w:shd w:val="clear" w:color="auto" w:fill="auto"/>
            <w:vAlign w:val="center"/>
          </w:tcPr>
          <w:p w14:paraId="65AD818B">
            <w:pPr>
              <w:shd w:val="clear"/>
              <w:spacing w:line="320" w:lineRule="atLeast"/>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 xml:space="preserve">工程投资控制： </w:t>
            </w:r>
          </w:p>
          <w:p w14:paraId="45CA41FF">
            <w:pPr>
              <w:shd w:val="clear"/>
              <w:textAlignment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lang w:eastAsia="zh-CN"/>
              </w:rPr>
              <w:t>有切实可行的工程投资措施的，得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工程投资措施基本可行的，得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工程投资措施可行性不高的，得</w:t>
            </w:r>
            <w:r>
              <w:rPr>
                <w:rFonts w:hint="eastAsia" w:ascii="宋体" w:hAnsi="宋体" w:eastAsia="宋体" w:cs="宋体"/>
                <w:color w:val="auto"/>
                <w:sz w:val="24"/>
                <w:highlight w:val="none"/>
                <w:lang w:val="en-US" w:eastAsia="zh-CN"/>
              </w:rPr>
              <w:t>1分；无此项内容的，得0分。</w:t>
            </w:r>
          </w:p>
        </w:tc>
        <w:tc>
          <w:tcPr>
            <w:tcW w:w="907" w:type="dxa"/>
            <w:shd w:val="clear" w:color="auto" w:fill="auto"/>
            <w:vAlign w:val="center"/>
          </w:tcPr>
          <w:p w14:paraId="2258AAF5">
            <w:pPr>
              <w:shd w:val="clear"/>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3</w:t>
            </w:r>
          </w:p>
        </w:tc>
      </w:tr>
      <w:tr w14:paraId="3D69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tcPr>
          <w:p w14:paraId="527F89FB">
            <w:pPr>
              <w:pStyle w:val="124"/>
              <w:shd w:val="clear"/>
              <w:spacing w:before="11"/>
              <w:jc w:val="center"/>
              <w:rPr>
                <w:b/>
                <w:color w:val="auto"/>
                <w:sz w:val="21"/>
                <w:szCs w:val="21"/>
                <w:highlight w:val="none"/>
              </w:rPr>
            </w:pPr>
          </w:p>
        </w:tc>
        <w:tc>
          <w:tcPr>
            <w:tcW w:w="6253" w:type="dxa"/>
            <w:shd w:val="clear" w:color="auto" w:fill="auto"/>
            <w:vAlign w:val="center"/>
          </w:tcPr>
          <w:p w14:paraId="1CE7F53D">
            <w:pPr>
              <w:shd w:val="clear"/>
              <w:spacing w:line="320" w:lineRule="atLeast"/>
              <w:rPr>
                <w:rFonts w:hint="eastAsia" w:ascii="宋体" w:hAnsi="宋体" w:eastAsia="宋体" w:cs="宋体"/>
                <w:color w:val="auto"/>
                <w:sz w:val="24"/>
                <w:highlight w:val="none"/>
              </w:rPr>
            </w:pPr>
            <w:r>
              <w:rPr>
                <w:rFonts w:hint="eastAsia" w:ascii="宋体" w:hAnsi="宋体" w:cs="宋体"/>
                <w:color w:val="auto"/>
                <w:sz w:val="24"/>
                <w:highlight w:val="none"/>
                <w:lang w:eastAsia="zh-CN"/>
              </w:rPr>
              <w:t>本项目</w:t>
            </w:r>
            <w:r>
              <w:rPr>
                <w:rFonts w:hint="eastAsia" w:ascii="宋体" w:hAnsi="宋体" w:eastAsia="宋体" w:cs="宋体"/>
                <w:color w:val="auto"/>
                <w:sz w:val="24"/>
                <w:highlight w:val="none"/>
              </w:rPr>
              <w:t>跟踪巡查方案：</w:t>
            </w:r>
          </w:p>
          <w:p w14:paraId="418F747B">
            <w:pPr>
              <w:shd w:val="clear"/>
              <w:spacing w:line="320" w:lineRule="atLeast"/>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跟踪巡查方案切实可行</w:t>
            </w:r>
            <w:r>
              <w:rPr>
                <w:rFonts w:hint="eastAsia" w:ascii="宋体" w:hAnsi="宋体" w:eastAsia="宋体" w:cs="宋体"/>
                <w:color w:val="auto"/>
                <w:sz w:val="24"/>
                <w:highlight w:val="none"/>
                <w:lang w:eastAsia="zh-CN"/>
              </w:rPr>
              <w:t>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跟踪巡查方案</w:t>
            </w:r>
            <w:r>
              <w:rPr>
                <w:rFonts w:hint="eastAsia" w:ascii="宋体" w:hAnsi="宋体" w:eastAsia="宋体" w:cs="宋体"/>
                <w:color w:val="auto"/>
                <w:sz w:val="24"/>
                <w:highlight w:val="none"/>
                <w:lang w:eastAsia="zh-CN"/>
              </w:rPr>
              <w:t>基本可行的，得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rPr>
              <w:t>跟踪巡查方案</w:t>
            </w:r>
            <w:r>
              <w:rPr>
                <w:rFonts w:hint="eastAsia" w:ascii="宋体" w:hAnsi="宋体" w:eastAsia="宋体" w:cs="宋体"/>
                <w:color w:val="auto"/>
                <w:sz w:val="24"/>
                <w:highlight w:val="none"/>
                <w:lang w:eastAsia="zh-CN"/>
              </w:rPr>
              <w:t>可行性不高的，得</w:t>
            </w:r>
            <w:r>
              <w:rPr>
                <w:rFonts w:hint="eastAsia" w:ascii="宋体" w:hAnsi="宋体" w:eastAsia="宋体" w:cs="宋体"/>
                <w:color w:val="auto"/>
                <w:sz w:val="24"/>
                <w:highlight w:val="none"/>
                <w:lang w:val="en-US" w:eastAsia="zh-CN"/>
              </w:rPr>
              <w:t>1分；无此项内容的，得0分。</w:t>
            </w:r>
          </w:p>
        </w:tc>
        <w:tc>
          <w:tcPr>
            <w:tcW w:w="907" w:type="dxa"/>
            <w:shd w:val="clear" w:color="auto" w:fill="auto"/>
            <w:vAlign w:val="center"/>
          </w:tcPr>
          <w:p w14:paraId="116EDE09">
            <w:pPr>
              <w:shd w:val="clear"/>
              <w:jc w:val="center"/>
              <w:rPr>
                <w:rFonts w:hint="default"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3</w:t>
            </w:r>
          </w:p>
        </w:tc>
      </w:tr>
      <w:tr w14:paraId="345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78" w:type="dxa"/>
            <w:vMerge w:val="continue"/>
          </w:tcPr>
          <w:p w14:paraId="0597B672">
            <w:pPr>
              <w:pStyle w:val="124"/>
              <w:shd w:val="clear"/>
              <w:spacing w:before="11"/>
              <w:jc w:val="center"/>
              <w:rPr>
                <w:b/>
                <w:color w:val="auto"/>
                <w:sz w:val="21"/>
                <w:szCs w:val="21"/>
                <w:highlight w:val="none"/>
              </w:rPr>
            </w:pPr>
          </w:p>
        </w:tc>
        <w:tc>
          <w:tcPr>
            <w:tcW w:w="6253" w:type="dxa"/>
            <w:shd w:val="clear" w:color="auto" w:fill="auto"/>
            <w:vAlign w:val="center"/>
          </w:tcPr>
          <w:p w14:paraId="5500369A">
            <w:pPr>
              <w:shd w:val="clear"/>
              <w:spacing w:line="3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对本监理项目技术建议、组织协调方案：</w:t>
            </w:r>
          </w:p>
          <w:p w14:paraId="73D66D96">
            <w:pPr>
              <w:shd w:val="clear"/>
              <w:textAlignment w:val="center"/>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技术建议、组织协调方案</w:t>
            </w:r>
            <w:r>
              <w:rPr>
                <w:rFonts w:hint="eastAsia" w:ascii="宋体" w:hAnsi="宋体" w:eastAsia="宋体" w:cs="宋体"/>
                <w:color w:val="auto"/>
                <w:sz w:val="24"/>
                <w:highlight w:val="none"/>
                <w:lang w:eastAsia="zh-CN"/>
              </w:rPr>
              <w:t>的保障措施</w:t>
            </w:r>
            <w:r>
              <w:rPr>
                <w:rFonts w:hint="eastAsia" w:ascii="宋体" w:hAnsi="宋体" w:eastAsia="宋体" w:cs="宋体"/>
                <w:color w:val="auto"/>
                <w:sz w:val="24"/>
                <w:highlight w:val="none"/>
              </w:rPr>
              <w:t>可行</w:t>
            </w:r>
            <w:r>
              <w:rPr>
                <w:rFonts w:hint="eastAsia" w:ascii="宋体" w:hAnsi="宋体" w:eastAsia="宋体" w:cs="宋体"/>
                <w:color w:val="auto"/>
                <w:sz w:val="24"/>
                <w:highlight w:val="none"/>
                <w:lang w:eastAsia="zh-CN"/>
              </w:rPr>
              <w:t>性高的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技术建议、组织协调方案</w:t>
            </w:r>
            <w:r>
              <w:rPr>
                <w:rFonts w:hint="eastAsia" w:ascii="宋体" w:hAnsi="宋体" w:eastAsia="宋体" w:cs="宋体"/>
                <w:color w:val="auto"/>
                <w:sz w:val="24"/>
                <w:highlight w:val="none"/>
                <w:lang w:eastAsia="zh-CN"/>
              </w:rPr>
              <w:t>的保障措施有一定可行性的，得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分；有基本的</w:t>
            </w:r>
            <w:r>
              <w:rPr>
                <w:rFonts w:hint="eastAsia" w:ascii="宋体" w:hAnsi="宋体" w:eastAsia="宋体" w:cs="宋体"/>
                <w:color w:val="auto"/>
                <w:sz w:val="24"/>
                <w:highlight w:val="none"/>
              </w:rPr>
              <w:t>技术建议、组织协调方案</w:t>
            </w:r>
            <w:r>
              <w:rPr>
                <w:rFonts w:hint="eastAsia" w:ascii="宋体" w:hAnsi="宋体" w:eastAsia="宋体" w:cs="宋体"/>
                <w:color w:val="auto"/>
                <w:sz w:val="24"/>
                <w:highlight w:val="none"/>
                <w:lang w:eastAsia="zh-CN"/>
              </w:rPr>
              <w:t>的保障措施的，得</w:t>
            </w:r>
            <w:r>
              <w:rPr>
                <w:rFonts w:hint="eastAsia" w:ascii="宋体" w:hAnsi="宋体" w:eastAsia="宋体" w:cs="宋体"/>
                <w:color w:val="auto"/>
                <w:sz w:val="24"/>
                <w:highlight w:val="none"/>
                <w:lang w:val="en-US" w:eastAsia="zh-CN"/>
              </w:rPr>
              <w:t>1分</w:t>
            </w:r>
            <w:r>
              <w:rPr>
                <w:rFonts w:hint="eastAsia" w:ascii="宋体" w:hAnsi="宋体" w:eastAsia="宋体" w:cs="宋体"/>
                <w:color w:val="auto"/>
                <w:sz w:val="24"/>
                <w:highlight w:val="none"/>
              </w:rPr>
              <w:t>。</w:t>
            </w:r>
          </w:p>
        </w:tc>
        <w:tc>
          <w:tcPr>
            <w:tcW w:w="907" w:type="dxa"/>
            <w:shd w:val="clear" w:color="auto" w:fill="auto"/>
            <w:vAlign w:val="center"/>
          </w:tcPr>
          <w:p w14:paraId="7BF506F0">
            <w:pPr>
              <w:shd w:val="clear"/>
              <w:jc w:val="center"/>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sz w:val="24"/>
                <w:highlight w:val="none"/>
                <w:lang w:val="en-US" w:eastAsia="zh-CN"/>
              </w:rPr>
              <w:t>3</w:t>
            </w:r>
          </w:p>
        </w:tc>
      </w:tr>
      <w:tr w14:paraId="74E2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31" w:type="dxa"/>
            <w:gridSpan w:val="2"/>
            <w:vAlign w:val="center"/>
          </w:tcPr>
          <w:p w14:paraId="7A51369A">
            <w:pPr>
              <w:shd w:val="clear"/>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合计</w:t>
            </w:r>
          </w:p>
        </w:tc>
        <w:tc>
          <w:tcPr>
            <w:tcW w:w="907" w:type="dxa"/>
            <w:shd w:val="clear" w:color="auto" w:fill="auto"/>
            <w:vAlign w:val="center"/>
          </w:tcPr>
          <w:p w14:paraId="25A86F38">
            <w:pPr>
              <w:shd w:val="clea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70</w:t>
            </w:r>
          </w:p>
        </w:tc>
      </w:tr>
    </w:tbl>
    <w:p w14:paraId="6D9EBF6E">
      <w:pPr>
        <w:shd w:val="clea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供应商的商务技术得分小于</w:t>
      </w:r>
      <w:r>
        <w:rPr>
          <w:rFonts w:hint="eastAsia" w:ascii="宋体" w:hAnsi="宋体" w:cs="宋体"/>
          <w:b/>
          <w:color w:val="auto"/>
          <w:sz w:val="24"/>
          <w:highlight w:val="none"/>
          <w:lang w:val="en-US" w:eastAsia="zh-CN"/>
        </w:rPr>
        <w:t>35分</w:t>
      </w:r>
      <w:r>
        <w:rPr>
          <w:rFonts w:ascii="宋体" w:hAnsi="宋体" w:eastAsia="宋体" w:cs="宋体"/>
          <w:b/>
          <w:color w:val="auto"/>
          <w:sz w:val="24"/>
          <w:highlight w:val="none"/>
        </w:rPr>
        <w:t>时，视为未实质性响应采购文件要求，作为无效响应处理。</w:t>
      </w:r>
    </w:p>
    <w:p w14:paraId="50F5A117">
      <w:pPr>
        <w:shd w:val="clear"/>
        <w:snapToGrid w:val="0"/>
        <w:spacing w:line="360" w:lineRule="auto"/>
        <w:ind w:firstLine="562"/>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特别提醒：技术响应评分中所涉及相关资料等证明材料均须提供原件复印件或影印件，并将原件带至开标现场备查，未携带原件或因携带原件不全所引起的后果由投标供应商自行承担。</w:t>
      </w:r>
    </w:p>
    <w:bookmarkEnd w:id="46"/>
    <w:p w14:paraId="3199C97E">
      <w:pPr>
        <w:shd w:val="clear"/>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（二）商务报价响应评分：（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6898AD7C">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、本次项目采购预算为</w:t>
      </w:r>
      <w:r>
        <w:rPr>
          <w:rFonts w:hint="eastAsia" w:ascii="宋体" w:hAnsi="宋体" w:cs="宋体"/>
          <w:b/>
          <w:bCs/>
          <w:color w:val="auto"/>
          <w:sz w:val="24"/>
          <w:szCs w:val="24"/>
          <w:highlight w:val="none"/>
          <w:u w:val="single"/>
          <w:lang w:eastAsia="zh-CN"/>
        </w:rPr>
        <w:t>103524.80</w:t>
      </w:r>
      <w:r>
        <w:rPr>
          <w:rFonts w:hint="eastAsia" w:ascii="宋体" w:hAnsi="宋体" w:cs="宋体"/>
          <w:color w:val="auto"/>
          <w:sz w:val="24"/>
          <w:szCs w:val="24"/>
          <w:highlight w:val="none"/>
        </w:rPr>
        <w:t>元，投标报价（单价及总价）超过采购预算的作无效投标处理。</w:t>
      </w:r>
    </w:p>
    <w:p w14:paraId="4B03188C">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、满足招标文件要求且投标报价最低的报价为评标基准价，其商务标得分为满分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p w14:paraId="6B47BB03">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、其他投标供应商的商务标得分按照下列公式计算：</w:t>
      </w:r>
    </w:p>
    <w:p w14:paraId="148EC96F">
      <w:pPr>
        <w:shd w:val="clear"/>
        <w:snapToGrid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商务标得分</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0%</w:t>
      </w:r>
      <w:r>
        <w:rPr>
          <w:rFonts w:hint="eastAsia" w:ascii="宋体" w:hAnsi="宋体" w:cs="宋体"/>
          <w:color w:val="auto"/>
          <w:sz w:val="24"/>
          <w:szCs w:val="24"/>
          <w:highlight w:val="none"/>
        </w:rPr>
        <w:t>×</w:t>
      </w:r>
      <w:r>
        <w:rPr>
          <w:rFonts w:ascii="宋体" w:hAnsi="宋体" w:cs="宋体"/>
          <w:color w:val="auto"/>
          <w:sz w:val="24"/>
          <w:szCs w:val="24"/>
          <w:highlight w:val="none"/>
        </w:rPr>
        <w:t>100</w:t>
      </w:r>
    </w:p>
    <w:p w14:paraId="49006C24">
      <w:pPr>
        <w:shd w:val="clear"/>
        <w:snapToGrid w:val="0"/>
        <w:spacing w:line="48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六、政府采购政策功能落实</w:t>
      </w:r>
    </w:p>
    <w:p w14:paraId="5F0FC32F">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1、小微型企业价格扣除</w:t>
      </w:r>
    </w:p>
    <w:p w14:paraId="4D12C997">
      <w:pPr>
        <w:shd w:val="clea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（1）本项目对小型和微型企业产品给予10%的扣除价格，用扣除后的价格参与评审。</w:t>
      </w:r>
    </w:p>
    <w:p w14:paraId="4CB3615F">
      <w:pPr>
        <w:shd w:val="clea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（2）供应商需按照《政府采购促进中小企业发展管理办法》（财库﹝2020﹞46 号）的规定提供相应的《中小企业声明函》。</w:t>
      </w:r>
    </w:p>
    <w:p w14:paraId="60310D4D">
      <w:pPr>
        <w:shd w:val="clear"/>
        <w:adjustRightInd w:val="0"/>
        <w:snapToGrid w:val="0"/>
        <w:spacing w:line="360" w:lineRule="auto"/>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（3）企业标准请参照《关于印发中小企业划型标准规定的通知》（工信部联企业[2011]300号）文件规定自行填写。</w:t>
      </w:r>
    </w:p>
    <w:p w14:paraId="4ECF893C">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2、残疾人福利单位价格扣除</w:t>
      </w:r>
    </w:p>
    <w:p w14:paraId="23545B76">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（1）本项目对残疾人福利性单位，给予10%的价格扣除，用扣除后的价格参与评审。</w:t>
      </w:r>
    </w:p>
    <w:p w14:paraId="1940BA2B">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（2）残疾人福利单位需按照采购文件的要求提供《残疾人福利性单位声明函》。</w:t>
      </w:r>
    </w:p>
    <w:p w14:paraId="169E894A">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（3）残疾人福利单位标准请参照《关于促进残疾人就业政府采购政策的通知》（财库〔2017〕141号）。</w:t>
      </w:r>
    </w:p>
    <w:p w14:paraId="397DC952">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3、监狱和戒毒企业价格扣除</w:t>
      </w:r>
    </w:p>
    <w:p w14:paraId="0A8BAAEF">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（1）本项目对监狱和戒毒企业（简称监狱企业）给予10%的价格扣除，用扣除后的价格参与评审。</w:t>
      </w:r>
    </w:p>
    <w:p w14:paraId="02139BA3">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E58707A">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（3）监狱企业标准请参照《关于政府采购支持监狱企业发展有关问题的通知》（财库[2014]68号）。</w:t>
      </w:r>
    </w:p>
    <w:p w14:paraId="08D82450">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4、残疾人福利单位、监狱企业属于小型、微型企业的，不重复享受政策。</w:t>
      </w:r>
    </w:p>
    <w:p w14:paraId="3CCAC2FB">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FAEC3EE">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Cs/>
          <w:color w:val="auto"/>
          <w:sz w:val="24"/>
          <w:highlight w:val="none"/>
        </w:rPr>
        <w:t>6、联合体各方均为小型、微型企业（残疾人福利单位、监狱企业）的，联合体享受上述同类价格扣除，用扣除后的价格参与评审。</w:t>
      </w:r>
    </w:p>
    <w:p w14:paraId="7A87B283">
      <w:pPr>
        <w:shd w:val="clear"/>
        <w:adjustRightInd w:val="0"/>
        <w:snapToGrid w:val="0"/>
        <w:spacing w:line="360" w:lineRule="auto"/>
        <w:ind w:firstLine="57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7、专门面向中小企业采购的项目或者采购包，不再执行价格评审优惠的扶持政策。</w:t>
      </w:r>
    </w:p>
    <w:p w14:paraId="2984E75F">
      <w:pPr>
        <w:shd w:val="clear"/>
        <w:adjustRightInd w:val="0"/>
        <w:snapToGrid w:val="0"/>
        <w:spacing w:line="360" w:lineRule="auto"/>
        <w:ind w:firstLine="570"/>
        <w:rPr>
          <w:rFonts w:ascii="宋体" w:hAnsi="宋体" w:eastAsia="宋体" w:cs="宋体"/>
          <w:bCs/>
          <w:color w:val="auto"/>
          <w:sz w:val="24"/>
          <w:highlight w:val="none"/>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成交供应商的确定</w:t>
      </w:r>
    </w:p>
    <w:p w14:paraId="4ED6026B">
      <w:pPr>
        <w:shd w:val="clear"/>
        <w:adjustRightInd w:val="0"/>
        <w:snapToGrid w:val="0"/>
        <w:spacing w:line="360" w:lineRule="auto"/>
        <w:ind w:firstLine="570"/>
        <w:rPr>
          <w:rFonts w:ascii="宋体" w:hAnsi="宋体" w:eastAsia="宋体" w:cs="宋体"/>
          <w:color w:val="auto"/>
          <w:sz w:val="24"/>
          <w:highlight w:val="none"/>
        </w:rPr>
      </w:pPr>
      <w:r>
        <w:rPr>
          <w:rFonts w:hint="eastAsia" w:ascii="宋体" w:hAnsi="宋体" w:eastAsia="宋体" w:cs="宋体"/>
          <w:color w:val="auto"/>
          <w:sz w:val="24"/>
          <w:highlight w:val="none"/>
        </w:rPr>
        <w:t>磋商小组汇总各评委评分后，按照得分从高到低的顺序推荐三名成交候选人，并编写评审报告。</w:t>
      </w:r>
    </w:p>
    <w:p w14:paraId="4B539784">
      <w:pPr>
        <w:shd w:val="clear"/>
        <w:adjustRightInd w:val="0"/>
        <w:snapToGrid w:val="0"/>
        <w:spacing w:line="360" w:lineRule="auto"/>
        <w:ind w:firstLine="570"/>
        <w:rPr>
          <w:color w:val="auto"/>
          <w:highlight w:val="none"/>
        </w:rPr>
      </w:pPr>
      <w:r>
        <w:rPr>
          <w:rFonts w:hint="eastAsia" w:ascii="宋体" w:hAnsi="宋体" w:eastAsia="宋体" w:cs="宋体"/>
          <w:color w:val="auto"/>
          <w:sz w:val="24"/>
          <w:highlight w:val="none"/>
        </w:rPr>
        <w:t>采购人应当自收到评标报告之日起５个工作日内，在评标报告确定的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候选人名单中按顺序确定</w:t>
      </w:r>
      <w:r>
        <w:rPr>
          <w:rFonts w:hint="eastAsia" w:ascii="宋体" w:hAnsi="宋体" w:eastAsia="宋体" w:cs="宋体"/>
          <w:color w:val="auto"/>
          <w:sz w:val="24"/>
          <w:highlight w:val="none"/>
          <w:lang w:val="en-US" w:eastAsia="zh-CN"/>
        </w:rPr>
        <w:t>1名</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人。</w:t>
      </w:r>
    </w:p>
    <w:p w14:paraId="3AB3BB6B">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七、出现下列情形之一的，作无效响应处理</w:t>
      </w:r>
    </w:p>
    <w:p w14:paraId="40283BBB">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、响应文件未按磋商文件要求装订、密封、签署、盖章及主要资料不齐全的；</w:t>
      </w:r>
    </w:p>
    <w:p w14:paraId="47171764">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、响应文件的资料有虚报或者谎报的；</w:t>
      </w:r>
    </w:p>
    <w:p w14:paraId="4AB6D2B8">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、响应文件中资格审查文件及技术响应文件出现磋商报价的内容；</w:t>
      </w:r>
    </w:p>
    <w:p w14:paraId="52A6D90C">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、不具备磋商文件规定的资格要求的；</w:t>
      </w:r>
    </w:p>
    <w:p w14:paraId="5407B4E4">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、响应文件有重大漏项或重大不合理的；</w:t>
      </w:r>
    </w:p>
    <w:p w14:paraId="4AE0820C">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、项目技术、方案不满足项目需求中的要求，有重大偏离或保留的；</w:t>
      </w:r>
    </w:p>
    <w:p w14:paraId="0B98B81A">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、磋商响应报价超出项目预算的；</w:t>
      </w:r>
    </w:p>
    <w:p w14:paraId="159A172A">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、被认定为低于成本报价磋商竞标的；</w:t>
      </w:r>
    </w:p>
    <w:p w14:paraId="17FB607D">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、供应商的磋商报价高于自己前一轮的；</w:t>
      </w:r>
    </w:p>
    <w:p w14:paraId="4E479A15">
      <w:pPr>
        <w:shd w:val="clear"/>
        <w:snapToGrid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、不符合法律、法规和磋商文件中规定的其他实质性响应要求的；</w:t>
      </w:r>
    </w:p>
    <w:p w14:paraId="7E278E92">
      <w:pPr>
        <w:shd w:val="clea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11、磋商小组依据法律法规可以认定为无效投标的其他情况。</w:t>
      </w:r>
    </w:p>
    <w:p w14:paraId="05649F40">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八、出现下列情形之一的，作废标处理</w:t>
      </w:r>
    </w:p>
    <w:p w14:paraId="5D2D5A50">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、供应商的报价均超出了采购预算，采购单位不能支付的；</w:t>
      </w:r>
    </w:p>
    <w:p w14:paraId="676A52EB">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、因情况变化，不再符合规定的竞争性磋商采购方式所适用情形的；</w:t>
      </w:r>
    </w:p>
    <w:p w14:paraId="1AB38920">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、出现影响采购公正的违法、违规行为的；</w:t>
      </w:r>
    </w:p>
    <w:p w14:paraId="5212952D">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r>
        <w:rPr>
          <w:rFonts w:ascii="宋体"/>
          <w:color w:val="auto"/>
          <w:sz w:val="24"/>
          <w:szCs w:val="24"/>
          <w:highlight w:val="none"/>
        </w:rPr>
        <w:tab/>
      </w:r>
    </w:p>
    <w:p w14:paraId="25C15B1B">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、符合资格条件或者对招标文件作实质响应的投标供应商不足</w:t>
      </w:r>
      <w:r>
        <w:rPr>
          <w:rFonts w:ascii="宋体" w:hAnsi="宋体" w:cs="宋体"/>
          <w:color w:val="auto"/>
          <w:sz w:val="24"/>
          <w:szCs w:val="24"/>
          <w:highlight w:val="none"/>
        </w:rPr>
        <w:t>3</w:t>
      </w:r>
      <w:r>
        <w:rPr>
          <w:rFonts w:hint="eastAsia" w:ascii="宋体" w:hAnsi="宋体" w:cs="宋体"/>
          <w:color w:val="auto"/>
          <w:sz w:val="24"/>
          <w:szCs w:val="24"/>
          <w:highlight w:val="none"/>
        </w:rPr>
        <w:t>家的；</w:t>
      </w:r>
    </w:p>
    <w:p w14:paraId="237EDE3F">
      <w:pPr>
        <w:shd w:val="clear"/>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、磋商小组依据法律法规可以认定为废标的其他情况。</w:t>
      </w:r>
    </w:p>
    <w:p w14:paraId="69F409E4">
      <w:pPr>
        <w:shd w:val="clea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九、成交通知</w:t>
      </w:r>
    </w:p>
    <w:p w14:paraId="6B11975E">
      <w:pPr>
        <w:shd w:val="clear"/>
        <w:spacing w:line="480" w:lineRule="exact"/>
        <w:ind w:firstLine="480" w:firstLineChars="200"/>
        <w:rPr>
          <w:rFonts w:ascii="宋体"/>
          <w:color w:val="auto"/>
          <w:kern w:val="0"/>
          <w:sz w:val="24"/>
          <w:szCs w:val="24"/>
          <w:highlight w:val="none"/>
        </w:rPr>
      </w:pPr>
      <w:r>
        <w:rPr>
          <w:rFonts w:hint="eastAsia" w:cs="宋体"/>
          <w:color w:val="auto"/>
          <w:kern w:val="0"/>
          <w:sz w:val="24"/>
          <w:szCs w:val="24"/>
          <w:highlight w:val="none"/>
        </w:rPr>
        <w:t>成交结果在南通市机关事务管理局官网公示</w:t>
      </w:r>
      <w:r>
        <w:rPr>
          <w:color w:val="auto"/>
          <w:kern w:val="0"/>
          <w:sz w:val="24"/>
          <w:szCs w:val="24"/>
          <w:highlight w:val="none"/>
          <w:u w:val="single"/>
        </w:rPr>
        <w:t xml:space="preserve">  </w:t>
      </w:r>
      <w:r>
        <w:rPr>
          <w:rFonts w:hint="eastAsia"/>
          <w:b/>
          <w:bCs/>
          <w:color w:val="auto"/>
          <w:kern w:val="0"/>
          <w:sz w:val="24"/>
          <w:szCs w:val="24"/>
          <w:highlight w:val="none"/>
          <w:u w:val="single"/>
        </w:rPr>
        <w:t>3</w:t>
      </w:r>
      <w:r>
        <w:rPr>
          <w:b/>
          <w:bCs/>
          <w:color w:val="auto"/>
          <w:kern w:val="0"/>
          <w:sz w:val="24"/>
          <w:szCs w:val="24"/>
          <w:highlight w:val="none"/>
          <w:u w:val="single"/>
        </w:rPr>
        <w:t xml:space="preserve">  </w:t>
      </w:r>
      <w:r>
        <w:rPr>
          <w:rFonts w:hint="eastAsia" w:cs="宋体"/>
          <w:color w:val="auto"/>
          <w:kern w:val="0"/>
          <w:sz w:val="24"/>
          <w:szCs w:val="24"/>
          <w:highlight w:val="none"/>
        </w:rPr>
        <w:t>个工作日。《成交通知书》一经发出，采购单位改变成交结果，或者</w:t>
      </w:r>
      <w:r>
        <w:rPr>
          <w:rFonts w:hint="eastAsia" w:ascii="宋体" w:hAnsi="宋体" w:cs="宋体"/>
          <w:color w:val="auto"/>
          <w:sz w:val="24"/>
          <w:szCs w:val="24"/>
          <w:highlight w:val="none"/>
        </w:rPr>
        <w:t>供应商</w:t>
      </w:r>
      <w:r>
        <w:rPr>
          <w:rFonts w:hint="eastAsia" w:cs="宋体"/>
          <w:color w:val="auto"/>
          <w:kern w:val="0"/>
          <w:sz w:val="24"/>
          <w:szCs w:val="24"/>
          <w:highlight w:val="none"/>
        </w:rPr>
        <w:t>放弃成交的，各自承担相应的法律责任。《成交通知书》是采购合同的组成部分。</w:t>
      </w:r>
    </w:p>
    <w:p w14:paraId="55D1D1AF">
      <w:pPr>
        <w:pStyle w:val="4"/>
        <w:keepNext w:val="0"/>
        <w:keepLines w:val="0"/>
        <w:numPr>
          <w:ilvl w:val="0"/>
          <w:numId w:val="0"/>
        </w:numPr>
        <w:shd w:val="clear"/>
        <w:snapToGrid w:val="0"/>
        <w:spacing w:before="0" w:after="0" w:line="360" w:lineRule="auto"/>
        <w:jc w:val="center"/>
        <w:rPr>
          <w:rFonts w:ascii="宋体"/>
          <w:b w:val="0"/>
          <w:bCs w:val="0"/>
          <w:i/>
          <w:iCs/>
          <w:color w:val="auto"/>
          <w:w w:val="80"/>
          <w:highlight w:val="none"/>
        </w:rPr>
      </w:pPr>
      <w:r>
        <w:rPr>
          <w:rFonts w:ascii="宋体" w:hAnsi="Times New Roman" w:cs="Times New Roman"/>
          <w:b w:val="0"/>
          <w:bCs w:val="0"/>
          <w:color w:val="auto"/>
          <w:w w:val="80"/>
          <w:kern w:val="2"/>
          <w:sz w:val="21"/>
          <w:szCs w:val="21"/>
          <w:highlight w:val="none"/>
        </w:rPr>
        <w:br w:type="page"/>
      </w:r>
      <w:r>
        <w:rPr>
          <w:rFonts w:hint="eastAsia" w:ascii="宋体" w:hAnsi="宋体" w:cs="宋体"/>
          <w:color w:val="auto"/>
          <w:w w:val="80"/>
          <w:highlight w:val="none"/>
        </w:rPr>
        <w:t>第五章</w:t>
      </w:r>
      <w:r>
        <w:rPr>
          <w:rFonts w:ascii="宋体" w:hAnsi="宋体" w:cs="宋体"/>
          <w:color w:val="auto"/>
          <w:w w:val="80"/>
          <w:highlight w:val="none"/>
        </w:rPr>
        <w:t xml:space="preserve">  </w:t>
      </w:r>
      <w:r>
        <w:rPr>
          <w:rFonts w:hint="eastAsia" w:ascii="宋体" w:hAnsi="宋体" w:cs="宋体"/>
          <w:color w:val="auto"/>
          <w:w w:val="80"/>
          <w:highlight w:val="none"/>
        </w:rPr>
        <w:t>合同授予</w:t>
      </w:r>
    </w:p>
    <w:p w14:paraId="3C0453DE">
      <w:pPr>
        <w:shd w:val="clear"/>
        <w:snapToGrid w:val="0"/>
        <w:spacing w:line="480" w:lineRule="exact"/>
        <w:ind w:firstLine="494" w:firstLineChars="206"/>
        <w:outlineLvl w:val="1"/>
        <w:rPr>
          <w:rFonts w:ascii="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kern w:val="0"/>
          <w:sz w:val="24"/>
          <w:szCs w:val="24"/>
          <w:highlight w:val="none"/>
        </w:rPr>
        <w:t>成交</w:t>
      </w:r>
      <w:r>
        <w:rPr>
          <w:rFonts w:hint="eastAsia" w:ascii="宋体" w:hAnsi="宋体" w:cs="宋体"/>
          <w:color w:val="auto"/>
          <w:sz w:val="24"/>
          <w:szCs w:val="24"/>
          <w:highlight w:val="none"/>
        </w:rPr>
        <w:t>供应商</w:t>
      </w:r>
      <w:r>
        <w:rPr>
          <w:rFonts w:hint="eastAsia" w:ascii="宋体" w:hAnsi="宋体" w:cs="宋体"/>
          <w:color w:val="auto"/>
          <w:kern w:val="0"/>
          <w:sz w:val="24"/>
          <w:szCs w:val="24"/>
          <w:highlight w:val="none"/>
        </w:rPr>
        <w:t>在《成交通知书》发出后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日内必须按照磋商文件确定的事项签订合同。</w:t>
      </w:r>
      <w:r>
        <w:rPr>
          <w:rFonts w:hint="eastAsia" w:ascii="宋体" w:hAnsi="宋体" w:cs="宋体"/>
          <w:color w:val="auto"/>
          <w:sz w:val="24"/>
          <w:szCs w:val="24"/>
          <w:highlight w:val="none"/>
        </w:rPr>
        <w:t>合同一式肆份，采购人、供应商各贰份。</w:t>
      </w:r>
    </w:p>
    <w:p w14:paraId="39E93362">
      <w:pPr>
        <w:shd w:val="clear"/>
        <w:spacing w:line="520" w:lineRule="exact"/>
        <w:ind w:firstLine="484" w:firstLineChars="202"/>
        <w:rPr>
          <w:rFonts w:ascii="宋体"/>
          <w:color w:val="auto"/>
          <w:kern w:val="0"/>
          <w:sz w:val="28"/>
          <w:szCs w:val="28"/>
          <w:highlight w:val="none"/>
        </w:rPr>
      </w:pPr>
      <w:r>
        <w:rPr>
          <w:rFonts w:hint="eastAsia" w:ascii="宋体" w:hAnsi="宋体" w:cs="宋体"/>
          <w:color w:val="auto"/>
          <w:kern w:val="0"/>
          <w:sz w:val="24"/>
          <w:szCs w:val="24"/>
          <w:highlight w:val="none"/>
        </w:rPr>
        <w:t>所签合同不得对磋商文件作实质性修改。采购单位不得向成交</w:t>
      </w:r>
      <w:r>
        <w:rPr>
          <w:rFonts w:hint="eastAsia" w:ascii="宋体" w:hAnsi="宋体" w:cs="宋体"/>
          <w:color w:val="auto"/>
          <w:sz w:val="24"/>
          <w:szCs w:val="24"/>
          <w:highlight w:val="none"/>
        </w:rPr>
        <w:t>供应商</w:t>
      </w:r>
      <w:r>
        <w:rPr>
          <w:rFonts w:hint="eastAsia" w:ascii="宋体" w:hAnsi="宋体" w:cs="宋体"/>
          <w:color w:val="auto"/>
          <w:kern w:val="0"/>
          <w:sz w:val="24"/>
          <w:szCs w:val="24"/>
          <w:highlight w:val="none"/>
        </w:rPr>
        <w:t>提出不合理的要求作为签订合同的条件，不得与成交</w:t>
      </w:r>
      <w:r>
        <w:rPr>
          <w:rFonts w:hint="eastAsia" w:ascii="宋体" w:hAnsi="宋体" w:cs="宋体"/>
          <w:color w:val="auto"/>
          <w:sz w:val="24"/>
          <w:szCs w:val="24"/>
          <w:highlight w:val="none"/>
        </w:rPr>
        <w:t>供应商</w:t>
      </w:r>
      <w:r>
        <w:rPr>
          <w:rFonts w:hint="eastAsia" w:ascii="宋体" w:hAnsi="宋体" w:cs="宋体"/>
          <w:color w:val="auto"/>
          <w:kern w:val="0"/>
          <w:sz w:val="24"/>
          <w:szCs w:val="24"/>
          <w:highlight w:val="none"/>
        </w:rPr>
        <w:t>私下订立背离磋商文件实质性内容的协议。</w:t>
      </w:r>
      <w:r>
        <w:rPr>
          <w:rFonts w:ascii="宋体" w:hAnsi="宋体" w:cs="宋体"/>
          <w:color w:val="auto"/>
          <w:kern w:val="0"/>
          <w:sz w:val="24"/>
          <w:szCs w:val="24"/>
          <w:highlight w:val="none"/>
        </w:rPr>
        <w:t xml:space="preserve"> </w:t>
      </w:r>
    </w:p>
    <w:p w14:paraId="35C918C4">
      <w:pPr>
        <w:shd w:val="clear"/>
        <w:snapToGrid w:val="0"/>
        <w:spacing w:line="480" w:lineRule="exact"/>
        <w:ind w:firstLine="573"/>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二、采购单位按合同约定积极配合中标人履约，中标人履约到位后，请以书面形式向采购单位提出验收申请，采购单位接到申请后原则上在</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个工作日内及时组织相关专业技术人员，必要时邀请质检等部门共同参与验收，并出具验收报告，验收合格的原则上</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个工作日内支付相应款项。</w:t>
      </w:r>
    </w:p>
    <w:p w14:paraId="17DB784A">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54491463">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四、中标人出现违约情形，应当及时纠正或补偿；造成损失的，按合同约定追究违约责任；发现有假冒、伪劣、走私产品、商业贿赂等违法情形的，应由采购单位移交工商、质监、公安等行政执法部门依法查处。</w:t>
      </w:r>
    </w:p>
    <w:p w14:paraId="4D04A192">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五、按采购合同约定支付的货款支付。</w:t>
      </w:r>
    </w:p>
    <w:p w14:paraId="4218B258">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六、不响应付款方式的，视同响应文件无效，按无效响应文件处理。</w:t>
      </w:r>
    </w:p>
    <w:p w14:paraId="76FE064A">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七、付款方式详见磋商文件第五章。</w:t>
      </w:r>
    </w:p>
    <w:p w14:paraId="5CE7990C">
      <w:pPr>
        <w:shd w:val="clear"/>
        <w:snapToGrid w:val="0"/>
        <w:spacing w:line="480" w:lineRule="exact"/>
        <w:ind w:firstLine="573"/>
        <w:rPr>
          <w:rFonts w:ascii="宋体"/>
          <w:color w:val="auto"/>
          <w:sz w:val="24"/>
          <w:szCs w:val="24"/>
          <w:highlight w:val="none"/>
        </w:rPr>
      </w:pPr>
      <w:r>
        <w:rPr>
          <w:rFonts w:hint="eastAsia" w:ascii="宋体" w:hAnsi="宋体" w:cs="宋体"/>
          <w:color w:val="auto"/>
          <w:sz w:val="24"/>
          <w:szCs w:val="24"/>
          <w:highlight w:val="none"/>
        </w:rPr>
        <w:t>八、以上项目款的支付不计息。</w:t>
      </w:r>
    </w:p>
    <w:p w14:paraId="4D93D847">
      <w:pPr>
        <w:shd w:val="clear"/>
        <w:snapToGrid w:val="0"/>
        <w:spacing w:line="480" w:lineRule="exact"/>
        <w:ind w:firstLine="573"/>
        <w:jc w:val="center"/>
        <w:rPr>
          <w:rFonts w:ascii="宋体"/>
          <w:b/>
          <w:bCs/>
          <w:i/>
          <w:iCs/>
          <w:color w:val="auto"/>
          <w:kern w:val="44"/>
          <w:sz w:val="44"/>
          <w:szCs w:val="44"/>
          <w:highlight w:val="none"/>
        </w:rPr>
      </w:pPr>
    </w:p>
    <w:p w14:paraId="235AD994">
      <w:pPr>
        <w:shd w:val="clear"/>
        <w:snapToGrid w:val="0"/>
        <w:spacing w:line="480" w:lineRule="exact"/>
        <w:ind w:firstLine="573"/>
        <w:jc w:val="center"/>
        <w:rPr>
          <w:rFonts w:ascii="宋体"/>
          <w:b/>
          <w:bCs/>
          <w:i/>
          <w:iCs/>
          <w:color w:val="auto"/>
          <w:kern w:val="44"/>
          <w:sz w:val="44"/>
          <w:szCs w:val="44"/>
          <w:highlight w:val="none"/>
        </w:rPr>
      </w:pPr>
    </w:p>
    <w:p w14:paraId="395157DD">
      <w:pPr>
        <w:shd w:val="clear"/>
        <w:snapToGrid w:val="0"/>
        <w:spacing w:line="480" w:lineRule="exact"/>
        <w:ind w:firstLine="573"/>
        <w:jc w:val="center"/>
        <w:rPr>
          <w:rFonts w:ascii="宋体"/>
          <w:b/>
          <w:bCs/>
          <w:i/>
          <w:iCs/>
          <w:color w:val="auto"/>
          <w:kern w:val="44"/>
          <w:sz w:val="44"/>
          <w:szCs w:val="44"/>
          <w:highlight w:val="none"/>
        </w:rPr>
      </w:pPr>
    </w:p>
    <w:p w14:paraId="321FF306">
      <w:pPr>
        <w:shd w:val="clear"/>
        <w:snapToGrid w:val="0"/>
        <w:spacing w:line="480" w:lineRule="exact"/>
        <w:ind w:firstLine="573"/>
        <w:jc w:val="center"/>
        <w:rPr>
          <w:rFonts w:ascii="宋体"/>
          <w:b/>
          <w:bCs/>
          <w:i/>
          <w:iCs/>
          <w:color w:val="auto"/>
          <w:kern w:val="44"/>
          <w:sz w:val="44"/>
          <w:szCs w:val="44"/>
          <w:highlight w:val="none"/>
        </w:rPr>
      </w:pPr>
    </w:p>
    <w:p w14:paraId="2B82B048">
      <w:pPr>
        <w:shd w:val="clear"/>
        <w:snapToGrid w:val="0"/>
        <w:spacing w:line="480" w:lineRule="exact"/>
        <w:ind w:firstLine="573"/>
        <w:jc w:val="center"/>
        <w:rPr>
          <w:rFonts w:ascii="宋体"/>
          <w:b/>
          <w:bCs/>
          <w:i/>
          <w:iCs/>
          <w:color w:val="auto"/>
          <w:kern w:val="44"/>
          <w:sz w:val="44"/>
          <w:szCs w:val="44"/>
          <w:highlight w:val="none"/>
        </w:rPr>
      </w:pPr>
    </w:p>
    <w:p w14:paraId="07DA234F">
      <w:pPr>
        <w:shd w:val="clear"/>
        <w:snapToGrid w:val="0"/>
        <w:spacing w:line="480" w:lineRule="exact"/>
        <w:ind w:firstLine="573"/>
        <w:jc w:val="center"/>
        <w:rPr>
          <w:rFonts w:ascii="宋体"/>
          <w:b/>
          <w:bCs/>
          <w:i/>
          <w:iCs/>
          <w:color w:val="auto"/>
          <w:kern w:val="44"/>
          <w:sz w:val="44"/>
          <w:szCs w:val="44"/>
          <w:highlight w:val="none"/>
        </w:rPr>
      </w:pPr>
    </w:p>
    <w:p w14:paraId="638FEF22">
      <w:pPr>
        <w:shd w:val="clear"/>
        <w:snapToGrid w:val="0"/>
        <w:spacing w:line="480" w:lineRule="exact"/>
        <w:ind w:firstLine="573"/>
        <w:jc w:val="center"/>
        <w:rPr>
          <w:rFonts w:ascii="宋体"/>
          <w:b/>
          <w:bCs/>
          <w:i/>
          <w:iCs/>
          <w:color w:val="auto"/>
          <w:kern w:val="44"/>
          <w:sz w:val="44"/>
          <w:szCs w:val="44"/>
          <w:highlight w:val="none"/>
        </w:rPr>
      </w:pPr>
    </w:p>
    <w:p w14:paraId="1DC65FB6">
      <w:pPr>
        <w:shd w:val="clear"/>
        <w:snapToGrid w:val="0"/>
        <w:spacing w:line="480" w:lineRule="exact"/>
        <w:ind w:firstLine="573"/>
        <w:jc w:val="center"/>
        <w:rPr>
          <w:rFonts w:ascii="宋体"/>
          <w:b/>
          <w:bCs/>
          <w:i/>
          <w:iCs/>
          <w:color w:val="auto"/>
          <w:kern w:val="44"/>
          <w:sz w:val="44"/>
          <w:szCs w:val="44"/>
          <w:highlight w:val="none"/>
        </w:rPr>
      </w:pPr>
    </w:p>
    <w:p w14:paraId="556DCF2C">
      <w:pPr>
        <w:shd w:val="clear"/>
        <w:snapToGrid w:val="0"/>
        <w:jc w:val="center"/>
        <w:rPr>
          <w:rFonts w:hint="default" w:ascii="宋体" w:hAnsi="宋体" w:cs="Times New Roman"/>
          <w:b/>
          <w:snapToGrid/>
          <w:color w:val="auto"/>
          <w:kern w:val="2"/>
          <w:sz w:val="52"/>
          <w:szCs w:val="52"/>
          <w:highlight w:val="none"/>
          <w:u w:val="none"/>
        </w:rPr>
      </w:pPr>
    </w:p>
    <w:p w14:paraId="3CE8068B">
      <w:pPr>
        <w:shd w:val="clear"/>
        <w:snapToGrid w:val="0"/>
        <w:jc w:val="center"/>
        <w:rPr>
          <w:rFonts w:ascii="宋体" w:hAnsi="宋体"/>
          <w:bCs/>
          <w:color w:val="auto"/>
          <w:sz w:val="32"/>
          <w:szCs w:val="32"/>
          <w:highlight w:val="none"/>
        </w:rPr>
      </w:pPr>
      <w:r>
        <w:rPr>
          <w:rFonts w:hint="default" w:ascii="宋体" w:hAnsi="宋体" w:cs="Times New Roman"/>
          <w:b/>
          <w:snapToGrid/>
          <w:color w:val="auto"/>
          <w:kern w:val="2"/>
          <w:sz w:val="52"/>
          <w:szCs w:val="52"/>
          <w:highlight w:val="none"/>
          <w:u w:val="none"/>
        </w:rPr>
        <w:t>工程监理服务</w:t>
      </w:r>
      <w:r>
        <w:rPr>
          <w:rFonts w:ascii="宋体" w:hAnsi="宋体"/>
          <w:b/>
          <w:color w:val="auto"/>
          <w:sz w:val="52"/>
          <w:szCs w:val="52"/>
          <w:highlight w:val="none"/>
        </w:rPr>
        <w:t>合同</w:t>
      </w:r>
      <w:r>
        <w:rPr>
          <w:rFonts w:ascii="宋体" w:hAnsi="宋体"/>
          <w:b/>
          <w:color w:val="auto"/>
          <w:sz w:val="52"/>
          <w:szCs w:val="52"/>
          <w:highlight w:val="none"/>
        </w:rPr>
        <w:br w:type="textWrapping"/>
      </w:r>
    </w:p>
    <w:p w14:paraId="54C0A208">
      <w:pPr>
        <w:shd w:val="clear"/>
        <w:snapToGrid w:val="0"/>
        <w:jc w:val="center"/>
        <w:rPr>
          <w:rFonts w:eastAsia="华文中宋"/>
          <w:b/>
          <w:color w:val="auto"/>
          <w:sz w:val="52"/>
          <w:szCs w:val="52"/>
          <w:highlight w:val="none"/>
        </w:rPr>
      </w:pPr>
    </w:p>
    <w:p w14:paraId="438EAE3A">
      <w:pPr>
        <w:shd w:val="clear"/>
        <w:snapToGrid w:val="0"/>
        <w:jc w:val="center"/>
        <w:rPr>
          <w:rFonts w:eastAsia="黑体"/>
          <w:b/>
          <w:color w:val="auto"/>
          <w:sz w:val="72"/>
          <w:szCs w:val="72"/>
          <w:highlight w:val="none"/>
        </w:rPr>
      </w:pPr>
    </w:p>
    <w:p w14:paraId="33F6D094">
      <w:pPr>
        <w:shd w:val="clear"/>
        <w:snapToGrid w:val="0"/>
        <w:jc w:val="center"/>
        <w:rPr>
          <w:rFonts w:eastAsia="楷体_GB2312"/>
          <w:b/>
          <w:color w:val="auto"/>
          <w:sz w:val="72"/>
          <w:szCs w:val="72"/>
          <w:highlight w:val="none"/>
        </w:rPr>
      </w:pPr>
    </w:p>
    <w:p w14:paraId="1AAE2798">
      <w:pPr>
        <w:shd w:val="clear"/>
        <w:snapToGrid w:val="0"/>
        <w:jc w:val="center"/>
        <w:rPr>
          <w:rFonts w:eastAsia="楷体_GB2312"/>
          <w:b/>
          <w:color w:val="auto"/>
          <w:sz w:val="72"/>
          <w:szCs w:val="72"/>
          <w:highlight w:val="none"/>
        </w:rPr>
      </w:pPr>
    </w:p>
    <w:p w14:paraId="4C60B950">
      <w:pPr>
        <w:shd w:val="clear"/>
        <w:snapToGrid w:val="0"/>
        <w:jc w:val="center"/>
        <w:rPr>
          <w:rFonts w:eastAsia="楷体_GB2312"/>
          <w:b/>
          <w:color w:val="auto"/>
          <w:sz w:val="72"/>
          <w:szCs w:val="72"/>
          <w:highlight w:val="none"/>
        </w:rPr>
      </w:pPr>
    </w:p>
    <w:p w14:paraId="6B2FA085">
      <w:pPr>
        <w:shd w:val="clear"/>
        <w:snapToGrid w:val="0"/>
        <w:jc w:val="center"/>
        <w:rPr>
          <w:rFonts w:eastAsia="楷体_GB2312"/>
          <w:b/>
          <w:color w:val="auto"/>
          <w:sz w:val="72"/>
          <w:szCs w:val="72"/>
          <w:highlight w:val="none"/>
        </w:rPr>
      </w:pPr>
    </w:p>
    <w:p w14:paraId="7C5399BA">
      <w:pPr>
        <w:shd w:val="clear"/>
        <w:snapToGrid w:val="0"/>
        <w:jc w:val="center"/>
        <w:rPr>
          <w:rFonts w:eastAsia="楷体_GB2312"/>
          <w:b/>
          <w:color w:val="auto"/>
          <w:sz w:val="72"/>
          <w:szCs w:val="72"/>
          <w:highlight w:val="none"/>
        </w:rPr>
      </w:pPr>
    </w:p>
    <w:p w14:paraId="775F488C">
      <w:pPr>
        <w:shd w:val="clear"/>
        <w:snapToGrid w:val="0"/>
        <w:jc w:val="center"/>
        <w:rPr>
          <w:rFonts w:eastAsia="楷体_GB2312"/>
          <w:b/>
          <w:color w:val="auto"/>
          <w:sz w:val="72"/>
          <w:szCs w:val="72"/>
          <w:highlight w:val="none"/>
        </w:rPr>
      </w:pPr>
    </w:p>
    <w:p w14:paraId="38FE7561">
      <w:pPr>
        <w:shd w:val="clear"/>
        <w:snapToGrid w:val="0"/>
        <w:jc w:val="center"/>
        <w:rPr>
          <w:rFonts w:eastAsia="楷体_GB2312"/>
          <w:b/>
          <w:color w:val="auto"/>
          <w:sz w:val="32"/>
          <w:szCs w:val="32"/>
          <w:highlight w:val="none"/>
        </w:rPr>
      </w:pPr>
    </w:p>
    <w:p w14:paraId="79B71546">
      <w:pPr>
        <w:shd w:val="clear"/>
        <w:snapToGrid w:val="0"/>
        <w:jc w:val="center"/>
        <w:rPr>
          <w:rFonts w:eastAsia="黑体"/>
          <w:b/>
          <w:color w:val="auto"/>
          <w:spacing w:val="30"/>
          <w:sz w:val="32"/>
          <w:szCs w:val="32"/>
          <w:highlight w:val="none"/>
        </w:rPr>
      </w:pPr>
      <w:r>
        <w:rPr>
          <w:rFonts w:hint="eastAsia" w:eastAsia="黑体"/>
          <w:b/>
          <w:color w:val="auto"/>
          <w:spacing w:val="30"/>
          <w:sz w:val="32"/>
          <w:szCs w:val="32"/>
          <w:highlight w:val="none"/>
        </w:rPr>
        <w:t>住房和城乡建设部</w:t>
      </w:r>
    </w:p>
    <w:p w14:paraId="24562AA5">
      <w:pPr>
        <w:shd w:val="clear"/>
        <w:snapToGrid w:val="0"/>
        <w:jc w:val="center"/>
        <w:rPr>
          <w:rFonts w:eastAsia="黑体"/>
          <w:b/>
          <w:color w:val="auto"/>
          <w:sz w:val="32"/>
          <w:szCs w:val="32"/>
          <w:highlight w:val="none"/>
        </w:rPr>
      </w:pPr>
      <w:r>
        <w:rPr>
          <w:rFonts w:hint="eastAsia" w:eastAsia="黑体"/>
          <w:b/>
          <w:color w:val="auto"/>
          <w:sz w:val="32"/>
          <w:szCs w:val="32"/>
          <w:highlight w:val="none"/>
        </w:rPr>
        <w:t>                                               制定</w:t>
      </w:r>
    </w:p>
    <w:p w14:paraId="64C8EA23">
      <w:pPr>
        <w:shd w:val="clear"/>
        <w:snapToGrid w:val="0"/>
        <w:jc w:val="center"/>
        <w:rPr>
          <w:rFonts w:eastAsia="黑体"/>
          <w:b/>
          <w:color w:val="auto"/>
          <w:sz w:val="32"/>
          <w:szCs w:val="32"/>
          <w:highlight w:val="none"/>
        </w:rPr>
      </w:pPr>
      <w:r>
        <w:rPr>
          <w:rFonts w:hint="eastAsia" w:eastAsia="黑体"/>
          <w:b/>
          <w:color w:val="auto"/>
          <w:sz w:val="32"/>
          <w:szCs w:val="32"/>
          <w:highlight w:val="none"/>
        </w:rPr>
        <w:t>国家工商行政管理总局</w:t>
      </w:r>
    </w:p>
    <w:p w14:paraId="69E07AEF">
      <w:pPr>
        <w:shd w:val="clear"/>
        <w:snapToGrid w:val="0"/>
        <w:rPr>
          <w:b/>
          <w:color w:val="auto"/>
          <w:sz w:val="32"/>
          <w:szCs w:val="32"/>
          <w:highlight w:val="none"/>
        </w:rPr>
      </w:pPr>
    </w:p>
    <w:p w14:paraId="661E6349">
      <w:pPr>
        <w:shd w:val="clear"/>
        <w:snapToGrid w:val="0"/>
        <w:rPr>
          <w:b/>
          <w:color w:val="auto"/>
          <w:sz w:val="28"/>
          <w:szCs w:val="28"/>
          <w:highlight w:val="none"/>
        </w:rPr>
      </w:pPr>
    </w:p>
    <w:p w14:paraId="789E125D">
      <w:pPr>
        <w:shd w:val="clear"/>
        <w:jc w:val="center"/>
        <w:rPr>
          <w:rFonts w:ascii="宋体" w:hAnsi="宋体" w:cs="宋体"/>
          <w:snapToGrid w:val="0"/>
          <w:color w:val="auto"/>
          <w:kern w:val="0"/>
          <w:sz w:val="28"/>
          <w:szCs w:val="28"/>
          <w:highlight w:val="none"/>
        </w:rPr>
      </w:pPr>
      <w:bookmarkStart w:id="47" w:name="_Toc500748795"/>
      <w:r>
        <w:rPr>
          <w:rFonts w:hint="eastAsia" w:ascii="宋体" w:hAnsi="宋体" w:eastAsia="华文楷体"/>
          <w:snapToGrid w:val="0"/>
          <w:color w:val="auto"/>
          <w:kern w:val="0"/>
          <w:sz w:val="28"/>
          <w:szCs w:val="28"/>
          <w:highlight w:val="none"/>
        </w:rPr>
        <w:br w:type="page"/>
      </w:r>
      <w:r>
        <w:rPr>
          <w:rFonts w:hint="eastAsia" w:ascii="宋体" w:hAnsi="宋体" w:cs="宋体"/>
          <w:b/>
          <w:bCs/>
          <w:snapToGrid w:val="0"/>
          <w:color w:val="auto"/>
          <w:kern w:val="0"/>
          <w:sz w:val="32"/>
          <w:szCs w:val="32"/>
          <w:highlight w:val="none"/>
        </w:rPr>
        <w:t>第一部分  协议书</w:t>
      </w:r>
      <w:bookmarkEnd w:id="47"/>
    </w:p>
    <w:p w14:paraId="6BB53F21">
      <w:pPr>
        <w:shd w:val="clear"/>
        <w:adjustRightInd w:val="0"/>
        <w:snapToGrid w:val="0"/>
        <w:spacing w:line="360" w:lineRule="auto"/>
        <w:ind w:firstLine="600" w:firstLineChars="250"/>
        <w:rPr>
          <w:rFonts w:ascii="宋体" w:hAnsi="宋体" w:cs="宋体"/>
          <w:bCs/>
          <w:snapToGrid w:val="0"/>
          <w:color w:val="auto"/>
          <w:kern w:val="0"/>
          <w:sz w:val="24"/>
          <w:highlight w:val="none"/>
        </w:rPr>
      </w:pPr>
    </w:p>
    <w:p w14:paraId="789C1800">
      <w:pPr>
        <w:shd w:val="clea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委托人（全称）：</w:t>
      </w:r>
      <w:r>
        <w:rPr>
          <w:rFonts w:hint="eastAsia" w:ascii="宋体" w:hAnsi="宋体" w:cs="宋体"/>
          <w:snapToGrid w:val="0"/>
          <w:color w:val="auto"/>
          <w:kern w:val="0"/>
          <w:sz w:val="24"/>
          <w:highlight w:val="none"/>
          <w:u w:val="single"/>
        </w:rPr>
        <w:t xml:space="preserve">南通市机关事务管理局    </w:t>
      </w:r>
    </w:p>
    <w:p w14:paraId="45E4875D">
      <w:pPr>
        <w:shd w:val="clear"/>
        <w:spacing w:line="360" w:lineRule="auto"/>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监理人（全称）：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p>
    <w:p w14:paraId="0A4B8ADA">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根据《中华人民共和国民法典》、《中华人民共和国建筑法》及其他有关法律、法规，遵循平等、自愿、公平和诚信的原则，双方就下述工程委托监理与相关服务事项协商一致，订立本合同。</w:t>
      </w:r>
    </w:p>
    <w:p w14:paraId="007F8F95">
      <w:pPr>
        <w:keepNext/>
        <w:keepLines/>
        <w:shd w:val="clear"/>
        <w:spacing w:before="20" w:after="20" w:line="360" w:lineRule="auto"/>
        <w:outlineLvl w:val="2"/>
        <w:rPr>
          <w:rFonts w:ascii="宋体" w:hAnsi="宋体" w:cs="宋体"/>
          <w:b/>
          <w:snapToGrid w:val="0"/>
          <w:color w:val="auto"/>
          <w:kern w:val="0"/>
          <w:sz w:val="24"/>
          <w:highlight w:val="none"/>
        </w:rPr>
      </w:pPr>
      <w:bookmarkStart w:id="48" w:name="_Toc500748796"/>
      <w:r>
        <w:rPr>
          <w:rFonts w:hint="eastAsia" w:ascii="宋体" w:hAnsi="宋体" w:cs="宋体"/>
          <w:b/>
          <w:snapToGrid w:val="0"/>
          <w:color w:val="auto"/>
          <w:kern w:val="0"/>
          <w:sz w:val="24"/>
          <w:highlight w:val="none"/>
        </w:rPr>
        <w:t>一、工程概况</w:t>
      </w:r>
      <w:bookmarkEnd w:id="48"/>
    </w:p>
    <w:p w14:paraId="0559DE9C">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 工程名称：</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w:t>
      </w:r>
    </w:p>
    <w:p w14:paraId="2F6D9850">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 工程地点：</w:t>
      </w:r>
      <w:r>
        <w:rPr>
          <w:rFonts w:hint="eastAsia" w:ascii="宋体" w:hAnsi="宋体" w:cs="宋体"/>
          <w:snapToGrid w:val="0"/>
          <w:color w:val="auto"/>
          <w:kern w:val="0"/>
          <w:sz w:val="24"/>
          <w:highlight w:val="none"/>
          <w:u w:val="single"/>
        </w:rPr>
        <w:t>南通市行政中心</w:t>
      </w:r>
      <w:r>
        <w:rPr>
          <w:rFonts w:hint="eastAsia" w:ascii="宋体" w:hAnsi="宋体" w:cs="宋体"/>
          <w:snapToGrid w:val="0"/>
          <w:color w:val="auto"/>
          <w:kern w:val="0"/>
          <w:sz w:val="24"/>
          <w:highlight w:val="none"/>
          <w:u w:val="single"/>
          <w:lang w:eastAsia="zh-CN"/>
        </w:rPr>
        <w:t>，政务中心，图书馆及综合服务中心</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2F3269FE">
      <w:pPr>
        <w:shd w:val="clear"/>
        <w:spacing w:line="360" w:lineRule="auto"/>
        <w:ind w:firstLine="480" w:firstLineChars="200"/>
        <w:rPr>
          <w:rFonts w:hint="eastAsia" w:ascii="宋体" w:hAnsi="宋体" w:cs="宋体" w:eastAsiaTheme="minorEastAsia"/>
          <w:snapToGrid w:val="0"/>
          <w:color w:val="auto"/>
          <w:kern w:val="0"/>
          <w:sz w:val="24"/>
          <w:highlight w:val="none"/>
          <w:lang w:eastAsia="zh-CN"/>
        </w:rPr>
      </w:pPr>
      <w:r>
        <w:rPr>
          <w:rFonts w:hint="eastAsia" w:ascii="宋体" w:hAnsi="宋体" w:cs="宋体"/>
          <w:snapToGrid w:val="0"/>
          <w:color w:val="auto"/>
          <w:kern w:val="0"/>
          <w:sz w:val="24"/>
          <w:highlight w:val="none"/>
        </w:rPr>
        <w:t>3. 工程规模：</w:t>
      </w:r>
      <w:r>
        <w:rPr>
          <w:rFonts w:hint="eastAsia" w:cs="宋体" w:asciiTheme="minorEastAsia" w:hAnsiTheme="minorEastAsia" w:eastAsiaTheme="minorEastAsia"/>
          <w:color w:val="auto"/>
          <w:kern w:val="2"/>
          <w:sz w:val="24"/>
          <w:szCs w:val="21"/>
          <w:highlight w:val="none"/>
          <w:lang w:val="en-US" w:eastAsia="zh-CN" w:bidi="ar-SA"/>
        </w:rPr>
        <w:t>涉及市行政中心、政务中心、图书馆及综合服务中心3个区域共7个项目的更新改造项目，主要涉及既有房屋的装饰装修，线路改造，会议设备更新，智能化设备建设，恒温恒湿机电设备更新安装等内容</w:t>
      </w:r>
      <w:r>
        <w:rPr>
          <w:rFonts w:hint="eastAsia" w:ascii="宋体" w:hAnsi="宋体" w:cs="宋体" w:eastAsiaTheme="minorEastAsia"/>
          <w:snapToGrid w:val="0"/>
          <w:color w:val="auto"/>
          <w:kern w:val="0"/>
          <w:sz w:val="24"/>
          <w:highlight w:val="none"/>
          <w:lang w:eastAsia="zh-CN"/>
        </w:rPr>
        <w:t>。</w:t>
      </w:r>
    </w:p>
    <w:p w14:paraId="1D7BC362">
      <w:pPr>
        <w:shd w:val="clear"/>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4. 工程概算投资额或建筑安装工程费：</w:t>
      </w:r>
      <w:bookmarkStart w:id="49" w:name="_Toc500748797"/>
      <w:r>
        <w:rPr>
          <w:rFonts w:hint="eastAsia" w:ascii="宋体" w:hAnsi="宋体" w:cs="宋体"/>
          <w:snapToGrid w:val="0"/>
          <w:color w:val="auto"/>
          <w:kern w:val="0"/>
          <w:sz w:val="24"/>
          <w:highlight w:val="none"/>
          <w:u w:val="single"/>
        </w:rPr>
        <w:t>工程施工概算投资额约为</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万元。</w:t>
      </w:r>
    </w:p>
    <w:p w14:paraId="733EEF6E">
      <w:pPr>
        <w:shd w:val="clear"/>
        <w:spacing w:line="360" w:lineRule="auto"/>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二、词语限定</w:t>
      </w:r>
      <w:bookmarkEnd w:id="49"/>
    </w:p>
    <w:p w14:paraId="5559DF25">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协议书中相关词语的含义与通用条件中的定义与解释相同。</w:t>
      </w:r>
    </w:p>
    <w:p w14:paraId="74E68C6E">
      <w:pPr>
        <w:keepNext/>
        <w:keepLines/>
        <w:shd w:val="clear"/>
        <w:spacing w:before="20" w:after="20" w:line="360" w:lineRule="auto"/>
        <w:outlineLvl w:val="2"/>
        <w:rPr>
          <w:rFonts w:ascii="宋体" w:hAnsi="宋体" w:cs="宋体"/>
          <w:b/>
          <w:snapToGrid w:val="0"/>
          <w:color w:val="auto"/>
          <w:kern w:val="0"/>
          <w:sz w:val="24"/>
          <w:highlight w:val="none"/>
        </w:rPr>
      </w:pPr>
      <w:bookmarkStart w:id="50" w:name="_Toc500748798"/>
      <w:r>
        <w:rPr>
          <w:rFonts w:hint="eastAsia" w:ascii="宋体" w:hAnsi="宋体" w:cs="宋体"/>
          <w:b/>
          <w:snapToGrid w:val="0"/>
          <w:color w:val="auto"/>
          <w:kern w:val="0"/>
          <w:sz w:val="24"/>
          <w:highlight w:val="none"/>
        </w:rPr>
        <w:t>三、组成本合同的文件</w:t>
      </w:r>
      <w:bookmarkEnd w:id="50"/>
    </w:p>
    <w:p w14:paraId="01BCB063">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 协议书；</w:t>
      </w:r>
    </w:p>
    <w:p w14:paraId="71901AE4">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 成交通知书；</w:t>
      </w:r>
    </w:p>
    <w:p w14:paraId="46C582B7">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3. </w:t>
      </w:r>
      <w:r>
        <w:rPr>
          <w:rFonts w:hint="eastAsia" w:ascii="宋体" w:hAnsi="宋体" w:cs="宋体"/>
          <w:snapToGrid w:val="0"/>
          <w:color w:val="auto"/>
          <w:kern w:val="0"/>
          <w:sz w:val="24"/>
          <w:highlight w:val="none"/>
          <w:lang w:eastAsia="zh-CN"/>
        </w:rPr>
        <w:t>磋商</w:t>
      </w:r>
      <w:r>
        <w:rPr>
          <w:rFonts w:hint="eastAsia" w:ascii="宋体" w:hAnsi="宋体" w:cs="宋体"/>
          <w:snapToGrid w:val="0"/>
          <w:color w:val="auto"/>
          <w:kern w:val="0"/>
          <w:sz w:val="24"/>
          <w:highlight w:val="none"/>
        </w:rPr>
        <w:t>响应文件；</w:t>
      </w:r>
    </w:p>
    <w:p w14:paraId="7E96AA4D">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 专用条件；</w:t>
      </w:r>
    </w:p>
    <w:p w14:paraId="2437AB78">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 通用条件；</w:t>
      </w:r>
    </w:p>
    <w:p w14:paraId="6E892088">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 附录，即：</w:t>
      </w:r>
    </w:p>
    <w:p w14:paraId="374D13F9">
      <w:pPr>
        <w:shd w:val="clear"/>
        <w:spacing w:line="360" w:lineRule="auto"/>
        <w:ind w:firstLine="960" w:firstLineChars="4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附录A  相关服务的范围和内容</w:t>
      </w:r>
    </w:p>
    <w:p w14:paraId="14CFDA57">
      <w:pPr>
        <w:shd w:val="clea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本合同签订后，双方依法签订的补充协议也是本合同文件的组成部分。</w:t>
      </w:r>
    </w:p>
    <w:p w14:paraId="2428F40E">
      <w:pPr>
        <w:keepNext/>
        <w:keepLines/>
        <w:shd w:val="clear"/>
        <w:spacing w:before="20" w:after="20" w:line="360" w:lineRule="auto"/>
        <w:outlineLvl w:val="2"/>
        <w:rPr>
          <w:rFonts w:ascii="宋体" w:hAnsi="宋体" w:cs="宋体"/>
          <w:b/>
          <w:snapToGrid w:val="0"/>
          <w:color w:val="auto"/>
          <w:kern w:val="0"/>
          <w:sz w:val="24"/>
          <w:highlight w:val="none"/>
        </w:rPr>
      </w:pPr>
      <w:bookmarkStart w:id="51" w:name="_Toc500748799"/>
      <w:r>
        <w:rPr>
          <w:rFonts w:hint="eastAsia" w:ascii="宋体" w:hAnsi="宋体" w:cs="宋体"/>
          <w:b/>
          <w:snapToGrid w:val="0"/>
          <w:color w:val="auto"/>
          <w:kern w:val="0"/>
          <w:sz w:val="24"/>
          <w:highlight w:val="none"/>
        </w:rPr>
        <w:t>四、总监理工程师</w:t>
      </w:r>
      <w:bookmarkEnd w:id="51"/>
    </w:p>
    <w:p w14:paraId="5F4D63B1">
      <w:pPr>
        <w:keepNext/>
        <w:keepLines/>
        <w:shd w:val="clear"/>
        <w:spacing w:before="20" w:after="20" w:line="360" w:lineRule="auto"/>
        <w:ind w:firstLine="480" w:firstLineChars="200"/>
        <w:outlineLvl w:val="2"/>
        <w:rPr>
          <w:rFonts w:ascii="宋体" w:hAnsi="宋体" w:cs="宋体"/>
          <w:b/>
          <w:snapToGrid w:val="0"/>
          <w:color w:val="auto"/>
          <w:kern w:val="0"/>
          <w:sz w:val="24"/>
          <w:highlight w:val="none"/>
        </w:rPr>
      </w:pPr>
      <w:r>
        <w:rPr>
          <w:rFonts w:hint="eastAsia" w:ascii="宋体" w:hAnsi="宋体" w:cs="宋体"/>
          <w:snapToGrid w:val="0"/>
          <w:color w:val="auto"/>
          <w:kern w:val="0"/>
          <w:sz w:val="24"/>
          <w:highlight w:val="none"/>
        </w:rPr>
        <w:t>总监理工程师姓名：</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lang w:eastAsia="zh-CN"/>
        </w:rPr>
        <w:t>；</w:t>
      </w:r>
    </w:p>
    <w:p w14:paraId="74820D9D">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身份证号码：</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lang w:eastAsia="zh-CN"/>
        </w:rPr>
        <w:t>；</w:t>
      </w:r>
    </w:p>
    <w:p w14:paraId="7AE338AD">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注册号：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28800A0">
      <w:pPr>
        <w:keepNext/>
        <w:keepLines/>
        <w:shd w:val="clear"/>
        <w:spacing w:before="20" w:after="20" w:line="360" w:lineRule="auto"/>
        <w:outlineLvl w:val="2"/>
        <w:rPr>
          <w:rFonts w:ascii="宋体" w:hAnsi="宋体" w:cs="宋体"/>
          <w:b/>
          <w:snapToGrid w:val="0"/>
          <w:color w:val="auto"/>
          <w:kern w:val="0"/>
          <w:sz w:val="24"/>
          <w:highlight w:val="none"/>
        </w:rPr>
      </w:pPr>
      <w:bookmarkStart w:id="52" w:name="_Toc500748800"/>
      <w:r>
        <w:rPr>
          <w:rFonts w:hint="eastAsia" w:ascii="宋体" w:hAnsi="宋体" w:cs="宋体"/>
          <w:b/>
          <w:snapToGrid w:val="0"/>
          <w:color w:val="auto"/>
          <w:kern w:val="0"/>
          <w:sz w:val="24"/>
          <w:highlight w:val="none"/>
        </w:rPr>
        <w:t>五、签约酬金</w:t>
      </w:r>
      <w:bookmarkEnd w:id="52"/>
    </w:p>
    <w:p w14:paraId="0A61C8F2">
      <w:pPr>
        <w:shd w:val="clear"/>
        <w:tabs>
          <w:tab w:val="right" w:pos="8306"/>
        </w:tabs>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合同款金额人民币(大写)：</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w:t>
      </w:r>
    </w:p>
    <w:p w14:paraId="3C558E3C">
      <w:pPr>
        <w:keepNext/>
        <w:keepLines/>
        <w:shd w:val="clear"/>
        <w:spacing w:before="20" w:after="20" w:line="360" w:lineRule="auto"/>
        <w:outlineLvl w:val="2"/>
        <w:rPr>
          <w:rFonts w:ascii="宋体" w:hAnsi="宋体" w:cs="宋体"/>
          <w:b/>
          <w:snapToGrid w:val="0"/>
          <w:color w:val="auto"/>
          <w:kern w:val="0"/>
          <w:sz w:val="24"/>
          <w:highlight w:val="none"/>
        </w:rPr>
      </w:pPr>
      <w:bookmarkStart w:id="53" w:name="_Toc500748801"/>
      <w:r>
        <w:rPr>
          <w:rFonts w:hint="eastAsia" w:ascii="宋体" w:hAnsi="宋体" w:cs="宋体"/>
          <w:b/>
          <w:snapToGrid w:val="0"/>
          <w:color w:val="auto"/>
          <w:kern w:val="0"/>
          <w:sz w:val="24"/>
          <w:highlight w:val="none"/>
        </w:rPr>
        <w:t>六、期限</w:t>
      </w:r>
      <w:bookmarkEnd w:id="53"/>
    </w:p>
    <w:p w14:paraId="59134E85">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 监理期限：</w:t>
      </w:r>
    </w:p>
    <w:p w14:paraId="4B7C5DF9">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自</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日始，至</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日止。</w:t>
      </w:r>
    </w:p>
    <w:p w14:paraId="4D12DB9C">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 相关服务期限：</w:t>
      </w:r>
    </w:p>
    <w:p w14:paraId="7D0A8E19">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保修阶段服务期限自竣工验收合格之日起至保修期结束。</w:t>
      </w:r>
    </w:p>
    <w:p w14:paraId="6AC56657">
      <w:pPr>
        <w:keepNext/>
        <w:keepLines/>
        <w:shd w:val="clear"/>
        <w:spacing w:before="20" w:after="20" w:line="360" w:lineRule="auto"/>
        <w:outlineLvl w:val="2"/>
        <w:rPr>
          <w:rFonts w:ascii="宋体" w:hAnsi="宋体" w:cs="宋体"/>
          <w:b/>
          <w:snapToGrid w:val="0"/>
          <w:color w:val="auto"/>
          <w:kern w:val="0"/>
          <w:sz w:val="24"/>
          <w:highlight w:val="none"/>
        </w:rPr>
      </w:pPr>
      <w:bookmarkStart w:id="54" w:name="_Toc500748802"/>
      <w:r>
        <w:rPr>
          <w:rFonts w:hint="eastAsia" w:ascii="宋体" w:hAnsi="宋体" w:cs="宋体"/>
          <w:b/>
          <w:snapToGrid w:val="0"/>
          <w:color w:val="auto"/>
          <w:kern w:val="0"/>
          <w:sz w:val="24"/>
          <w:highlight w:val="none"/>
        </w:rPr>
        <w:t>七、双方承诺</w:t>
      </w:r>
      <w:bookmarkEnd w:id="54"/>
    </w:p>
    <w:p w14:paraId="01332897">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 监理人向委托人承诺，按照本合同约定提供监理与相关服务。</w:t>
      </w:r>
    </w:p>
    <w:p w14:paraId="0DB7CF05">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 委托人向监理人承诺，按照本合同约定派遣相应的人员，提供房屋、资料、设备，并按本合同约定支付酬金。</w:t>
      </w:r>
    </w:p>
    <w:p w14:paraId="22710939">
      <w:pPr>
        <w:keepNext/>
        <w:keepLines/>
        <w:shd w:val="clear"/>
        <w:spacing w:before="20" w:after="20" w:line="360" w:lineRule="auto"/>
        <w:outlineLvl w:val="2"/>
        <w:rPr>
          <w:rFonts w:ascii="宋体" w:hAnsi="宋体" w:cs="宋体"/>
          <w:b/>
          <w:snapToGrid w:val="0"/>
          <w:color w:val="auto"/>
          <w:kern w:val="0"/>
          <w:sz w:val="24"/>
          <w:highlight w:val="none"/>
        </w:rPr>
      </w:pPr>
      <w:bookmarkStart w:id="55" w:name="_Toc500748803"/>
      <w:r>
        <w:rPr>
          <w:rFonts w:hint="eastAsia" w:ascii="宋体" w:hAnsi="宋体" w:cs="宋体"/>
          <w:b/>
          <w:snapToGrid w:val="0"/>
          <w:color w:val="auto"/>
          <w:kern w:val="0"/>
          <w:sz w:val="24"/>
          <w:highlight w:val="none"/>
        </w:rPr>
        <w:t>八、合同订立</w:t>
      </w:r>
      <w:bookmarkEnd w:id="55"/>
    </w:p>
    <w:p w14:paraId="7D632A2D">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 订立时间：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5D7B8F31">
      <w:pPr>
        <w:shd w:val="clear"/>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 订立地点：</w:t>
      </w:r>
      <w:r>
        <w:rPr>
          <w:rFonts w:hint="eastAsia" w:ascii="宋体" w:hAnsi="宋体" w:cs="宋体"/>
          <w:snapToGrid w:val="0"/>
          <w:color w:val="auto"/>
          <w:kern w:val="0"/>
          <w:sz w:val="24"/>
          <w:highlight w:val="none"/>
          <w:u w:val="single"/>
        </w:rPr>
        <w:t>南通市世纪大道6号行政中心大院内</w:t>
      </w:r>
      <w:r>
        <w:rPr>
          <w:rFonts w:hint="eastAsia" w:ascii="宋体" w:hAnsi="宋体" w:cs="宋体"/>
          <w:snapToGrid w:val="0"/>
          <w:color w:val="auto"/>
          <w:kern w:val="0"/>
          <w:sz w:val="24"/>
          <w:highlight w:val="none"/>
        </w:rPr>
        <w:t>。</w:t>
      </w:r>
    </w:p>
    <w:p w14:paraId="3B2FFDB2">
      <w:pPr>
        <w:shd w:val="clear"/>
        <w:spacing w:line="360" w:lineRule="auto"/>
        <w:ind w:firstLine="480" w:firstLineChars="200"/>
        <w:rPr>
          <w:color w:val="auto"/>
          <w:highlight w:val="none"/>
        </w:rPr>
      </w:pPr>
      <w:r>
        <w:rPr>
          <w:rFonts w:hint="eastAsia" w:ascii="宋体" w:hAnsi="宋体" w:cs="宋体"/>
          <w:snapToGrid w:val="0"/>
          <w:color w:val="auto"/>
          <w:kern w:val="0"/>
          <w:sz w:val="24"/>
          <w:highlight w:val="none"/>
        </w:rPr>
        <w:t>3. 本合同</w:t>
      </w:r>
      <w:r>
        <w:rPr>
          <w:rFonts w:hint="eastAsia" w:ascii="宋体" w:hAnsi="宋体" w:cs="宋体"/>
          <w:snapToGrid w:val="0"/>
          <w:color w:val="auto"/>
          <w:kern w:val="0"/>
          <w:sz w:val="24"/>
          <w:highlight w:val="none"/>
          <w:u w:val="single"/>
        </w:rPr>
        <w:t>壹</w:t>
      </w:r>
      <w:r>
        <w:rPr>
          <w:rFonts w:hint="eastAsia" w:ascii="宋体" w:hAnsi="宋体" w:cs="宋体"/>
          <w:snapToGrid w:val="0"/>
          <w:color w:val="auto"/>
          <w:kern w:val="0"/>
          <w:sz w:val="24"/>
          <w:highlight w:val="none"/>
        </w:rPr>
        <w:t>式</w:t>
      </w:r>
      <w:r>
        <w:rPr>
          <w:rFonts w:hint="eastAsia" w:ascii="宋体" w:hAnsi="宋体" w:cs="宋体"/>
          <w:snapToGrid w:val="0"/>
          <w:color w:val="auto"/>
          <w:kern w:val="0"/>
          <w:sz w:val="24"/>
          <w:highlight w:val="none"/>
          <w:u w:val="single"/>
        </w:rPr>
        <w:t>肆</w:t>
      </w:r>
      <w:r>
        <w:rPr>
          <w:rFonts w:hint="eastAsia" w:ascii="宋体" w:hAnsi="宋体" w:cs="宋体"/>
          <w:snapToGrid w:val="0"/>
          <w:color w:val="auto"/>
          <w:kern w:val="0"/>
          <w:sz w:val="24"/>
          <w:highlight w:val="none"/>
        </w:rPr>
        <w:t>份，具有同等法律效力，双方各执</w:t>
      </w:r>
      <w:r>
        <w:rPr>
          <w:rFonts w:hint="eastAsia" w:ascii="宋体" w:hAnsi="宋体" w:cs="宋体"/>
          <w:snapToGrid w:val="0"/>
          <w:color w:val="auto"/>
          <w:kern w:val="0"/>
          <w:sz w:val="24"/>
          <w:highlight w:val="none"/>
          <w:u w:val="single"/>
        </w:rPr>
        <w:t>贰</w:t>
      </w:r>
      <w:r>
        <w:rPr>
          <w:rFonts w:hint="eastAsia" w:ascii="宋体" w:hAnsi="宋体" w:cs="宋体"/>
          <w:snapToGrid w:val="0"/>
          <w:color w:val="auto"/>
          <w:kern w:val="0"/>
          <w:sz w:val="24"/>
          <w:highlight w:val="none"/>
        </w:rPr>
        <w:t>份。</w:t>
      </w:r>
    </w:p>
    <w:p w14:paraId="62370D0C">
      <w:pPr>
        <w:pStyle w:val="130"/>
        <w:shd w:val="clear"/>
        <w:ind w:firstLine="420"/>
        <w:rPr>
          <w:color w:val="auto"/>
          <w:highlight w:val="none"/>
        </w:rPr>
      </w:pPr>
    </w:p>
    <w:p w14:paraId="6F48F62A">
      <w:pPr>
        <w:shd w:val="clear"/>
        <w:spacing w:line="276" w:lineRule="auto"/>
        <w:ind w:left="5760" w:hanging="5760" w:hangingChars="2400"/>
        <w:jc w:val="left"/>
        <w:rPr>
          <w:rFonts w:hint="default" w:ascii="宋体" w:hAnsi="宋体" w:eastAsia="宋体" w:cs="宋体"/>
          <w:snapToGrid w:val="0"/>
          <w:color w:val="auto"/>
          <w:kern w:val="0"/>
          <w:sz w:val="24"/>
          <w:highlight w:val="none"/>
          <w:u w:val="none"/>
          <w:lang w:val="en-US" w:eastAsia="zh-CN"/>
        </w:rPr>
      </w:pPr>
      <w:r>
        <w:rPr>
          <w:rFonts w:hint="eastAsia" w:ascii="宋体" w:hAnsi="宋体" w:cs="宋体"/>
          <w:snapToGrid w:val="0"/>
          <w:color w:val="auto"/>
          <w:kern w:val="0"/>
          <w:sz w:val="24"/>
          <w:highlight w:val="none"/>
        </w:rPr>
        <w:t>委托人：</w:t>
      </w:r>
      <w:r>
        <w:rPr>
          <w:rFonts w:hint="eastAsia" w:ascii="宋体" w:hAnsi="宋体" w:cs="宋体"/>
          <w:snapToGrid w:val="0"/>
          <w:color w:val="auto"/>
          <w:kern w:val="0"/>
          <w:sz w:val="24"/>
          <w:highlight w:val="none"/>
          <w:u w:val="single"/>
        </w:rPr>
        <w:t>南通市机关事务管理局</w:t>
      </w:r>
      <w:r>
        <w:rPr>
          <w:rFonts w:hint="eastAsia" w:ascii="宋体" w:hAnsi="宋体" w:cs="宋体"/>
          <w:snapToGrid w:val="0"/>
          <w:color w:val="auto"/>
          <w:kern w:val="0"/>
          <w:sz w:val="24"/>
          <w:highlight w:val="none"/>
        </w:rPr>
        <w:t xml:space="preserve">      监理人：</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none"/>
          <w:lang w:val="en-US" w:eastAsia="zh-CN"/>
        </w:rPr>
        <w:t xml:space="preserve"> </w:t>
      </w:r>
    </w:p>
    <w:p w14:paraId="39540A10">
      <w:pPr>
        <w:shd w:val="clear"/>
        <w:spacing w:line="276" w:lineRule="auto"/>
        <w:ind w:left="5760" w:hanging="5760" w:hangingChars="24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（盖章）                            （盖章）    </w:t>
      </w:r>
    </w:p>
    <w:p w14:paraId="2A554C49">
      <w:pPr>
        <w:shd w:val="clear"/>
        <w:spacing w:line="400" w:lineRule="exact"/>
        <w:ind w:left="4800" w:leftChars="0" w:hanging="4800" w:hangingChars="2000"/>
        <w:rPr>
          <w:rFonts w:hint="default" w:ascii="宋体" w:hAnsi="宋体" w:eastAsia="宋体" w:cs="宋体"/>
          <w:color w:val="auto"/>
          <w:sz w:val="24"/>
          <w:highlight w:val="none"/>
          <w:u w:val="single"/>
          <w:lang w:val="en-US" w:eastAsia="zh-CN"/>
        </w:rPr>
      </w:pPr>
      <w:r>
        <w:rPr>
          <w:rFonts w:hint="eastAsia" w:ascii="宋体" w:hAnsi="宋体" w:cs="宋体"/>
          <w:snapToGrid w:val="0"/>
          <w:color w:val="auto"/>
          <w:kern w:val="0"/>
          <w:sz w:val="24"/>
          <w:highlight w:val="none"/>
        </w:rPr>
        <w:t>住所：</w:t>
      </w:r>
      <w:r>
        <w:rPr>
          <w:rFonts w:hint="eastAsia" w:ascii="宋体" w:hAnsi="宋体" w:cs="宋体"/>
          <w:snapToGrid w:val="0"/>
          <w:color w:val="auto"/>
          <w:kern w:val="0"/>
          <w:sz w:val="24"/>
          <w:highlight w:val="none"/>
          <w:u w:val="single"/>
        </w:rPr>
        <w:t xml:space="preserve"> 南通市世纪大道6号   </w:t>
      </w:r>
      <w:r>
        <w:rPr>
          <w:rFonts w:hint="eastAsia"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住所：</w:t>
      </w:r>
      <w:r>
        <w:rPr>
          <w:rFonts w:hint="eastAsia" w:ascii="宋体" w:hAnsi="宋体" w:cs="宋体"/>
          <w:color w:val="auto"/>
          <w:sz w:val="24"/>
          <w:highlight w:val="none"/>
          <w:u w:val="single"/>
          <w:lang w:val="en-US" w:eastAsia="zh-CN"/>
        </w:rPr>
        <w:t xml:space="preserve">                   </w:t>
      </w:r>
    </w:p>
    <w:p w14:paraId="32CC5F4B">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 xml:space="preserve"> 226018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 xml:space="preserve">  邮政编码：</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3A5D2402">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法定代表人或其授权                法定代表人或其授权</w:t>
      </w:r>
    </w:p>
    <w:p w14:paraId="1E0895FF">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的代理人：（签字）</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 xml:space="preserve"> 的代理人：（签字）</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4C9E54CF">
      <w:pPr>
        <w:shd w:val="clear"/>
        <w:spacing w:line="276" w:lineRule="auto"/>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 xml:space="preserve">  开户银行：</w:t>
      </w:r>
      <w:r>
        <w:rPr>
          <w:rFonts w:hint="eastAsia" w:ascii="宋体" w:hAnsi="宋体" w:cs="宋体"/>
          <w:snapToGrid w:val="0"/>
          <w:color w:val="auto"/>
          <w:kern w:val="0"/>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BA528D4">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账号：</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rPr>
        <w:t xml:space="preserve"> 账号：</w:t>
      </w:r>
      <w:r>
        <w:rPr>
          <w:rFonts w:hint="eastAsia" w:ascii="宋体" w:hAnsi="宋体" w:cs="宋体"/>
          <w:snapToGrid w:val="0"/>
          <w:color w:val="auto"/>
          <w:kern w:val="0"/>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81626B0">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电话：</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电话：</w:t>
      </w:r>
      <w:r>
        <w:rPr>
          <w:rFonts w:hint="eastAsia" w:ascii="宋体" w:hAnsi="宋体" w:cs="宋体"/>
          <w:snapToGrid w:val="0"/>
          <w:color w:val="auto"/>
          <w:kern w:val="0"/>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282900A1">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传真：</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传真：</w:t>
      </w:r>
      <w:r>
        <w:rPr>
          <w:rFonts w:hint="eastAsia" w:ascii="宋体" w:hAnsi="宋体" w:cs="宋体"/>
          <w:snapToGrid w:val="0"/>
          <w:color w:val="auto"/>
          <w:kern w:val="0"/>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7359AA78">
      <w:pPr>
        <w:shd w:val="clear"/>
        <w:spacing w:line="276"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电子邮箱：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电子邮箱：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p>
    <w:p w14:paraId="2FCC5F96">
      <w:pPr>
        <w:shd w:val="clear"/>
        <w:spacing w:line="400" w:lineRule="exact"/>
        <w:rPr>
          <w:rFonts w:ascii="宋体" w:hAnsi="宋体" w:cs="宋体"/>
          <w:b/>
          <w:bCs/>
          <w:snapToGrid w:val="0"/>
          <w:color w:val="auto"/>
          <w:kern w:val="0"/>
          <w:sz w:val="30"/>
          <w:szCs w:val="30"/>
          <w:highlight w:val="none"/>
        </w:rPr>
      </w:pPr>
      <w:bookmarkStart w:id="56" w:name="_Toc500748804"/>
    </w:p>
    <w:p w14:paraId="52E60909">
      <w:pPr>
        <w:shd w:val="clear"/>
        <w:spacing w:line="400" w:lineRule="exact"/>
        <w:jc w:val="center"/>
        <w:rPr>
          <w:rFonts w:hint="eastAsia" w:ascii="宋体" w:hAnsi="宋体" w:cs="宋体"/>
          <w:b/>
          <w:bCs/>
          <w:snapToGrid w:val="0"/>
          <w:color w:val="auto"/>
          <w:kern w:val="0"/>
          <w:sz w:val="30"/>
          <w:szCs w:val="30"/>
          <w:highlight w:val="none"/>
        </w:rPr>
      </w:pPr>
    </w:p>
    <w:p w14:paraId="1DA73A76">
      <w:pPr>
        <w:shd w:val="clear"/>
        <w:spacing w:line="400" w:lineRule="exact"/>
        <w:jc w:val="center"/>
        <w:rPr>
          <w:rFonts w:hint="eastAsia" w:ascii="宋体" w:hAnsi="宋体" w:cs="宋体"/>
          <w:b/>
          <w:bCs/>
          <w:snapToGrid w:val="0"/>
          <w:color w:val="auto"/>
          <w:kern w:val="0"/>
          <w:sz w:val="30"/>
          <w:szCs w:val="30"/>
          <w:highlight w:val="none"/>
        </w:rPr>
      </w:pPr>
    </w:p>
    <w:p w14:paraId="5599CD96">
      <w:pPr>
        <w:shd w:val="clear"/>
        <w:spacing w:line="400" w:lineRule="exact"/>
        <w:jc w:val="center"/>
        <w:rPr>
          <w:rFonts w:hint="eastAsia" w:ascii="宋体" w:hAnsi="宋体" w:cs="宋体"/>
          <w:b/>
          <w:bCs/>
          <w:snapToGrid w:val="0"/>
          <w:color w:val="auto"/>
          <w:kern w:val="0"/>
          <w:sz w:val="30"/>
          <w:szCs w:val="30"/>
          <w:highlight w:val="none"/>
        </w:rPr>
      </w:pPr>
    </w:p>
    <w:p w14:paraId="4F18701B">
      <w:pPr>
        <w:shd w:val="clear"/>
        <w:spacing w:line="400" w:lineRule="exact"/>
        <w:jc w:val="center"/>
        <w:rPr>
          <w:rFonts w:hint="eastAsia" w:ascii="宋体" w:hAnsi="宋体" w:cs="宋体"/>
          <w:b/>
          <w:bCs/>
          <w:snapToGrid w:val="0"/>
          <w:color w:val="auto"/>
          <w:kern w:val="0"/>
          <w:sz w:val="30"/>
          <w:szCs w:val="30"/>
          <w:highlight w:val="none"/>
        </w:rPr>
      </w:pPr>
    </w:p>
    <w:p w14:paraId="089FD2A3">
      <w:pPr>
        <w:pStyle w:val="52"/>
        <w:shd w:val="clear"/>
        <w:rPr>
          <w:rFonts w:hint="eastAsia"/>
          <w:color w:val="auto"/>
          <w:highlight w:val="none"/>
        </w:rPr>
      </w:pPr>
    </w:p>
    <w:p w14:paraId="325F4C3A">
      <w:pPr>
        <w:shd w:val="clear"/>
        <w:spacing w:line="400" w:lineRule="exact"/>
        <w:jc w:val="center"/>
        <w:rPr>
          <w:rFonts w:ascii="宋体" w:hAnsi="宋体" w:cs="宋体"/>
          <w:b/>
          <w:bCs/>
          <w:snapToGrid w:val="0"/>
          <w:color w:val="auto"/>
          <w:kern w:val="0"/>
          <w:sz w:val="28"/>
          <w:szCs w:val="28"/>
          <w:highlight w:val="none"/>
        </w:rPr>
      </w:pPr>
      <w:r>
        <w:rPr>
          <w:rFonts w:hint="eastAsia" w:ascii="宋体" w:hAnsi="宋体" w:cs="宋体"/>
          <w:b/>
          <w:bCs/>
          <w:snapToGrid w:val="0"/>
          <w:color w:val="auto"/>
          <w:kern w:val="0"/>
          <w:sz w:val="30"/>
          <w:szCs w:val="30"/>
          <w:highlight w:val="none"/>
        </w:rPr>
        <w:t>第二部分  通用条件</w:t>
      </w:r>
      <w:bookmarkEnd w:id="56"/>
    </w:p>
    <w:p w14:paraId="4CDD3AC6">
      <w:pPr>
        <w:shd w:val="clear"/>
        <w:spacing w:line="400" w:lineRule="exact"/>
        <w:jc w:val="center"/>
        <w:rPr>
          <w:rFonts w:ascii="宋体" w:hAnsi="宋体" w:cs="宋体"/>
          <w:b/>
          <w:snapToGrid w:val="0"/>
          <w:color w:val="auto"/>
          <w:kern w:val="0"/>
          <w:sz w:val="24"/>
          <w:highlight w:val="none"/>
        </w:rPr>
      </w:pPr>
    </w:p>
    <w:p w14:paraId="7C4AACC5">
      <w:pPr>
        <w:keepNext/>
        <w:keepLines/>
        <w:shd w:val="clear"/>
        <w:spacing w:before="20" w:after="20" w:line="400" w:lineRule="exact"/>
        <w:outlineLvl w:val="2"/>
        <w:rPr>
          <w:rFonts w:ascii="宋体" w:hAnsi="宋体" w:cs="宋体"/>
          <w:b/>
          <w:bCs/>
          <w:snapToGrid w:val="0"/>
          <w:color w:val="auto"/>
          <w:kern w:val="0"/>
          <w:sz w:val="24"/>
          <w:highlight w:val="none"/>
        </w:rPr>
      </w:pPr>
      <w:bookmarkStart w:id="57" w:name="_Toc500748805"/>
      <w:r>
        <w:rPr>
          <w:rFonts w:hint="eastAsia" w:ascii="宋体" w:hAnsi="宋体" w:cs="宋体"/>
          <w:b/>
          <w:bCs/>
          <w:snapToGrid w:val="0"/>
          <w:color w:val="auto"/>
          <w:kern w:val="0"/>
          <w:sz w:val="24"/>
          <w:highlight w:val="none"/>
        </w:rPr>
        <w:t>1. 定义与解释</w:t>
      </w:r>
      <w:bookmarkEnd w:id="57"/>
    </w:p>
    <w:p w14:paraId="635B8E07">
      <w:pPr>
        <w:shd w:val="clear"/>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1.1 </w:t>
      </w:r>
      <w:r>
        <w:rPr>
          <w:rFonts w:hint="eastAsia" w:ascii="宋体" w:hAnsi="宋体" w:cs="宋体"/>
          <w:bCs/>
          <w:snapToGrid w:val="0"/>
          <w:color w:val="auto"/>
          <w:kern w:val="0"/>
          <w:sz w:val="24"/>
          <w:highlight w:val="none"/>
        </w:rPr>
        <w:t>定义</w:t>
      </w:r>
    </w:p>
    <w:p w14:paraId="6285E28F">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除根据上下文另有其意义外，组成本合同的全部文件中的下列名词和用语应具有本款所赋予的含义：</w:t>
      </w:r>
    </w:p>
    <w:p w14:paraId="33DA7F00">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 “工程”是指按照本合同约定实施监理与相关服务的建设工程。</w:t>
      </w:r>
    </w:p>
    <w:p w14:paraId="41A9835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1.1.2 “委托人”是指本合同中委托监理与相关服务的一方，及其合法的继承人或受让人。</w:t>
      </w:r>
    </w:p>
    <w:p w14:paraId="18580CF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1.1.3 “监理人”是指本合同中提供监理与相关服务的一方，及其合法的继承人。</w:t>
      </w:r>
    </w:p>
    <w:p w14:paraId="5277E57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1.1.4 “承包人”是指在工程范围内与委托人签订勘察、设计、施工等有关合同的当事人，及其合法的继承人。</w:t>
      </w:r>
    </w:p>
    <w:p w14:paraId="2A66457B">
      <w:pPr>
        <w:shd w:val="clear"/>
        <w:spacing w:line="400" w:lineRule="exact"/>
        <w:ind w:firstLine="57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2EC614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1.1.6 “相关服务”是指监理人受委托人的委托 ，按照本合同约定，在勘察、设计、保修等阶段提供的服务活动。</w:t>
      </w:r>
    </w:p>
    <w:p w14:paraId="269F085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1.1.7 “正常工作”指本合同订立时通用条件和专用条件中约定的监理人的工作。</w:t>
      </w:r>
    </w:p>
    <w:p w14:paraId="396FA51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1.1.8 “附加工作”是指①委托人委托监理范围以外，通过双方书面协议另外增加的工作内容；②由于委托人或承包人原因，使监理工作受到阻碍或延误，因增加工作量或持续时间而增加的工作。</w:t>
      </w:r>
    </w:p>
    <w:p w14:paraId="3AEEF29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1.1.9 “项目监理机构”是指监理人派驻工程负责履行本合同的组织机构。</w:t>
      </w:r>
    </w:p>
    <w:p w14:paraId="3351274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1.1.10 “总监理工程师”是指由监理人的法定代表人书面授权，全面负责履行本合同、主持项目监理机构工作的注册监理工程师。</w:t>
      </w:r>
    </w:p>
    <w:p w14:paraId="1D7B694B">
      <w:pPr>
        <w:shd w:val="clear"/>
        <w:adjustRightInd w:val="0"/>
        <w:snapToGrid w:val="0"/>
        <w:spacing w:line="400" w:lineRule="exact"/>
        <w:ind w:firstLine="475" w:firstLineChars="19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1.1.11 “酬金”是指监理人履行本合同义务，委托人按照本合同约定给付监理人的金额。</w:t>
      </w:r>
    </w:p>
    <w:p w14:paraId="79994ECC">
      <w:pPr>
        <w:shd w:val="clear"/>
        <w:adjustRightInd w:val="0"/>
        <w:snapToGrid w:val="0"/>
        <w:spacing w:line="400" w:lineRule="exact"/>
        <w:ind w:firstLine="475" w:firstLineChars="19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1.1.12 “正常工作酬金”是指监理人完成正常工作，委托人应给付监理人并在协议书中载明的签约酬金额。</w:t>
      </w:r>
    </w:p>
    <w:p w14:paraId="0CE3A0AB">
      <w:pPr>
        <w:shd w:val="clear"/>
        <w:adjustRightInd w:val="0"/>
        <w:snapToGrid w:val="0"/>
        <w:spacing w:line="400" w:lineRule="exact"/>
        <w:ind w:firstLine="475" w:firstLineChars="198"/>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1.1.13 “附加工作酬金”是指监理人完成附加工作，委托人应给付监理人的金额。</w:t>
      </w:r>
    </w:p>
    <w:p w14:paraId="4DDF72F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1.1.14 “一方”是指委托人或监理人；“双方”是指委托人和监理人；“第三方”是指除委托人和监理人以外的有关方。</w:t>
      </w:r>
    </w:p>
    <w:p w14:paraId="5251E32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1.1.15 “书面形式”是指合同书、信件和数据电文（包括电报、电传、传真、电子数据交换和电子邮件）等可以有形地表现所载内容的形式。</w:t>
      </w:r>
    </w:p>
    <w:p w14:paraId="7194586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1.1.16 “天”是指第一天零时至第二天零时的时间。</w:t>
      </w:r>
    </w:p>
    <w:p w14:paraId="3B9E979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1.1.17“月”是指按公历从一个月中任何一天开始的一个公历月时间。</w:t>
      </w:r>
    </w:p>
    <w:p w14:paraId="06D63FD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00FDAEA1">
      <w:pPr>
        <w:shd w:val="clear"/>
        <w:adjustRightInd w:val="0"/>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1.2 </w:t>
      </w:r>
      <w:r>
        <w:rPr>
          <w:rFonts w:hint="eastAsia" w:ascii="宋体" w:hAnsi="宋体" w:cs="宋体"/>
          <w:snapToGrid w:val="0"/>
          <w:color w:val="auto"/>
          <w:kern w:val="0"/>
          <w:sz w:val="24"/>
          <w:highlight w:val="none"/>
        </w:rPr>
        <w:t>解释</w:t>
      </w:r>
    </w:p>
    <w:p w14:paraId="29175866">
      <w:pPr>
        <w:shd w:val="clear"/>
        <w:tabs>
          <w:tab w:val="left" w:pos="6140"/>
        </w:tabs>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1.2.1本合同使用中文书写、解释和说明。如专用条件约定使用两种及以上语言文字时，应以中文为准。</w:t>
      </w:r>
    </w:p>
    <w:p w14:paraId="49A14AA8">
      <w:pPr>
        <w:shd w:val="clear"/>
        <w:tabs>
          <w:tab w:val="left" w:pos="6140"/>
        </w:tabs>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1.2.2 组成本合同的下列文件彼此应能相互解释、互为说明。除专用条件另有约定外，本合同文件的解释顺序如下：</w:t>
      </w:r>
    </w:p>
    <w:p w14:paraId="7EA50C9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（1）协议书；</w:t>
      </w:r>
    </w:p>
    <w:p w14:paraId="20CF030F">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（2）成交通知书；</w:t>
      </w:r>
    </w:p>
    <w:p w14:paraId="7CB62DD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（3）专用条件及附录A；</w:t>
      </w:r>
    </w:p>
    <w:p w14:paraId="4EC670A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（4）通用条件；</w:t>
      </w:r>
    </w:p>
    <w:p w14:paraId="1E05E6E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w:t>
      </w:r>
      <w:r>
        <w:rPr>
          <w:rFonts w:hint="eastAsia" w:ascii="宋体" w:hAnsi="宋体" w:cs="宋体"/>
          <w:snapToGrid w:val="0"/>
          <w:color w:val="auto"/>
          <w:kern w:val="0"/>
          <w:sz w:val="24"/>
          <w:highlight w:val="none"/>
          <w:lang w:eastAsia="zh-CN"/>
        </w:rPr>
        <w:t>磋商</w:t>
      </w:r>
      <w:r>
        <w:rPr>
          <w:rFonts w:hint="eastAsia" w:ascii="宋体" w:hAnsi="宋体" w:cs="宋体"/>
          <w:snapToGrid w:val="0"/>
          <w:color w:val="auto"/>
          <w:kern w:val="0"/>
          <w:sz w:val="24"/>
          <w:highlight w:val="none"/>
        </w:rPr>
        <w:t>响应文件。</w:t>
      </w:r>
    </w:p>
    <w:p w14:paraId="5516262E">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双方签订的补充协议与其他文件发生矛盾或歧义时，属于同一类内容的文件，应以最新签署的为准。</w:t>
      </w:r>
    </w:p>
    <w:p w14:paraId="287FB3B0">
      <w:pPr>
        <w:keepNext/>
        <w:keepLines/>
        <w:shd w:val="clear"/>
        <w:spacing w:before="20" w:after="20" w:line="400" w:lineRule="exact"/>
        <w:outlineLvl w:val="2"/>
        <w:rPr>
          <w:rFonts w:ascii="宋体" w:hAnsi="宋体" w:cs="宋体"/>
          <w:b/>
          <w:bCs/>
          <w:snapToGrid w:val="0"/>
          <w:color w:val="auto"/>
          <w:kern w:val="0"/>
          <w:sz w:val="24"/>
          <w:highlight w:val="none"/>
        </w:rPr>
      </w:pPr>
      <w:bookmarkStart w:id="58" w:name="_Toc500748806"/>
      <w:r>
        <w:rPr>
          <w:rFonts w:hint="eastAsia" w:ascii="宋体" w:hAnsi="宋体" w:cs="宋体"/>
          <w:b/>
          <w:bCs/>
          <w:snapToGrid w:val="0"/>
          <w:color w:val="auto"/>
          <w:kern w:val="0"/>
          <w:sz w:val="24"/>
          <w:highlight w:val="none"/>
        </w:rPr>
        <w:t>2. 监理人的义务</w:t>
      </w:r>
      <w:bookmarkEnd w:id="58"/>
    </w:p>
    <w:p w14:paraId="32B6F684">
      <w:pPr>
        <w:shd w:val="clear"/>
        <w:adjustRightInd w:val="0"/>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2.1 监理的范围和工作内容</w:t>
      </w:r>
    </w:p>
    <w:p w14:paraId="4ED03325">
      <w:pPr>
        <w:shd w:val="clear"/>
        <w:adjustRightInd w:val="0"/>
        <w:snapToGrid w:val="0"/>
        <w:spacing w:line="400" w:lineRule="exact"/>
        <w:ind w:left="420" w:left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2.1.1 监理范围在专用条件中约定。</w:t>
      </w:r>
    </w:p>
    <w:p w14:paraId="3D15B354">
      <w:pPr>
        <w:shd w:val="clear"/>
        <w:adjustRightInd w:val="0"/>
        <w:snapToGrid w:val="0"/>
        <w:spacing w:line="400" w:lineRule="exact"/>
        <w:ind w:left="420" w:left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2.1.2 除专用条件另有约定外，监理工作内容包括：</w:t>
      </w:r>
    </w:p>
    <w:p w14:paraId="347B14E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（1）收到工程设计文件后编制监理规划，并在第一次工地会议7天前报委托人。根据有关规定和监理工作需要，编制监理实施细则；</w:t>
      </w:r>
    </w:p>
    <w:p w14:paraId="262B043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（2）熟悉工程设计文件，并参加由委托人主持的图纸会审和设计交底会议；</w:t>
      </w:r>
    </w:p>
    <w:p w14:paraId="138B75F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（3）参加由委托人主持的第一次工地会议；主持监理例会并根据工程需要主持或参加专题会议；</w:t>
      </w:r>
    </w:p>
    <w:p w14:paraId="2DD34C1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（4）审查施工承包人提交的施工组织设计，重点审查其中的质量安全技术措施、专项施工方案与工程建设强制性标准的符合性；</w:t>
      </w:r>
    </w:p>
    <w:p w14:paraId="372D7B4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（5）检查施工承包人工程质量、安全生产管理制度及组织机构和人员资格； </w:t>
      </w:r>
    </w:p>
    <w:p w14:paraId="20B0F7C3">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（6）检查施工承包人专职安全生产管理人员的配备情况；</w:t>
      </w:r>
    </w:p>
    <w:p w14:paraId="762B294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（7）审查施工承包人提交的施工进度计划，核查承包人对施工进度计划的调整；</w:t>
      </w:r>
    </w:p>
    <w:p w14:paraId="637A00C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（8）检查施工承包人的试验室；</w:t>
      </w:r>
    </w:p>
    <w:p w14:paraId="32A65DC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（9）审核施工分包人资质条件；</w:t>
      </w:r>
    </w:p>
    <w:p w14:paraId="5EECF65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（10）查验施工承包人的施工测量放线成果；</w:t>
      </w:r>
    </w:p>
    <w:p w14:paraId="130D4978">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（11）审查工程开工条件，对条件具备的签发开工令；</w:t>
      </w:r>
    </w:p>
    <w:p w14:paraId="162A63F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（12）审查施工承包人报送的工程材料、构配件、设备质量证明文件的有效性和符合性，并按规定对用于工程的材料采取平行检验或见证取样方式进行抽检；</w:t>
      </w:r>
    </w:p>
    <w:p w14:paraId="55789651">
      <w:pPr>
        <w:shd w:val="clear"/>
        <w:adjustRightInd w:val="0"/>
        <w:snapToGrid w:val="0"/>
        <w:spacing w:line="400" w:lineRule="exact"/>
        <w:ind w:firstLine="360" w:firstLineChars="1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（13）审核施工承包人提交的工程款支付申请，签发或出具工程款支付证书，并报委托人审核、批准；</w:t>
      </w:r>
    </w:p>
    <w:p w14:paraId="4D11826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（14）在巡视、旁站和检验过程中，发现工程质量、施工安全存在事故隐患的，要求施工承包人整改并报委托人；</w:t>
      </w:r>
    </w:p>
    <w:p w14:paraId="0E73609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（15）经委托人同意，签发工程暂停令和复工令；</w:t>
      </w:r>
    </w:p>
    <w:p w14:paraId="5316BC1F">
      <w:pPr>
        <w:shd w:val="clear"/>
        <w:adjustRightInd w:val="0"/>
        <w:snapToGrid w:val="0"/>
        <w:spacing w:line="400" w:lineRule="exact"/>
        <w:ind w:firstLine="360" w:firstLineChars="1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（16）审查施工承包人提交的采用新材料、新工艺、新技术、新设备的论证材料及相关验收标准；</w:t>
      </w:r>
    </w:p>
    <w:p w14:paraId="6B67180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（17）验收隐蔽工程、分部分项工程；</w:t>
      </w:r>
    </w:p>
    <w:p w14:paraId="27C2C0C8">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（18）审查施工承包人提交的工程变更申请，协调处理施工进度调整、费用索赔、合同争议等事项；</w:t>
      </w:r>
    </w:p>
    <w:p w14:paraId="438BC02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（19）审查施工承包人提交的竣工验收申请，编写工程质量评估报告；</w:t>
      </w:r>
    </w:p>
    <w:p w14:paraId="02B8B2C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（20）参加工程竣工验收，签署竣工验收意见；</w:t>
      </w:r>
    </w:p>
    <w:p w14:paraId="446196E4">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（21）审查施工承包人提交的竣工结算申请并报委托人；</w:t>
      </w:r>
    </w:p>
    <w:p w14:paraId="5D2BFD8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（22）编制、整理工程监理归档文件并报委托人。</w:t>
      </w:r>
    </w:p>
    <w:p w14:paraId="1E86D01A">
      <w:pPr>
        <w:shd w:val="clear"/>
        <w:snapToGrid w:val="0"/>
        <w:spacing w:line="400" w:lineRule="exact"/>
        <w:ind w:left="420" w:leftChars="2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2.1.3 相关服务的范围和内容在附录A中约定。</w:t>
      </w:r>
    </w:p>
    <w:p w14:paraId="7B6C727A">
      <w:pPr>
        <w:shd w:val="clear"/>
        <w:snapToGrid w:val="0"/>
        <w:spacing w:line="400" w:lineRule="exact"/>
        <w:ind w:firstLine="240" w:firstLine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2.2 </w:t>
      </w:r>
      <w:r>
        <w:rPr>
          <w:rFonts w:hint="eastAsia" w:ascii="宋体" w:hAnsi="宋体" w:cs="宋体"/>
          <w:bCs/>
          <w:snapToGrid w:val="0"/>
          <w:color w:val="auto"/>
          <w:kern w:val="0"/>
          <w:sz w:val="24"/>
          <w:highlight w:val="none"/>
        </w:rPr>
        <w:t>监理与相关服务依据</w:t>
      </w:r>
    </w:p>
    <w:p w14:paraId="12B02D2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2.2.1 监理依据包括：</w:t>
      </w:r>
    </w:p>
    <w:p w14:paraId="1C832864">
      <w:pPr>
        <w:shd w:val="clear"/>
        <w:adjustRightInd w:val="0"/>
        <w:snapToGrid w:val="0"/>
        <w:spacing w:line="400" w:lineRule="exact"/>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（1）适用的法律、行政法规及部门规章；</w:t>
      </w:r>
    </w:p>
    <w:p w14:paraId="6FA7290E">
      <w:pPr>
        <w:shd w:val="clear"/>
        <w:adjustRightInd w:val="0"/>
        <w:snapToGrid w:val="0"/>
        <w:spacing w:line="400" w:lineRule="exact"/>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（2）与工程有关的标准；</w:t>
      </w:r>
    </w:p>
    <w:p w14:paraId="3CBFC41E">
      <w:pPr>
        <w:shd w:val="clear"/>
        <w:adjustRightInd w:val="0"/>
        <w:snapToGrid w:val="0"/>
        <w:spacing w:line="400" w:lineRule="exact"/>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（3）工程设计及有关文件；</w:t>
      </w:r>
    </w:p>
    <w:p w14:paraId="079351D1">
      <w:pPr>
        <w:shd w:val="clear"/>
        <w:adjustRightInd w:val="0"/>
        <w:snapToGrid w:val="0"/>
        <w:spacing w:line="400" w:lineRule="exact"/>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（4）本合同及委托人与第三方签订的与实施工程有关的其他合同。</w:t>
      </w:r>
    </w:p>
    <w:p w14:paraId="59B03F38">
      <w:pPr>
        <w:shd w:val="clear"/>
        <w:snapToGrid w:val="0"/>
        <w:spacing w:line="400" w:lineRule="exact"/>
        <w:ind w:left="210" w:leftChars="100"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双方根据工程的行业和地域特点，在专用条件中具体约定监理依据。</w:t>
      </w:r>
    </w:p>
    <w:p w14:paraId="70294F0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2.2.2 相关服务依据在专用条件中约定。</w:t>
      </w:r>
    </w:p>
    <w:p w14:paraId="321E1248">
      <w:pPr>
        <w:shd w:val="clear"/>
        <w:snapToGrid w:val="0"/>
        <w:spacing w:line="400" w:lineRule="exact"/>
        <w:ind w:firstLine="240" w:firstLine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 项目监理机构和人员</w:t>
      </w:r>
    </w:p>
    <w:p w14:paraId="1D5647B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2.3.1 监理人应组建满足工作需要的项目监理机构，配备必要的检测设备。项目监理机构的主要人员应具有相应的资格条件。</w:t>
      </w:r>
    </w:p>
    <w:p w14:paraId="4048E5D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2.3.2本合同履行过程中，总监理工程师及重要岗位监理人员应保持相对稳定，以保证监理工作正常进行。</w:t>
      </w:r>
    </w:p>
    <w:p w14:paraId="41476BA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569F2C1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2.3.4 监理人应及时更换有下列情形之一的监理人员：</w:t>
      </w:r>
    </w:p>
    <w:p w14:paraId="019F469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（1）严重过失行为的；</w:t>
      </w:r>
    </w:p>
    <w:p w14:paraId="4F0A894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（2）有违法行为不能履行职责的；</w:t>
      </w:r>
    </w:p>
    <w:p w14:paraId="664CDC1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（3）涉嫌犯罪的；</w:t>
      </w:r>
    </w:p>
    <w:p w14:paraId="70EB933F">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（4）不能胜任岗位职责的；</w:t>
      </w:r>
    </w:p>
    <w:p w14:paraId="10CA916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（5）严重违反职业道德的；</w:t>
      </w:r>
    </w:p>
    <w:p w14:paraId="13B7587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（6）专用条件约定的其他情形。</w:t>
      </w:r>
    </w:p>
    <w:p w14:paraId="2C8C5CC9">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2.3.5 委托人可要求监理人更换不能胜任本职工作的项目监理机构人员。</w:t>
      </w:r>
    </w:p>
    <w:p w14:paraId="66C4204C">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 履行职责</w:t>
      </w:r>
    </w:p>
    <w:p w14:paraId="68F41F6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监理人应遵循职业道德准则和行为规范，严格按照法律法规、工程建设有关标准及本合同履行职责。</w:t>
      </w:r>
    </w:p>
    <w:p w14:paraId="779C6653">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2.4.1 在监理与相关服务范围内，委托人和承包人提出的意见和要求，监理人应及时提出处置意见。当委托人与承包人之间发生合同争议时，监理人应协助委托人、承包人协商解决。</w:t>
      </w:r>
    </w:p>
    <w:p w14:paraId="5ED04F10">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2.4.2 当委托人与承包人之间的合同争议提交仲裁机构仲裁或人民法院审理时，监理人应提供必要的证明资料。</w:t>
      </w:r>
    </w:p>
    <w:p w14:paraId="5D1672E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2.4.3 监理人应在专用条件约定的授权范围内，处理委托人与承包人所签订合同的变更事宜。如果变更超过授权范围，应以书面形式报委托人批准。</w:t>
      </w:r>
    </w:p>
    <w:p w14:paraId="56671320">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在紧急情况下，为了保护财产和人身安全，监理人所发出的指令未能事先报委托人批准时，应在发出指令后的24小时内以书面形式报委托人。</w:t>
      </w:r>
    </w:p>
    <w:p w14:paraId="614BB9E2">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2.4.4 除专用条件另有约定外，监理人发现承包人的人员不能胜任本职工作的，有权要求承包人予以调换。</w:t>
      </w:r>
    </w:p>
    <w:p w14:paraId="27D2CD7D">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2.5 提交报告</w:t>
      </w:r>
    </w:p>
    <w:p w14:paraId="6FF45E9D">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监理人应按专用条件约定的种类、时间和份数向委托人提交监理与相关服务的报告。</w:t>
      </w:r>
    </w:p>
    <w:p w14:paraId="72834E0F">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2.6 文件资料</w:t>
      </w:r>
    </w:p>
    <w:p w14:paraId="3D9E009C">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在本合同履行期内，监理人应在现场保留工作所用的图纸、报告及记录监理工作的相关文件。工程竣工后，应当按照档案管理规定将监理有关文件归档。</w:t>
      </w:r>
    </w:p>
    <w:p w14:paraId="70BCAD49">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2.7 使用委托人的财产</w:t>
      </w:r>
    </w:p>
    <w:p w14:paraId="63D8FB8E">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无偿使用由委托人提供（与监理的工程相适应）的房屋、资料、设备。除专用条件另有约定外，委托人提供的房屋、设备属于委托人的财产，监理人应妥善使用和保管，在本合同终止时将这些房屋、设备的清单提交委托人，并按专用条件约定的时间和方式移交。</w:t>
      </w:r>
    </w:p>
    <w:p w14:paraId="6E4ECADD">
      <w:pPr>
        <w:keepNext/>
        <w:keepLines/>
        <w:shd w:val="clear"/>
        <w:snapToGrid w:val="0"/>
        <w:spacing w:line="400" w:lineRule="exact"/>
        <w:outlineLvl w:val="2"/>
        <w:rPr>
          <w:rFonts w:ascii="宋体" w:hAnsi="宋体" w:cs="宋体"/>
          <w:b/>
          <w:bCs/>
          <w:snapToGrid w:val="0"/>
          <w:color w:val="auto"/>
          <w:kern w:val="0"/>
          <w:sz w:val="24"/>
          <w:highlight w:val="none"/>
        </w:rPr>
      </w:pPr>
      <w:bookmarkStart w:id="59" w:name="_Toc500748807"/>
      <w:r>
        <w:rPr>
          <w:rFonts w:hint="eastAsia" w:ascii="宋体" w:hAnsi="宋体" w:cs="宋体"/>
          <w:b/>
          <w:bCs/>
          <w:snapToGrid w:val="0"/>
          <w:color w:val="auto"/>
          <w:kern w:val="0"/>
          <w:sz w:val="24"/>
          <w:highlight w:val="none"/>
        </w:rPr>
        <w:t>3．委托人的义务</w:t>
      </w:r>
      <w:bookmarkEnd w:id="59"/>
    </w:p>
    <w:p w14:paraId="492DB065">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 告知</w:t>
      </w:r>
    </w:p>
    <w:p w14:paraId="7DBF801A">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委托人应在委托人与承包人签订的合同中明确监理人、总监理工程师和授予项目监理机构的权限。如有变更，应及时通知承包人。</w:t>
      </w:r>
    </w:p>
    <w:p w14:paraId="5A379A7B">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 提供资料</w:t>
      </w:r>
    </w:p>
    <w:p w14:paraId="6EC38F2E">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委托人应无偿向监理人提供工程有关的资料。在本合同履行过程中，委托人应及时向监理人提供最新的与工程有关的资料。</w:t>
      </w:r>
    </w:p>
    <w:p w14:paraId="09303CD8">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3.3 提供工作条件</w:t>
      </w:r>
    </w:p>
    <w:p w14:paraId="12FF559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委托人应为监理人完成监理与相关服务提供必要的条件。</w:t>
      </w:r>
    </w:p>
    <w:p w14:paraId="500E2F3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3.3.1 委托人应提供（与监理的工程相适应）的房屋、设备，供监理人无偿使用。</w:t>
      </w:r>
    </w:p>
    <w:p w14:paraId="2C715F14">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3.3.2 委托人应负责协调工程建设中所有外部关系，为监理人履行本合同提供必要的外部条件。</w:t>
      </w:r>
    </w:p>
    <w:p w14:paraId="38111801">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3.4 委托人代表</w:t>
      </w:r>
    </w:p>
    <w:p w14:paraId="72C1FED7">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14:paraId="0B7BB54D">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3.5 委托人意见或要求</w:t>
      </w:r>
    </w:p>
    <w:p w14:paraId="4D3F75FC">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在本合同约定的监理与相关服务工作范围内，委托人对承包人的任何意见或要求应通知监理人，由监理人向承包人发出相应指令。</w:t>
      </w:r>
    </w:p>
    <w:p w14:paraId="1D80E3F0">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3.6 答复</w:t>
      </w:r>
    </w:p>
    <w:p w14:paraId="1166B495">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委托人应在专用条件约定的时间内，对监理人以书面形式提交并要求作出决定的事宜，给予书面答复。逾期未答复的，视为委托人认可。</w:t>
      </w:r>
    </w:p>
    <w:p w14:paraId="51C14D63">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3.7 支付</w:t>
      </w:r>
    </w:p>
    <w:p w14:paraId="6A3CA757">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委托人应按本合同约定，向监理人支付酬金。</w:t>
      </w:r>
    </w:p>
    <w:p w14:paraId="014FC383">
      <w:pPr>
        <w:keepNext/>
        <w:keepLines/>
        <w:shd w:val="clear"/>
        <w:snapToGrid w:val="0"/>
        <w:spacing w:line="400" w:lineRule="exact"/>
        <w:outlineLvl w:val="2"/>
        <w:rPr>
          <w:rFonts w:ascii="宋体" w:hAnsi="宋体" w:cs="宋体"/>
          <w:b/>
          <w:bCs/>
          <w:snapToGrid w:val="0"/>
          <w:color w:val="auto"/>
          <w:kern w:val="0"/>
          <w:sz w:val="24"/>
          <w:highlight w:val="none"/>
        </w:rPr>
      </w:pPr>
      <w:bookmarkStart w:id="60" w:name="_Toc500748808"/>
      <w:r>
        <w:rPr>
          <w:rFonts w:hint="eastAsia" w:ascii="宋体" w:hAnsi="宋体" w:cs="宋体"/>
          <w:b/>
          <w:bCs/>
          <w:snapToGrid w:val="0"/>
          <w:color w:val="auto"/>
          <w:kern w:val="0"/>
          <w:sz w:val="24"/>
          <w:highlight w:val="none"/>
        </w:rPr>
        <w:t>4. 违约责任</w:t>
      </w:r>
      <w:bookmarkEnd w:id="60"/>
    </w:p>
    <w:p w14:paraId="6DEC7B36">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4.1 监理人的违约责任</w:t>
      </w:r>
    </w:p>
    <w:p w14:paraId="53E4B30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监理人未履行本合同义务的，应承担相应的责任。</w:t>
      </w:r>
    </w:p>
    <w:p w14:paraId="66834BA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4.1.1 因监理人违反本合同约定给委托人造成损失的，监理人应当赔偿委托人损失。赔偿金额的确定方法在专用条件中约定。监理人承担部分赔偿责任的，其承担赔偿金额由双方协商确定。</w:t>
      </w:r>
    </w:p>
    <w:p w14:paraId="1A3E95D5">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4.1.2 监理人向委托人的索赔不成立时，监理人应赔偿委托人由此发生的费用。</w:t>
      </w:r>
    </w:p>
    <w:p w14:paraId="23272F83">
      <w:pPr>
        <w:shd w:val="clear"/>
        <w:snapToGrid w:val="0"/>
        <w:spacing w:line="400" w:lineRule="exact"/>
        <w:ind w:firstLine="240" w:firstLine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4.2 委托人的违约责任</w:t>
      </w:r>
    </w:p>
    <w:p w14:paraId="7CE58E7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委托人未履行本合同义务的，应承担相应的责任。</w:t>
      </w:r>
    </w:p>
    <w:p w14:paraId="597153A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4.2.1 委托人违反本合同约定造成监理人损失的，委托人应予以赔偿。</w:t>
      </w:r>
    </w:p>
    <w:p w14:paraId="489C44D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4.2.2 委托人向监理人的索赔不成立时，应赔偿监理人由此引起的费用。</w:t>
      </w:r>
    </w:p>
    <w:p w14:paraId="112B5228">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4.2.3 委托人未能按期支付酬金超过28天，应按专用条件约定支付逾期付款利息。</w:t>
      </w:r>
    </w:p>
    <w:p w14:paraId="025B4ADF">
      <w:pPr>
        <w:shd w:val="clear"/>
        <w:snapToGrid w:val="0"/>
        <w:spacing w:line="400" w:lineRule="exact"/>
        <w:ind w:firstLine="240" w:firstLine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4.3 除外责任</w:t>
      </w:r>
    </w:p>
    <w:p w14:paraId="2DACEBE0">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因非监理人的原因，且监理人无过错，发生工程质量事故、安全事故、工期延误等造成的损失，监理人不承担赔偿责任。</w:t>
      </w:r>
    </w:p>
    <w:p w14:paraId="6B5BF202">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因不可抗力导致本合同全部或部分不能履行时，双方各自承担其因此而造成的损失、损害。</w:t>
      </w:r>
    </w:p>
    <w:p w14:paraId="15CD2414">
      <w:pPr>
        <w:keepNext/>
        <w:keepLines/>
        <w:shd w:val="clear"/>
        <w:snapToGrid w:val="0"/>
        <w:spacing w:line="400" w:lineRule="exact"/>
        <w:outlineLvl w:val="2"/>
        <w:rPr>
          <w:rFonts w:ascii="宋体" w:hAnsi="宋体" w:cs="宋体"/>
          <w:b/>
          <w:bCs/>
          <w:snapToGrid w:val="0"/>
          <w:color w:val="auto"/>
          <w:kern w:val="0"/>
          <w:sz w:val="24"/>
          <w:highlight w:val="none"/>
        </w:rPr>
      </w:pPr>
      <w:bookmarkStart w:id="61" w:name="_Toc500748809"/>
      <w:r>
        <w:rPr>
          <w:rFonts w:hint="eastAsia" w:ascii="宋体" w:hAnsi="宋体" w:cs="宋体"/>
          <w:b/>
          <w:bCs/>
          <w:snapToGrid w:val="0"/>
          <w:color w:val="auto"/>
          <w:kern w:val="0"/>
          <w:sz w:val="24"/>
          <w:highlight w:val="none"/>
        </w:rPr>
        <w:t>5. 支付</w:t>
      </w:r>
      <w:bookmarkEnd w:id="61"/>
    </w:p>
    <w:p w14:paraId="7C2AA9F6">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5.1 </w:t>
      </w:r>
      <w:r>
        <w:rPr>
          <w:rFonts w:hint="eastAsia" w:ascii="宋体" w:hAnsi="宋体" w:cs="宋体"/>
          <w:bCs/>
          <w:snapToGrid w:val="0"/>
          <w:color w:val="auto"/>
          <w:kern w:val="0"/>
          <w:sz w:val="24"/>
          <w:highlight w:val="none"/>
        </w:rPr>
        <w:t>支付货币</w:t>
      </w:r>
    </w:p>
    <w:p w14:paraId="46983F94">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除专用条件另有约定外，酬金均以人民币支付。涉及外币支付的，所采用的货币种类、比例和汇率在专用条件中约定。</w:t>
      </w:r>
    </w:p>
    <w:p w14:paraId="272053BA">
      <w:pPr>
        <w:shd w:val="clear"/>
        <w:snapToGrid w:val="0"/>
        <w:spacing w:line="400" w:lineRule="exact"/>
        <w:ind w:firstLine="240" w:firstLine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5.2 支付申请</w:t>
      </w:r>
    </w:p>
    <w:p w14:paraId="53E6658B">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监理人应在本合同约定的每次应付款时间的7天前，向委托人提交支付申请书。支付申请书应当说明当期应付款总额，并列出当期应支付的款项及其金额。</w:t>
      </w:r>
    </w:p>
    <w:p w14:paraId="7CE2AA0A">
      <w:pPr>
        <w:shd w:val="clear"/>
        <w:snapToGrid w:val="0"/>
        <w:spacing w:line="400" w:lineRule="exac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5.3 支付酬金</w:t>
      </w:r>
    </w:p>
    <w:p w14:paraId="41CD5FF7">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支付的酬金包括正常工作酬金、已实际发生的附加工作酬金及经委托人确认的合理化建议奖励费用。</w:t>
      </w:r>
    </w:p>
    <w:p w14:paraId="100B3D82">
      <w:pPr>
        <w:shd w:val="clear"/>
        <w:snapToGrid w:val="0"/>
        <w:spacing w:line="400" w:lineRule="exact"/>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  5.4 </w:t>
      </w:r>
      <w:r>
        <w:rPr>
          <w:rFonts w:hint="eastAsia" w:ascii="宋体" w:hAnsi="宋体" w:cs="宋体"/>
          <w:bCs/>
          <w:snapToGrid w:val="0"/>
          <w:color w:val="auto"/>
          <w:kern w:val="0"/>
          <w:sz w:val="24"/>
          <w:highlight w:val="none"/>
        </w:rPr>
        <w:t>有争议部分的付款</w:t>
      </w:r>
    </w:p>
    <w:p w14:paraId="48FC77CE">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44654E18">
      <w:pPr>
        <w:keepNext/>
        <w:keepLines/>
        <w:shd w:val="clear"/>
        <w:snapToGrid w:val="0"/>
        <w:spacing w:line="400" w:lineRule="exact"/>
        <w:outlineLvl w:val="2"/>
        <w:rPr>
          <w:rFonts w:ascii="宋体" w:hAnsi="宋体" w:cs="宋体"/>
          <w:b/>
          <w:bCs/>
          <w:snapToGrid w:val="0"/>
          <w:color w:val="auto"/>
          <w:kern w:val="0"/>
          <w:sz w:val="24"/>
          <w:highlight w:val="none"/>
        </w:rPr>
      </w:pPr>
      <w:bookmarkStart w:id="62" w:name="_Toc500748810"/>
      <w:r>
        <w:rPr>
          <w:rFonts w:hint="eastAsia" w:ascii="宋体" w:hAnsi="宋体" w:cs="宋体"/>
          <w:b/>
          <w:bCs/>
          <w:snapToGrid w:val="0"/>
          <w:color w:val="auto"/>
          <w:kern w:val="0"/>
          <w:sz w:val="24"/>
          <w:highlight w:val="none"/>
        </w:rPr>
        <w:t>6. 合同生效、变更、暂停、解除与终止</w:t>
      </w:r>
      <w:bookmarkEnd w:id="62"/>
    </w:p>
    <w:p w14:paraId="3913EC88">
      <w:pPr>
        <w:shd w:val="clear"/>
        <w:snapToGrid w:val="0"/>
        <w:spacing w:line="400" w:lineRule="exact"/>
        <w:ind w:left="210" w:leftChars="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6.1生效</w:t>
      </w:r>
    </w:p>
    <w:p w14:paraId="5F4FD8FC">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除法律另有规定或者专用条件另有约定外，委托人和监理人的法定代表人或其授权代理人在协议书上签字并盖单位章后本合同生效。</w:t>
      </w:r>
    </w:p>
    <w:p w14:paraId="6434688D">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6.2</w:t>
      </w:r>
      <w:r>
        <w:rPr>
          <w:rFonts w:hint="eastAsia" w:ascii="宋体" w:hAnsi="宋体" w:cs="宋体"/>
          <w:bCs/>
          <w:snapToGrid w:val="0"/>
          <w:color w:val="auto"/>
          <w:kern w:val="0"/>
          <w:sz w:val="24"/>
          <w:highlight w:val="none"/>
        </w:rPr>
        <w:t>变更</w:t>
      </w:r>
    </w:p>
    <w:p w14:paraId="1BADF672">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6.2.1 任何一方提出变更请求时，双方经协商一致后可进行变更。</w:t>
      </w:r>
    </w:p>
    <w:p w14:paraId="2266118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32982E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6.2.3合同生效后，如果实际情况发生变化使得监理人不能完成全部或部分工作时，监理人应立即通知委托人。除不可抗力和监理人原因外，其善后工作以及恢复服务的准备工作应为附加工作，附加工作酬金的确定方法在专用条件中约定。监理人用于恢复服务的准备时间不应超过28天。</w:t>
      </w:r>
    </w:p>
    <w:p w14:paraId="3C8EF64D">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6.2.4合同签订后，遇有与工程相关的法律法规、标准颁布或修订的，双方应遵照执行。由此引起监理与相关服务的范围、时间、酬金变化的，双方应通过协商进行相应调整。</w:t>
      </w:r>
    </w:p>
    <w:p w14:paraId="09CBB93F">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6.2.5 因非监理人原因造成工程概算投资额或建筑安装工程费增加时，正常工作酬金应作相应调整。调整方法在专用条件中约定。</w:t>
      </w:r>
    </w:p>
    <w:p w14:paraId="1BB38F3B">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6.2.6 因工程规模、监理范围的变化导致监理人的正常工作量减少时，正常工作酬金应作相应调整。调整方法在专用条件中约定。</w:t>
      </w:r>
    </w:p>
    <w:p w14:paraId="5A624F4C">
      <w:pPr>
        <w:shd w:val="clear"/>
        <w:snapToGrid w:val="0"/>
        <w:spacing w:line="400" w:lineRule="exact"/>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  6.3 暂停与</w:t>
      </w:r>
      <w:r>
        <w:rPr>
          <w:rFonts w:hint="eastAsia" w:ascii="宋体" w:hAnsi="宋体" w:cs="宋体"/>
          <w:bCs/>
          <w:snapToGrid w:val="0"/>
          <w:color w:val="auto"/>
          <w:kern w:val="0"/>
          <w:sz w:val="24"/>
          <w:highlight w:val="none"/>
        </w:rPr>
        <w:t>解除</w:t>
      </w:r>
    </w:p>
    <w:p w14:paraId="00AF88B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除双方协商一致可以解除本合同外，当一方无正当理由未履行本合同约定的义务时，另一方可以根据本合同约定暂停履行本合同直至解除本合同。</w:t>
      </w:r>
    </w:p>
    <w:p w14:paraId="4D4B77D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E8CBF8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因解除本合同或解除监理人的部分义务导致监理人遭受的损失，除依法可以免除责任的情况外，应由委托人予以补偿，补偿金额由双方协商确定。</w:t>
      </w:r>
    </w:p>
    <w:p w14:paraId="5211069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解除本合同的协议必须采取书面形式，协议未达成之前，本合同仍然有效。</w:t>
      </w:r>
    </w:p>
    <w:p w14:paraId="7A95D83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62AC9F8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5E246EF">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6.3.3 当监理人无正当理由未履行本合同约定的义务时，委托人应通知监理人限期改正。若委托人在监理人接到通知后的7天内未收到监理人书面形式的合理解释，则7天期满即可发出解除本合同的通知，自通知到达监理人时本合同解除。委托人应将监理与相关服务的酬金支付至限期改正通知到达监理人之日，但监理人应承担第4.1款约定的责任。</w:t>
      </w:r>
    </w:p>
    <w:p w14:paraId="21ED73E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739B98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6.3.5 因不可抗力致使本合同部分或全部不能履行时，一方应立即通知另一方，可暂停或解除本合同。</w:t>
      </w:r>
    </w:p>
    <w:p w14:paraId="77DAC54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6.3.6 本合同解除后，本合同约定的有关结算、清理、争议解决方式的条件仍然有效。</w:t>
      </w:r>
    </w:p>
    <w:p w14:paraId="0C9B5B2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6.4 </w:t>
      </w:r>
      <w:r>
        <w:rPr>
          <w:rFonts w:hint="eastAsia" w:ascii="宋体" w:hAnsi="宋体" w:cs="宋体"/>
          <w:bCs/>
          <w:snapToGrid w:val="0"/>
          <w:color w:val="auto"/>
          <w:kern w:val="0"/>
          <w:sz w:val="24"/>
          <w:highlight w:val="none"/>
        </w:rPr>
        <w:t>终止</w:t>
      </w:r>
    </w:p>
    <w:p w14:paraId="35BF8ED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以下条件全部满足时，本合同即告终止：</w:t>
      </w:r>
    </w:p>
    <w:p w14:paraId="69029B6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（1）监理人完成本合同约定的全部工作；</w:t>
      </w:r>
    </w:p>
    <w:p w14:paraId="01E01CF4">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（2）委托人与监理人结清并支付全部酬金。</w:t>
      </w:r>
    </w:p>
    <w:p w14:paraId="5F7EFBEF">
      <w:pPr>
        <w:keepNext/>
        <w:keepLines/>
        <w:shd w:val="clear"/>
        <w:snapToGrid w:val="0"/>
        <w:spacing w:line="400" w:lineRule="exact"/>
        <w:outlineLvl w:val="2"/>
        <w:rPr>
          <w:rFonts w:ascii="宋体" w:hAnsi="宋体" w:cs="宋体"/>
          <w:b/>
          <w:bCs/>
          <w:snapToGrid w:val="0"/>
          <w:color w:val="auto"/>
          <w:kern w:val="0"/>
          <w:sz w:val="24"/>
          <w:highlight w:val="none"/>
        </w:rPr>
      </w:pPr>
      <w:bookmarkStart w:id="63" w:name="_Toc500748811"/>
      <w:r>
        <w:rPr>
          <w:rFonts w:hint="eastAsia" w:ascii="宋体" w:hAnsi="宋体" w:cs="宋体"/>
          <w:b/>
          <w:bCs/>
          <w:snapToGrid w:val="0"/>
          <w:color w:val="auto"/>
          <w:kern w:val="0"/>
          <w:sz w:val="24"/>
          <w:highlight w:val="none"/>
        </w:rPr>
        <w:t>7. 争议解决</w:t>
      </w:r>
      <w:bookmarkEnd w:id="63"/>
    </w:p>
    <w:p w14:paraId="72EBD862">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7.1</w:t>
      </w:r>
      <w:r>
        <w:rPr>
          <w:rFonts w:hint="eastAsia" w:ascii="宋体" w:hAnsi="宋体" w:cs="宋体"/>
          <w:bCs/>
          <w:snapToGrid w:val="0"/>
          <w:color w:val="auto"/>
          <w:kern w:val="0"/>
          <w:sz w:val="24"/>
          <w:highlight w:val="none"/>
        </w:rPr>
        <w:t>协商</w:t>
      </w:r>
    </w:p>
    <w:p w14:paraId="2E95B8E4">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双方应本着诚信原则协商解决彼此间的争议。</w:t>
      </w:r>
    </w:p>
    <w:p w14:paraId="459FA084">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7.2</w:t>
      </w:r>
      <w:r>
        <w:rPr>
          <w:rFonts w:hint="eastAsia" w:ascii="宋体" w:hAnsi="宋体" w:cs="宋体"/>
          <w:bCs/>
          <w:snapToGrid w:val="0"/>
          <w:color w:val="auto"/>
          <w:kern w:val="0"/>
          <w:sz w:val="24"/>
          <w:highlight w:val="none"/>
        </w:rPr>
        <w:t>调解</w:t>
      </w:r>
    </w:p>
    <w:p w14:paraId="7FC014E6">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如果双方不能在14天内或双方商定的其他时间内解决本合同争议，可以将其提交给专用条件约定的或事后达成协议的调解人进行调解。</w:t>
      </w:r>
    </w:p>
    <w:p w14:paraId="49859A3D">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7.3</w:t>
      </w:r>
      <w:r>
        <w:rPr>
          <w:rFonts w:hint="eastAsia" w:ascii="宋体" w:hAnsi="宋体" w:cs="宋体"/>
          <w:bCs/>
          <w:snapToGrid w:val="0"/>
          <w:color w:val="auto"/>
          <w:kern w:val="0"/>
          <w:sz w:val="24"/>
          <w:highlight w:val="none"/>
        </w:rPr>
        <w:t>仲裁或诉讼</w:t>
      </w:r>
    </w:p>
    <w:p w14:paraId="7142FEE2">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双方均有权不经调解直接向专用条件约定的仲裁机构申请仲裁或向有管辖权的人民法院提起诉讼。</w:t>
      </w:r>
    </w:p>
    <w:p w14:paraId="0CD5C55B">
      <w:pPr>
        <w:keepNext/>
        <w:keepLines/>
        <w:shd w:val="clear"/>
        <w:snapToGrid w:val="0"/>
        <w:spacing w:line="400" w:lineRule="exact"/>
        <w:outlineLvl w:val="2"/>
        <w:rPr>
          <w:rFonts w:ascii="宋体" w:hAnsi="宋体" w:cs="宋体"/>
          <w:b/>
          <w:bCs/>
          <w:snapToGrid w:val="0"/>
          <w:color w:val="auto"/>
          <w:kern w:val="0"/>
          <w:sz w:val="24"/>
          <w:highlight w:val="none"/>
        </w:rPr>
      </w:pPr>
      <w:bookmarkStart w:id="64" w:name="_Toc500748812"/>
      <w:r>
        <w:rPr>
          <w:rFonts w:hint="eastAsia" w:ascii="宋体" w:hAnsi="宋体" w:cs="宋体"/>
          <w:b/>
          <w:bCs/>
          <w:snapToGrid w:val="0"/>
          <w:color w:val="auto"/>
          <w:kern w:val="0"/>
          <w:sz w:val="24"/>
          <w:highlight w:val="none"/>
        </w:rPr>
        <w:t>8. 其他</w:t>
      </w:r>
      <w:bookmarkEnd w:id="64"/>
    </w:p>
    <w:p w14:paraId="72847853">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8.1 </w:t>
      </w:r>
      <w:r>
        <w:rPr>
          <w:rFonts w:hint="eastAsia" w:ascii="宋体" w:hAnsi="宋体" w:cs="宋体"/>
          <w:bCs/>
          <w:snapToGrid w:val="0"/>
          <w:color w:val="auto"/>
          <w:kern w:val="0"/>
          <w:sz w:val="24"/>
          <w:highlight w:val="none"/>
        </w:rPr>
        <w:t>外出考察费用</w:t>
      </w:r>
    </w:p>
    <w:p w14:paraId="176ABD02">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经委托人同意，监理人员外出考察发生的费用由委托人审核后支付。</w:t>
      </w:r>
    </w:p>
    <w:p w14:paraId="137B90E4">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8.2 </w:t>
      </w:r>
      <w:r>
        <w:rPr>
          <w:rFonts w:hint="eastAsia" w:ascii="宋体" w:hAnsi="宋体" w:cs="宋体"/>
          <w:bCs/>
          <w:snapToGrid w:val="0"/>
          <w:color w:val="auto"/>
          <w:kern w:val="0"/>
          <w:sz w:val="24"/>
          <w:highlight w:val="none"/>
        </w:rPr>
        <w:t>检测费用</w:t>
      </w:r>
    </w:p>
    <w:p w14:paraId="0DBE57F2">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委托人要求监理人进行的材料和设备检测所发生的费用，由委托人支付，支付时间在专用条件中约定。</w:t>
      </w:r>
    </w:p>
    <w:p w14:paraId="06CA9244">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8.3 </w:t>
      </w:r>
      <w:r>
        <w:rPr>
          <w:rFonts w:hint="eastAsia" w:ascii="宋体" w:hAnsi="宋体" w:cs="宋体"/>
          <w:bCs/>
          <w:snapToGrid w:val="0"/>
          <w:color w:val="auto"/>
          <w:kern w:val="0"/>
          <w:sz w:val="24"/>
          <w:highlight w:val="none"/>
        </w:rPr>
        <w:t>咨询费用</w:t>
      </w:r>
    </w:p>
    <w:p w14:paraId="0D9EBEF3">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经委托人同意，根据工程需要由监理人组织的相关咨询论证会以及聘请相关专家等发生的费用由委托人支付，支付时间在专用条件中约定。</w:t>
      </w:r>
    </w:p>
    <w:p w14:paraId="3D1535CD">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8.4 </w:t>
      </w:r>
      <w:r>
        <w:rPr>
          <w:rFonts w:hint="eastAsia" w:ascii="宋体" w:hAnsi="宋体" w:cs="宋体"/>
          <w:bCs/>
          <w:snapToGrid w:val="0"/>
          <w:color w:val="auto"/>
          <w:kern w:val="0"/>
          <w:sz w:val="24"/>
          <w:highlight w:val="none"/>
        </w:rPr>
        <w:t>奖励</w:t>
      </w:r>
    </w:p>
    <w:p w14:paraId="06E7200D">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监理人在服务过程中提出的合理化建议，使委托人获得经济效益的，双方在专用条件中约定奖励金额的确定方法。奖励金额在合理化建议被采纳后，与最近一期的正常工作酬金同期支付。</w:t>
      </w:r>
    </w:p>
    <w:p w14:paraId="5A70B8D2">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8.5 </w:t>
      </w:r>
      <w:r>
        <w:rPr>
          <w:rFonts w:hint="eastAsia" w:ascii="宋体" w:hAnsi="宋体" w:cs="宋体"/>
          <w:bCs/>
          <w:snapToGrid w:val="0"/>
          <w:color w:val="auto"/>
          <w:kern w:val="0"/>
          <w:sz w:val="24"/>
          <w:highlight w:val="none"/>
        </w:rPr>
        <w:t>守法诚信</w:t>
      </w:r>
    </w:p>
    <w:p w14:paraId="32B4414E">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监理人及其工作人员不得从与实施工程有关的第三方处获得任何经济利益。</w:t>
      </w:r>
    </w:p>
    <w:p w14:paraId="1EC7BE01">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8.6 </w:t>
      </w:r>
      <w:r>
        <w:rPr>
          <w:rFonts w:hint="eastAsia" w:ascii="宋体" w:hAnsi="宋体" w:cs="宋体"/>
          <w:bCs/>
          <w:snapToGrid w:val="0"/>
          <w:color w:val="auto"/>
          <w:kern w:val="0"/>
          <w:sz w:val="24"/>
          <w:highlight w:val="none"/>
        </w:rPr>
        <w:t>保密</w:t>
      </w:r>
    </w:p>
    <w:p w14:paraId="52C33272">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双方不得泄露对方申明的保密资料，亦不得泄露与实施工程有关的第三方所提供的保密资料，保密事项在专用条件中约定。</w:t>
      </w:r>
    </w:p>
    <w:p w14:paraId="5AFF2FBD">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8.7 </w:t>
      </w:r>
      <w:r>
        <w:rPr>
          <w:rFonts w:hint="eastAsia" w:ascii="宋体" w:hAnsi="宋体" w:cs="宋体"/>
          <w:bCs/>
          <w:snapToGrid w:val="0"/>
          <w:color w:val="auto"/>
          <w:kern w:val="0"/>
          <w:sz w:val="24"/>
          <w:highlight w:val="none"/>
        </w:rPr>
        <w:t>通知</w:t>
      </w:r>
    </w:p>
    <w:p w14:paraId="0E6AFF13">
      <w:pPr>
        <w:shd w:val="clear"/>
        <w:snapToGrid w:val="0"/>
        <w:spacing w:line="400" w:lineRule="exact"/>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本合同涉及的通知均应当采用书面形式，并在送达对方时生效，收件人应书面签收。</w:t>
      </w:r>
    </w:p>
    <w:p w14:paraId="14C84177">
      <w:pPr>
        <w:shd w:val="clear"/>
        <w:snapToGrid w:val="0"/>
        <w:spacing w:line="400" w:lineRule="exact"/>
        <w:ind w:left="210" w:leftChars="1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 xml:space="preserve">8.8 </w:t>
      </w:r>
      <w:r>
        <w:rPr>
          <w:rFonts w:hint="eastAsia" w:ascii="宋体" w:hAnsi="宋体" w:cs="宋体"/>
          <w:bCs/>
          <w:snapToGrid w:val="0"/>
          <w:color w:val="auto"/>
          <w:kern w:val="0"/>
          <w:sz w:val="24"/>
          <w:highlight w:val="none"/>
        </w:rPr>
        <w:t>著作权</w:t>
      </w:r>
    </w:p>
    <w:p w14:paraId="6B58E3AA">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监理人对其编制的文件拥有著作权。</w:t>
      </w:r>
    </w:p>
    <w:p w14:paraId="3660DF0A">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3533ECD5">
      <w:pPr>
        <w:shd w:val="clear"/>
        <w:snapToGrid w:val="0"/>
        <w:spacing w:line="400" w:lineRule="exact"/>
        <w:ind w:firstLine="562" w:firstLineChars="200"/>
        <w:jc w:val="center"/>
        <w:rPr>
          <w:rFonts w:ascii="宋体" w:hAnsi="宋体" w:cs="宋体"/>
          <w:snapToGrid w:val="0"/>
          <w:color w:val="auto"/>
          <w:kern w:val="0"/>
          <w:sz w:val="24"/>
          <w:highlight w:val="none"/>
        </w:rPr>
      </w:pPr>
      <w:bookmarkStart w:id="65" w:name="_Toc500748813"/>
      <w:r>
        <w:rPr>
          <w:rFonts w:hint="eastAsia" w:ascii="宋体" w:hAnsi="宋体" w:cs="宋体"/>
          <w:b/>
          <w:bCs/>
          <w:snapToGrid w:val="0"/>
          <w:color w:val="auto"/>
          <w:kern w:val="0"/>
          <w:sz w:val="28"/>
          <w:szCs w:val="28"/>
          <w:highlight w:val="none"/>
        </w:rPr>
        <w:br w:type="page"/>
      </w:r>
      <w:r>
        <w:rPr>
          <w:rFonts w:hint="eastAsia" w:ascii="宋体" w:hAnsi="宋体" w:cs="宋体"/>
          <w:b/>
          <w:bCs/>
          <w:snapToGrid w:val="0"/>
          <w:color w:val="auto"/>
          <w:kern w:val="0"/>
          <w:sz w:val="30"/>
          <w:szCs w:val="30"/>
          <w:highlight w:val="none"/>
        </w:rPr>
        <w:t>第三部分  专用条件</w:t>
      </w:r>
      <w:bookmarkEnd w:id="65"/>
    </w:p>
    <w:p w14:paraId="1CD0859B">
      <w:pPr>
        <w:shd w:val="clear"/>
        <w:spacing w:line="400" w:lineRule="exact"/>
        <w:jc w:val="center"/>
        <w:rPr>
          <w:rFonts w:ascii="宋体" w:hAnsi="宋体" w:cs="宋体"/>
          <w:b/>
          <w:snapToGrid w:val="0"/>
          <w:color w:val="auto"/>
          <w:kern w:val="0"/>
          <w:sz w:val="24"/>
          <w:highlight w:val="none"/>
        </w:rPr>
      </w:pPr>
    </w:p>
    <w:p w14:paraId="28919F0A">
      <w:pPr>
        <w:keepNext/>
        <w:keepLines/>
        <w:shd w:val="clear"/>
        <w:spacing w:before="20" w:after="20" w:line="400" w:lineRule="exact"/>
        <w:outlineLvl w:val="2"/>
        <w:rPr>
          <w:rFonts w:ascii="宋体" w:hAnsi="宋体" w:cs="宋体"/>
          <w:b/>
          <w:bCs/>
          <w:snapToGrid w:val="0"/>
          <w:color w:val="auto"/>
          <w:kern w:val="0"/>
          <w:sz w:val="24"/>
          <w:highlight w:val="none"/>
        </w:rPr>
      </w:pPr>
      <w:bookmarkStart w:id="66" w:name="_Toc500748814"/>
      <w:r>
        <w:rPr>
          <w:rFonts w:hint="eastAsia" w:ascii="宋体" w:hAnsi="宋体" w:cs="宋体"/>
          <w:b/>
          <w:bCs/>
          <w:snapToGrid w:val="0"/>
          <w:color w:val="auto"/>
          <w:kern w:val="0"/>
          <w:sz w:val="24"/>
          <w:highlight w:val="none"/>
        </w:rPr>
        <w:t>1. 定义与解释</w:t>
      </w:r>
      <w:bookmarkEnd w:id="66"/>
    </w:p>
    <w:p w14:paraId="407941BA">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  解释</w:t>
      </w:r>
    </w:p>
    <w:p w14:paraId="4D867598">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1.2.1 本合同文件除使用中文外，还可用</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w:t>
      </w:r>
    </w:p>
    <w:p w14:paraId="3C2F7D46">
      <w:pPr>
        <w:shd w:val="clear"/>
        <w:snapToGrid w:val="0"/>
        <w:spacing w:line="400" w:lineRule="exact"/>
        <w:ind w:firstLine="480" w:firstLineChars="200"/>
        <w:jc w:val="righ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1.2.2 约定本合同文件的解释顺序为：</w:t>
      </w:r>
      <w:r>
        <w:rPr>
          <w:rFonts w:hint="eastAsia" w:ascii="宋体" w:hAnsi="宋体" w:cs="宋体"/>
          <w:snapToGrid w:val="0"/>
          <w:color w:val="auto"/>
          <w:kern w:val="0"/>
          <w:sz w:val="24"/>
          <w:highlight w:val="none"/>
          <w:u w:val="single"/>
        </w:rPr>
        <w:t>A、委托人与监理人签订的补充条款；B、协议书；C、成交通知书；D、</w:t>
      </w:r>
      <w:r>
        <w:rPr>
          <w:rFonts w:hint="eastAsia" w:ascii="宋体" w:hAnsi="宋体" w:cs="宋体"/>
          <w:snapToGrid w:val="0"/>
          <w:color w:val="auto"/>
          <w:kern w:val="0"/>
          <w:sz w:val="24"/>
          <w:highlight w:val="none"/>
          <w:u w:val="single"/>
          <w:lang w:val="en-US" w:eastAsia="zh-CN"/>
        </w:rPr>
        <w:t>磋商</w:t>
      </w:r>
      <w:r>
        <w:rPr>
          <w:rFonts w:hint="eastAsia" w:ascii="宋体" w:hAnsi="宋体" w:cs="宋体"/>
          <w:snapToGrid w:val="0"/>
          <w:color w:val="auto"/>
          <w:kern w:val="0"/>
          <w:sz w:val="24"/>
          <w:highlight w:val="none"/>
          <w:u w:val="single"/>
        </w:rPr>
        <w:t>响应文件；E、专用条件；F、通用条件。</w:t>
      </w:r>
    </w:p>
    <w:p w14:paraId="1A0A8A5A">
      <w:pPr>
        <w:keepNext/>
        <w:keepLines/>
        <w:shd w:val="clear"/>
        <w:snapToGrid w:val="0"/>
        <w:spacing w:line="400" w:lineRule="exact"/>
        <w:outlineLvl w:val="2"/>
        <w:rPr>
          <w:rFonts w:ascii="宋体" w:hAnsi="宋体" w:cs="宋体"/>
          <w:b/>
          <w:bCs/>
          <w:snapToGrid w:val="0"/>
          <w:color w:val="auto"/>
          <w:kern w:val="0"/>
          <w:sz w:val="24"/>
          <w:highlight w:val="none"/>
        </w:rPr>
      </w:pPr>
      <w:bookmarkStart w:id="67" w:name="_Toc500748815"/>
      <w:r>
        <w:rPr>
          <w:rFonts w:hint="eastAsia" w:ascii="宋体" w:hAnsi="宋体" w:cs="宋体"/>
          <w:b/>
          <w:bCs/>
          <w:snapToGrid w:val="0"/>
          <w:color w:val="auto"/>
          <w:kern w:val="0"/>
          <w:sz w:val="24"/>
          <w:highlight w:val="none"/>
        </w:rPr>
        <w:t>2. 监理人义务</w:t>
      </w:r>
      <w:bookmarkEnd w:id="67"/>
    </w:p>
    <w:p w14:paraId="019D8B98">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 监理的范围和内容</w:t>
      </w:r>
    </w:p>
    <w:p w14:paraId="512DFC4A">
      <w:pPr>
        <w:shd w:val="clear"/>
        <w:snapToGrid w:val="0"/>
        <w:spacing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2.1.1 监理范围包括：</w:t>
      </w:r>
      <w:r>
        <w:rPr>
          <w:rFonts w:hint="eastAsia" w:ascii="宋体" w:hAnsi="宋体" w:cs="宋体"/>
          <w:color w:val="auto"/>
          <w:sz w:val="24"/>
          <w:highlight w:val="none"/>
        </w:rPr>
        <w:t>具体包含但不限于：</w:t>
      </w:r>
      <w:r>
        <w:rPr>
          <w:rFonts w:hint="eastAsia" w:cs="宋体" w:asciiTheme="minorEastAsia" w:hAnsiTheme="minorEastAsia" w:eastAsiaTheme="minorEastAsia"/>
          <w:color w:val="auto"/>
          <w:kern w:val="2"/>
          <w:sz w:val="24"/>
          <w:szCs w:val="21"/>
          <w:highlight w:val="none"/>
          <w:lang w:val="en-US" w:eastAsia="zh-CN" w:bidi="ar-SA"/>
        </w:rPr>
        <w:t>市行政中心、政务中心、图书馆及综合服务中心3个区域共7个项目的更新改造项目的装饰装修，线路改造，会议设备更新，智能化设备建设，恒温恒湿机电设备更新安装等内容</w:t>
      </w:r>
      <w:r>
        <w:rPr>
          <w:rFonts w:hint="eastAsia" w:ascii="宋体" w:hAnsi="宋体" w:cs="宋体"/>
          <w:color w:val="auto"/>
          <w:sz w:val="24"/>
          <w:highlight w:val="none"/>
        </w:rPr>
        <w:t>的拆除、装修、材料设备采购及安装等工程全过程、竣工验收、工程缺陷责任期的监理。</w:t>
      </w:r>
    </w:p>
    <w:p w14:paraId="67D1948B">
      <w:pPr>
        <w:shd w:val="clear"/>
        <w:adjustRightInd w:val="0"/>
        <w:snapToGrid w:val="0"/>
        <w:spacing w:line="400" w:lineRule="exact"/>
        <w:ind w:left="420" w:left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2.1.2 监理工作内容除通用条款中规定的内容外，还包括以下内容：</w:t>
      </w:r>
    </w:p>
    <w:p w14:paraId="45CC7084">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（1）审查施工承包人提交的施工组织设计，重点审查其中的质量安全技术措施、专项施工方案与工程建设强制性标准的符合性,经各级审批后监督其执行；</w:t>
      </w:r>
    </w:p>
    <w:p w14:paraId="312FBF4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（2）检查施工承包人工程质量、安全生产管理制度及组织机构和人员资格,督促其完善质保体系，监督其严格按照国家规范、规程、标准和设计要求施工，确保工程质量达标； </w:t>
      </w:r>
    </w:p>
    <w:p w14:paraId="120250C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（3）审核施工分包人资质条件,审核其施工质量，管理能力，并提出建议；</w:t>
      </w:r>
    </w:p>
    <w:p w14:paraId="7B7C927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（4）监督检查施工单位现场施工安全措施,在巡视、旁站和检验过程中，发现工程质量、施工安全存在事故隐患的，要求施工承包人整改并报委托人；</w:t>
      </w:r>
    </w:p>
    <w:p w14:paraId="13D47F9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（5）报修期间如出现工程质量问题，应参与调查研究，鉴定构成质量的责任，共同研究报修措施并监督实施。</w:t>
      </w:r>
    </w:p>
    <w:p w14:paraId="2856E64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（6）完成施工报修阶段工程修复及保养的监理及工程质量鉴定签证，并签发缺陷责任期验收证书。</w:t>
      </w:r>
    </w:p>
    <w:p w14:paraId="4F46291E">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（7）定期对已完工工程项目进行回访，发现问题及时与施工单位讨论修补方案并监督实施。</w:t>
      </w:r>
    </w:p>
    <w:p w14:paraId="5980A1FC">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（8）保修期届满后，按相关要求和标准向委托人作出最后质量评估报告。</w:t>
      </w:r>
    </w:p>
    <w:p w14:paraId="363A12A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（9）协助业主进行设计图纸审查工作，凭借自身的技能和经验，根据本地的实际情况，为设计院提供建设性改进意见，并协调市有关部门完成各项报批工作；</w:t>
      </w:r>
    </w:p>
    <w:p w14:paraId="3A3B21A6">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（10）审核承包单位施工组织设计和施工方案，并督促检查承包单位按规范、规程、标准及图纸进行施工。</w:t>
      </w:r>
    </w:p>
    <w:p w14:paraId="787C3EB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（11）审核承包单位的各项施工准备工作；</w:t>
      </w:r>
    </w:p>
    <w:p w14:paraId="68F2FE4D">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（12）审查督促承包单位施工管理制度、质量管理和质量保证体系，确保体系的建立、健全和实施。按市文明工地要求进行管理；</w:t>
      </w:r>
    </w:p>
    <w:p w14:paraId="561EE55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（13）监理人员应熟悉及消化各专业图纸，了解设计要求、意图。协助组织设计交底、施工图纸会审及审查设计变更；</w:t>
      </w:r>
    </w:p>
    <w:p w14:paraId="23E6B801">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（14）审核承包单位提出的分包单位的资质；</w:t>
      </w:r>
    </w:p>
    <w:p w14:paraId="0519665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（15）实施施工单位的质量、进度、投资、安全四大控制，工程合同和信息管理及工程中的组织协调工作；</w:t>
      </w:r>
    </w:p>
    <w:p w14:paraId="6C907748">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（16）复核计算已完工程量，对工程变更和技术核定调整的工程进行初步审核，签署工程付款凭证；并对结算进行初审；</w:t>
      </w:r>
    </w:p>
    <w:p w14:paraId="279FB1F5">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（17）审查工程使用的原材料、半成品、成品和设备质量，按程序进行见证取样、送样、封样。同时配合业主考察设备供应，进场设备开箱检验及安装调试确认；</w:t>
      </w:r>
    </w:p>
    <w:p w14:paraId="042D1283">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（18）按时向业主提供形象进度报告，每月向业主提交监理月报；</w:t>
      </w:r>
    </w:p>
    <w:p w14:paraId="00AFDB0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（19）分部、分项工程质量签证，组织基础、结构中验和竣工预验收，并提出工程质量评估报告，协助业主组织竣工验收，办理竣工资料备案手续；</w:t>
      </w:r>
    </w:p>
    <w:p w14:paraId="59D6CEEB">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20）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应对施工单位在施工场地的工作人员进行安全教育,加强施工现场安全巡查，并做好巡查记录，监督施工单位不得违反安全管理的规定进行施工；</w:t>
      </w:r>
    </w:p>
    <w:p w14:paraId="6FC53A30">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（21）负责竣工图和各项工程质量资料的审查，督促施工单位完成资料的归档工作；</w:t>
      </w:r>
    </w:p>
    <w:p w14:paraId="203D5082">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22）应对承包单位在施工场地的工作人员进行安全教育，督促施工单位完成资料的归档工作；并做好巡查记录，监督承包单位不得违反安全管理的规定进行施工。如承包单位发生安全事故，监理人视情况承担部分责任；</w:t>
      </w:r>
    </w:p>
    <w:p w14:paraId="6C3F9587">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（23）应对工程竣工施工资料审核、竣工结算初审；</w:t>
      </w:r>
    </w:p>
    <w:p w14:paraId="0CFA3164">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（24）协助业主做好所有标段施工招标及材料设备采购等工作。</w:t>
      </w:r>
    </w:p>
    <w:p w14:paraId="4D97ABF9">
      <w:pPr>
        <w:shd w:val="clear"/>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2.2 监理与相关服务依据</w:t>
      </w:r>
    </w:p>
    <w:p w14:paraId="564D0766">
      <w:pPr>
        <w:shd w:val="clear"/>
        <w:adjustRightInd w:val="0"/>
        <w:snapToGrid w:val="0"/>
        <w:spacing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2.2.1 监理依据包括：</w:t>
      </w:r>
    </w:p>
    <w:p w14:paraId="1DFDA387">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中华人民共和国民法典》、《中华人民共和国建筑法》、《中华人民共和国政府采购法》、《建筑工程质量管理条例》等现行国家法律。  </w:t>
      </w:r>
    </w:p>
    <w:p w14:paraId="0B2B7EB5">
      <w:pPr>
        <w:shd w:val="clear"/>
        <w:snapToGrid w:val="0"/>
        <w:spacing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2.2.2 相关服务依据包括：</w:t>
      </w:r>
      <w:r>
        <w:rPr>
          <w:rFonts w:hint="eastAsia" w:ascii="宋体" w:hAnsi="宋体" w:cs="宋体"/>
          <w:snapToGrid w:val="0"/>
          <w:color w:val="auto"/>
          <w:kern w:val="0"/>
          <w:sz w:val="24"/>
          <w:highlight w:val="none"/>
          <w:u w:val="single"/>
        </w:rPr>
        <w:t>（1）本工程的监理合同、工程施工合同及与工程相关的其他合同；（2）《建设工程监理规范》（GB/T50319—2013）；（3）国家和工程所在地现行有关工程建设的法律、法规、政策和规定；（4）本工程的设计文件施工图纸、工程地质勘探报告、设计变更通知单、图纸会审纪要等其他有关技术文件；（5）经业主认可的监理大纲、监理规划和监理实施细则及施工组织设计、施工方案等；（6）业主签发的工程监理委托书；（7）现行的工程建设规范和质量验收规范及检验评定标准等。</w:t>
      </w:r>
    </w:p>
    <w:p w14:paraId="7FC960B8">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2.3项目监理机构和人员</w:t>
      </w:r>
    </w:p>
    <w:p w14:paraId="6994753E">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2.3.1项目监理机构按照</w:t>
      </w:r>
      <w:r>
        <w:rPr>
          <w:rFonts w:hint="eastAsia" w:ascii="宋体" w:hAnsi="宋体" w:cs="宋体"/>
          <w:snapToGrid w:val="0"/>
          <w:color w:val="auto"/>
          <w:kern w:val="0"/>
          <w:sz w:val="24"/>
          <w:highlight w:val="none"/>
          <w:lang w:eastAsia="zh-CN"/>
        </w:rPr>
        <w:t>磋商</w:t>
      </w:r>
      <w:r>
        <w:rPr>
          <w:rFonts w:hint="eastAsia" w:ascii="宋体" w:hAnsi="宋体" w:cs="宋体"/>
          <w:snapToGrid w:val="0"/>
          <w:color w:val="auto"/>
          <w:kern w:val="0"/>
          <w:sz w:val="24"/>
          <w:highlight w:val="none"/>
        </w:rPr>
        <w:t>采购文件监理机构人员配备要求及</w:t>
      </w:r>
      <w:r>
        <w:rPr>
          <w:rFonts w:hint="eastAsia" w:ascii="宋体" w:hAnsi="宋体" w:cs="宋体"/>
          <w:snapToGrid w:val="0"/>
          <w:color w:val="auto"/>
          <w:kern w:val="0"/>
          <w:sz w:val="24"/>
          <w:highlight w:val="none"/>
          <w:lang w:eastAsia="zh-CN"/>
        </w:rPr>
        <w:t>磋商</w:t>
      </w:r>
      <w:r>
        <w:rPr>
          <w:rFonts w:hint="eastAsia" w:ascii="宋体" w:hAnsi="宋体" w:cs="宋体"/>
          <w:snapToGrid w:val="0"/>
          <w:color w:val="auto"/>
          <w:kern w:val="0"/>
          <w:sz w:val="24"/>
          <w:highlight w:val="none"/>
        </w:rPr>
        <w:t>响应文件配置，项目监理人员按照工程实际进度需要及时安排进场提供监理服务。</w:t>
      </w:r>
    </w:p>
    <w:tbl>
      <w:tblPr>
        <w:tblStyle w:val="53"/>
        <w:tblW w:w="8138" w:type="dxa"/>
        <w:jc w:val="center"/>
        <w:tblLayout w:type="fixed"/>
        <w:tblCellMar>
          <w:top w:w="0" w:type="dxa"/>
          <w:left w:w="108" w:type="dxa"/>
          <w:bottom w:w="0" w:type="dxa"/>
          <w:right w:w="108" w:type="dxa"/>
        </w:tblCellMar>
      </w:tblPr>
      <w:tblGrid>
        <w:gridCol w:w="1928"/>
        <w:gridCol w:w="1318"/>
        <w:gridCol w:w="2234"/>
        <w:gridCol w:w="2658"/>
      </w:tblGrid>
      <w:tr w14:paraId="0113B503">
        <w:tblPrEx>
          <w:tblCellMar>
            <w:top w:w="0" w:type="dxa"/>
            <w:left w:w="108" w:type="dxa"/>
            <w:bottom w:w="0" w:type="dxa"/>
            <w:right w:w="108" w:type="dxa"/>
          </w:tblCellMar>
        </w:tblPrEx>
        <w:trPr>
          <w:trHeight w:val="331" w:hRule="atLeast"/>
          <w:jc w:val="center"/>
        </w:trPr>
        <w:tc>
          <w:tcPr>
            <w:tcW w:w="1928" w:type="dxa"/>
            <w:tcBorders>
              <w:top w:val="single" w:color="000000" w:sz="4" w:space="0"/>
              <w:left w:val="single" w:color="000000" w:sz="4" w:space="0"/>
              <w:bottom w:val="single" w:color="000000" w:sz="4" w:space="0"/>
              <w:right w:val="single" w:color="000000" w:sz="4" w:space="0"/>
            </w:tcBorders>
            <w:vAlign w:val="center"/>
          </w:tcPr>
          <w:p w14:paraId="23D113D5">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岗位</w:t>
            </w:r>
          </w:p>
        </w:tc>
        <w:tc>
          <w:tcPr>
            <w:tcW w:w="1318" w:type="dxa"/>
            <w:tcBorders>
              <w:top w:val="single" w:color="000000" w:sz="4" w:space="0"/>
              <w:bottom w:val="single" w:color="000000" w:sz="4" w:space="0"/>
              <w:right w:val="single" w:color="000000" w:sz="4" w:space="0"/>
            </w:tcBorders>
            <w:vAlign w:val="center"/>
          </w:tcPr>
          <w:p w14:paraId="18EC54BD">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姓名</w:t>
            </w:r>
          </w:p>
        </w:tc>
        <w:tc>
          <w:tcPr>
            <w:tcW w:w="2234" w:type="dxa"/>
            <w:tcBorders>
              <w:top w:val="single" w:color="000000" w:sz="4" w:space="0"/>
              <w:bottom w:val="single" w:color="000000" w:sz="4" w:space="0"/>
              <w:right w:val="single" w:color="000000" w:sz="4" w:space="0"/>
            </w:tcBorders>
            <w:vAlign w:val="center"/>
          </w:tcPr>
          <w:p w14:paraId="16EFD928">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专业</w:t>
            </w:r>
          </w:p>
        </w:tc>
        <w:tc>
          <w:tcPr>
            <w:tcW w:w="2658" w:type="dxa"/>
            <w:tcBorders>
              <w:top w:val="single" w:color="000000" w:sz="4" w:space="0"/>
              <w:bottom w:val="single" w:color="000000" w:sz="4" w:space="0"/>
              <w:right w:val="single" w:color="000000" w:sz="4" w:space="0"/>
            </w:tcBorders>
            <w:vAlign w:val="center"/>
          </w:tcPr>
          <w:p w14:paraId="31CF7F74">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证书及证号</w:t>
            </w:r>
          </w:p>
        </w:tc>
      </w:tr>
      <w:tr w14:paraId="5A2235FE">
        <w:tblPrEx>
          <w:tblCellMar>
            <w:top w:w="0" w:type="dxa"/>
            <w:left w:w="108" w:type="dxa"/>
            <w:bottom w:w="0" w:type="dxa"/>
            <w:right w:w="108" w:type="dxa"/>
          </w:tblCellMar>
        </w:tblPrEx>
        <w:trPr>
          <w:trHeight w:val="654" w:hRule="atLeast"/>
          <w:jc w:val="center"/>
        </w:trPr>
        <w:tc>
          <w:tcPr>
            <w:tcW w:w="1928" w:type="dxa"/>
            <w:tcBorders>
              <w:top w:val="single" w:color="000000" w:sz="4" w:space="0"/>
              <w:left w:val="single" w:color="000000" w:sz="4" w:space="0"/>
              <w:bottom w:val="single" w:color="000000" w:sz="4" w:space="0"/>
              <w:right w:val="single" w:color="000000" w:sz="4" w:space="0"/>
            </w:tcBorders>
            <w:vAlign w:val="center"/>
          </w:tcPr>
          <w:p w14:paraId="3A3B284A">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总监理工程师</w:t>
            </w:r>
          </w:p>
        </w:tc>
        <w:tc>
          <w:tcPr>
            <w:tcW w:w="1318" w:type="dxa"/>
            <w:tcBorders>
              <w:top w:val="single" w:color="000000" w:sz="4" w:space="0"/>
              <w:bottom w:val="single" w:color="000000" w:sz="4" w:space="0"/>
              <w:right w:val="single" w:color="000000" w:sz="4" w:space="0"/>
            </w:tcBorders>
            <w:vAlign w:val="center"/>
          </w:tcPr>
          <w:p w14:paraId="70DDEF5E">
            <w:pPr>
              <w:shd w:val="clear"/>
              <w:autoSpaceDN w:val="0"/>
              <w:spacing w:line="400" w:lineRule="exact"/>
              <w:jc w:val="center"/>
              <w:textAlignment w:val="center"/>
              <w:rPr>
                <w:rFonts w:ascii="宋体" w:hAnsi="宋体" w:cs="宋体"/>
                <w:snapToGrid w:val="0"/>
                <w:color w:val="auto"/>
                <w:sz w:val="24"/>
                <w:highlight w:val="none"/>
              </w:rPr>
            </w:pPr>
          </w:p>
        </w:tc>
        <w:tc>
          <w:tcPr>
            <w:tcW w:w="2234" w:type="dxa"/>
            <w:tcBorders>
              <w:top w:val="single" w:color="000000" w:sz="4" w:space="0"/>
              <w:bottom w:val="single" w:color="auto" w:sz="4" w:space="0"/>
              <w:right w:val="single" w:color="000000" w:sz="4" w:space="0"/>
            </w:tcBorders>
            <w:vAlign w:val="center"/>
          </w:tcPr>
          <w:p w14:paraId="374E9ED6">
            <w:pPr>
              <w:shd w:val="clear"/>
              <w:autoSpaceDN w:val="0"/>
              <w:spacing w:line="400" w:lineRule="exact"/>
              <w:jc w:val="center"/>
              <w:textAlignment w:val="center"/>
              <w:rPr>
                <w:rFonts w:ascii="宋体" w:hAnsi="宋体" w:cs="宋体"/>
                <w:snapToGrid w:val="0"/>
                <w:color w:val="auto"/>
                <w:sz w:val="24"/>
                <w:highlight w:val="none"/>
              </w:rPr>
            </w:pPr>
          </w:p>
        </w:tc>
        <w:tc>
          <w:tcPr>
            <w:tcW w:w="2658" w:type="dxa"/>
            <w:tcBorders>
              <w:top w:val="single" w:color="000000" w:sz="4" w:space="0"/>
              <w:bottom w:val="single" w:color="auto" w:sz="4" w:space="0"/>
              <w:right w:val="single" w:color="000000" w:sz="4" w:space="0"/>
            </w:tcBorders>
            <w:vAlign w:val="center"/>
          </w:tcPr>
          <w:p w14:paraId="17A7A794">
            <w:pPr>
              <w:shd w:val="clear"/>
              <w:autoSpaceDN w:val="0"/>
              <w:spacing w:line="400" w:lineRule="exact"/>
              <w:jc w:val="center"/>
              <w:textAlignment w:val="center"/>
              <w:rPr>
                <w:rFonts w:ascii="宋体" w:hAnsi="宋体" w:cs="宋体"/>
                <w:snapToGrid w:val="0"/>
                <w:color w:val="auto"/>
                <w:sz w:val="24"/>
                <w:highlight w:val="none"/>
              </w:rPr>
            </w:pPr>
          </w:p>
        </w:tc>
      </w:tr>
      <w:tr w14:paraId="6ED0A19F">
        <w:tblPrEx>
          <w:tblCellMar>
            <w:top w:w="0" w:type="dxa"/>
            <w:left w:w="108" w:type="dxa"/>
            <w:bottom w:w="0" w:type="dxa"/>
            <w:right w:w="108" w:type="dxa"/>
          </w:tblCellMar>
        </w:tblPrEx>
        <w:trPr>
          <w:trHeight w:val="396" w:hRule="atLeast"/>
          <w:jc w:val="center"/>
        </w:trPr>
        <w:tc>
          <w:tcPr>
            <w:tcW w:w="1928" w:type="dxa"/>
            <w:tcBorders>
              <w:top w:val="single" w:color="000000" w:sz="4" w:space="0"/>
              <w:left w:val="single" w:color="000000" w:sz="4" w:space="0"/>
              <w:right w:val="single" w:color="000000" w:sz="4" w:space="0"/>
            </w:tcBorders>
            <w:vAlign w:val="center"/>
          </w:tcPr>
          <w:p w14:paraId="6BC8F043">
            <w:pPr>
              <w:shd w:val="clear"/>
              <w:autoSpaceDN w:val="0"/>
              <w:spacing w:line="400" w:lineRule="exact"/>
              <w:jc w:val="center"/>
              <w:textAlignment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专业监理工程师</w:t>
            </w:r>
          </w:p>
        </w:tc>
        <w:tc>
          <w:tcPr>
            <w:tcW w:w="1318" w:type="dxa"/>
            <w:tcBorders>
              <w:top w:val="single" w:color="000000" w:sz="4" w:space="0"/>
              <w:right w:val="single" w:color="000000" w:sz="4" w:space="0"/>
            </w:tcBorders>
            <w:vAlign w:val="center"/>
          </w:tcPr>
          <w:p w14:paraId="086C3651">
            <w:pPr>
              <w:shd w:val="clear"/>
              <w:tabs>
                <w:tab w:val="left" w:pos="345"/>
              </w:tabs>
              <w:autoSpaceDN w:val="0"/>
              <w:spacing w:line="400" w:lineRule="exact"/>
              <w:ind w:firstLine="240" w:firstLineChars="100"/>
              <w:jc w:val="left"/>
              <w:textAlignment w:val="center"/>
              <w:rPr>
                <w:rFonts w:hint="eastAsia" w:ascii="宋体" w:hAnsi="宋体" w:eastAsia="宋体" w:cs="宋体"/>
                <w:snapToGrid w:val="0"/>
                <w:color w:val="auto"/>
                <w:sz w:val="24"/>
                <w:highlight w:val="none"/>
                <w:lang w:val="en-US" w:eastAsia="zh-CN"/>
              </w:rPr>
            </w:pPr>
          </w:p>
        </w:tc>
        <w:tc>
          <w:tcPr>
            <w:tcW w:w="2234" w:type="dxa"/>
            <w:tcBorders>
              <w:top w:val="single" w:color="000000" w:sz="4" w:space="0"/>
              <w:bottom w:val="single" w:color="auto" w:sz="4" w:space="0"/>
              <w:right w:val="single" w:color="000000" w:sz="4" w:space="0"/>
            </w:tcBorders>
            <w:vAlign w:val="center"/>
          </w:tcPr>
          <w:p w14:paraId="6763A95C">
            <w:pPr>
              <w:shd w:val="clear"/>
              <w:autoSpaceDN w:val="0"/>
              <w:spacing w:line="400" w:lineRule="exact"/>
              <w:jc w:val="both"/>
              <w:textAlignment w:val="center"/>
              <w:rPr>
                <w:rFonts w:hint="eastAsia" w:ascii="宋体" w:hAnsi="宋体" w:eastAsia="宋体" w:cs="宋体"/>
                <w:snapToGrid w:val="0"/>
                <w:color w:val="auto"/>
                <w:sz w:val="24"/>
                <w:highlight w:val="none"/>
                <w:lang w:eastAsia="zh-CN"/>
              </w:rPr>
            </w:pPr>
          </w:p>
        </w:tc>
        <w:tc>
          <w:tcPr>
            <w:tcW w:w="2658" w:type="dxa"/>
            <w:tcBorders>
              <w:top w:val="single" w:color="000000" w:sz="4" w:space="0"/>
              <w:right w:val="single" w:color="000000" w:sz="4" w:space="0"/>
            </w:tcBorders>
            <w:vAlign w:val="center"/>
          </w:tcPr>
          <w:p w14:paraId="18BE3143">
            <w:pPr>
              <w:shd w:val="clear"/>
              <w:autoSpaceDN w:val="0"/>
              <w:spacing w:line="400" w:lineRule="exact"/>
              <w:jc w:val="center"/>
              <w:textAlignment w:val="center"/>
              <w:rPr>
                <w:rFonts w:hint="default" w:ascii="宋体" w:hAnsi="宋体" w:eastAsia="宋体" w:cs="宋体"/>
                <w:snapToGrid w:val="0"/>
                <w:color w:val="auto"/>
                <w:sz w:val="24"/>
                <w:highlight w:val="none"/>
                <w:lang w:val="en-US" w:eastAsia="zh-CN"/>
              </w:rPr>
            </w:pPr>
          </w:p>
        </w:tc>
      </w:tr>
      <w:tr w14:paraId="208A5B4E">
        <w:tblPrEx>
          <w:tblCellMar>
            <w:top w:w="0" w:type="dxa"/>
            <w:left w:w="108" w:type="dxa"/>
            <w:bottom w:w="0" w:type="dxa"/>
            <w:right w:w="108" w:type="dxa"/>
          </w:tblCellMar>
        </w:tblPrEx>
        <w:trPr>
          <w:trHeight w:val="396" w:hRule="atLeast"/>
          <w:jc w:val="center"/>
        </w:trPr>
        <w:tc>
          <w:tcPr>
            <w:tcW w:w="1928" w:type="dxa"/>
            <w:tcBorders>
              <w:top w:val="single" w:color="000000" w:sz="4" w:space="0"/>
              <w:left w:val="single" w:color="000000" w:sz="4" w:space="0"/>
              <w:right w:val="single" w:color="000000" w:sz="4" w:space="0"/>
            </w:tcBorders>
            <w:vAlign w:val="center"/>
          </w:tcPr>
          <w:p w14:paraId="17E274EF">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专业监理工程师</w:t>
            </w:r>
          </w:p>
        </w:tc>
        <w:tc>
          <w:tcPr>
            <w:tcW w:w="1318" w:type="dxa"/>
            <w:tcBorders>
              <w:top w:val="single" w:color="000000" w:sz="4" w:space="0"/>
              <w:right w:val="single" w:color="000000" w:sz="4" w:space="0"/>
            </w:tcBorders>
            <w:vAlign w:val="center"/>
          </w:tcPr>
          <w:p w14:paraId="657EBACE">
            <w:pPr>
              <w:shd w:val="clear"/>
              <w:autoSpaceDN w:val="0"/>
              <w:spacing w:line="400" w:lineRule="exact"/>
              <w:jc w:val="center"/>
              <w:textAlignment w:val="center"/>
              <w:rPr>
                <w:rFonts w:ascii="宋体" w:hAnsi="宋体" w:cs="宋体"/>
                <w:snapToGrid w:val="0"/>
                <w:color w:val="auto"/>
                <w:sz w:val="24"/>
                <w:highlight w:val="none"/>
              </w:rPr>
            </w:pPr>
          </w:p>
        </w:tc>
        <w:tc>
          <w:tcPr>
            <w:tcW w:w="2234" w:type="dxa"/>
            <w:tcBorders>
              <w:top w:val="single" w:color="000000" w:sz="4" w:space="0"/>
              <w:bottom w:val="single" w:color="auto" w:sz="4" w:space="0"/>
              <w:right w:val="single" w:color="000000" w:sz="4" w:space="0"/>
            </w:tcBorders>
            <w:vAlign w:val="center"/>
          </w:tcPr>
          <w:p w14:paraId="6D0A6906">
            <w:pPr>
              <w:shd w:val="clear"/>
              <w:autoSpaceDN w:val="0"/>
              <w:spacing w:line="400" w:lineRule="exact"/>
              <w:jc w:val="center"/>
              <w:textAlignment w:val="center"/>
              <w:rPr>
                <w:rFonts w:ascii="宋体" w:hAnsi="宋体" w:cs="宋体"/>
                <w:snapToGrid w:val="0"/>
                <w:color w:val="auto"/>
                <w:sz w:val="24"/>
                <w:highlight w:val="none"/>
              </w:rPr>
            </w:pPr>
          </w:p>
        </w:tc>
        <w:tc>
          <w:tcPr>
            <w:tcW w:w="2658" w:type="dxa"/>
            <w:tcBorders>
              <w:top w:val="single" w:color="000000" w:sz="4" w:space="0"/>
              <w:right w:val="single" w:color="000000" w:sz="4" w:space="0"/>
            </w:tcBorders>
            <w:vAlign w:val="center"/>
          </w:tcPr>
          <w:p w14:paraId="6B5CBE82">
            <w:pPr>
              <w:shd w:val="clear"/>
              <w:autoSpaceDN w:val="0"/>
              <w:spacing w:line="400" w:lineRule="exact"/>
              <w:jc w:val="center"/>
              <w:textAlignment w:val="center"/>
              <w:rPr>
                <w:rFonts w:ascii="宋体" w:hAnsi="宋体" w:cs="宋体"/>
                <w:snapToGrid w:val="0"/>
                <w:color w:val="auto"/>
                <w:sz w:val="24"/>
                <w:highlight w:val="none"/>
              </w:rPr>
            </w:pPr>
          </w:p>
        </w:tc>
      </w:tr>
      <w:tr w14:paraId="20560CC8">
        <w:tblPrEx>
          <w:tblCellMar>
            <w:top w:w="0" w:type="dxa"/>
            <w:left w:w="108" w:type="dxa"/>
            <w:bottom w:w="0" w:type="dxa"/>
            <w:right w:w="108" w:type="dxa"/>
          </w:tblCellMar>
        </w:tblPrEx>
        <w:trPr>
          <w:trHeight w:val="436" w:hRule="atLeast"/>
          <w:jc w:val="center"/>
        </w:trPr>
        <w:tc>
          <w:tcPr>
            <w:tcW w:w="1928" w:type="dxa"/>
            <w:tcBorders>
              <w:top w:val="single" w:color="000000" w:sz="4" w:space="0"/>
              <w:left w:val="single" w:color="000000" w:sz="4" w:space="0"/>
              <w:right w:val="single" w:color="000000" w:sz="4" w:space="0"/>
            </w:tcBorders>
            <w:vAlign w:val="center"/>
          </w:tcPr>
          <w:p w14:paraId="0301904E">
            <w:pPr>
              <w:shd w:val="clear"/>
              <w:autoSpaceDN w:val="0"/>
              <w:spacing w:line="400" w:lineRule="exact"/>
              <w:jc w:val="center"/>
              <w:textAlignment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监理员</w:t>
            </w:r>
          </w:p>
        </w:tc>
        <w:tc>
          <w:tcPr>
            <w:tcW w:w="1318" w:type="dxa"/>
            <w:tcBorders>
              <w:top w:val="single" w:color="000000" w:sz="4" w:space="0"/>
              <w:right w:val="single" w:color="000000" w:sz="4" w:space="0"/>
            </w:tcBorders>
            <w:vAlign w:val="center"/>
          </w:tcPr>
          <w:p w14:paraId="74AF055A">
            <w:pPr>
              <w:shd w:val="clear"/>
              <w:autoSpaceDN w:val="0"/>
              <w:spacing w:line="400" w:lineRule="exact"/>
              <w:jc w:val="center"/>
              <w:textAlignment w:val="center"/>
              <w:rPr>
                <w:rFonts w:hint="eastAsia" w:ascii="宋体" w:hAnsi="宋体" w:eastAsia="宋体" w:cs="宋体"/>
                <w:snapToGrid w:val="0"/>
                <w:color w:val="auto"/>
                <w:sz w:val="24"/>
                <w:highlight w:val="none"/>
                <w:lang w:eastAsia="zh-CN"/>
              </w:rPr>
            </w:pPr>
          </w:p>
        </w:tc>
        <w:tc>
          <w:tcPr>
            <w:tcW w:w="2234" w:type="dxa"/>
            <w:tcBorders>
              <w:top w:val="single" w:color="000000" w:sz="4" w:space="0"/>
              <w:bottom w:val="single" w:color="auto" w:sz="4" w:space="0"/>
              <w:right w:val="single" w:color="000000" w:sz="4" w:space="0"/>
            </w:tcBorders>
            <w:vAlign w:val="center"/>
          </w:tcPr>
          <w:p w14:paraId="3CB98CF5">
            <w:pPr>
              <w:shd w:val="clear"/>
              <w:autoSpaceDN w:val="0"/>
              <w:spacing w:line="400" w:lineRule="exact"/>
              <w:jc w:val="center"/>
              <w:textAlignment w:val="center"/>
              <w:rPr>
                <w:rFonts w:hint="eastAsia" w:ascii="宋体" w:hAnsi="宋体" w:eastAsia="宋体" w:cs="宋体"/>
                <w:snapToGrid w:val="0"/>
                <w:color w:val="auto"/>
                <w:sz w:val="24"/>
                <w:highlight w:val="none"/>
                <w:lang w:eastAsia="zh-CN"/>
              </w:rPr>
            </w:pPr>
          </w:p>
        </w:tc>
        <w:tc>
          <w:tcPr>
            <w:tcW w:w="2658" w:type="dxa"/>
            <w:tcBorders>
              <w:top w:val="single" w:color="000000" w:sz="4" w:space="0"/>
              <w:right w:val="single" w:color="000000" w:sz="4" w:space="0"/>
            </w:tcBorders>
            <w:vAlign w:val="center"/>
          </w:tcPr>
          <w:p w14:paraId="42860345">
            <w:pPr>
              <w:shd w:val="clear"/>
              <w:autoSpaceDN w:val="0"/>
              <w:spacing w:line="400" w:lineRule="exact"/>
              <w:jc w:val="center"/>
              <w:textAlignment w:val="center"/>
              <w:rPr>
                <w:rFonts w:hint="eastAsia" w:ascii="宋体" w:hAnsi="宋体" w:cs="宋体"/>
                <w:snapToGrid w:val="0"/>
                <w:color w:val="auto"/>
                <w:sz w:val="24"/>
                <w:highlight w:val="none"/>
              </w:rPr>
            </w:pPr>
          </w:p>
        </w:tc>
      </w:tr>
      <w:tr w14:paraId="30030634">
        <w:tblPrEx>
          <w:tblCellMar>
            <w:top w:w="0" w:type="dxa"/>
            <w:left w:w="108" w:type="dxa"/>
            <w:bottom w:w="0" w:type="dxa"/>
            <w:right w:w="108" w:type="dxa"/>
          </w:tblCellMar>
        </w:tblPrEx>
        <w:trPr>
          <w:trHeight w:val="739" w:hRule="atLeast"/>
          <w:jc w:val="center"/>
        </w:trPr>
        <w:tc>
          <w:tcPr>
            <w:tcW w:w="1928" w:type="dxa"/>
            <w:tcBorders>
              <w:top w:val="single" w:color="000000" w:sz="4" w:space="0"/>
              <w:left w:val="single" w:color="000000" w:sz="4" w:space="0"/>
              <w:right w:val="single" w:color="000000" w:sz="4" w:space="0"/>
            </w:tcBorders>
            <w:vAlign w:val="center"/>
          </w:tcPr>
          <w:p w14:paraId="6DF2B6D9">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监理员</w:t>
            </w:r>
          </w:p>
        </w:tc>
        <w:tc>
          <w:tcPr>
            <w:tcW w:w="1318" w:type="dxa"/>
            <w:tcBorders>
              <w:top w:val="single" w:color="000000" w:sz="4" w:space="0"/>
              <w:right w:val="single" w:color="000000" w:sz="4" w:space="0"/>
            </w:tcBorders>
            <w:vAlign w:val="center"/>
          </w:tcPr>
          <w:p w14:paraId="6ABB4920">
            <w:pPr>
              <w:shd w:val="clear"/>
              <w:autoSpaceDN w:val="0"/>
              <w:spacing w:line="400" w:lineRule="exact"/>
              <w:jc w:val="center"/>
              <w:textAlignment w:val="center"/>
              <w:rPr>
                <w:rFonts w:ascii="宋体" w:hAnsi="宋体" w:cs="宋体"/>
                <w:snapToGrid w:val="0"/>
                <w:color w:val="auto"/>
                <w:sz w:val="24"/>
                <w:highlight w:val="none"/>
              </w:rPr>
            </w:pPr>
          </w:p>
        </w:tc>
        <w:tc>
          <w:tcPr>
            <w:tcW w:w="2234" w:type="dxa"/>
            <w:tcBorders>
              <w:top w:val="single" w:color="000000" w:sz="4" w:space="0"/>
              <w:bottom w:val="single" w:color="auto" w:sz="4" w:space="0"/>
              <w:right w:val="single" w:color="000000" w:sz="4" w:space="0"/>
            </w:tcBorders>
            <w:vAlign w:val="center"/>
          </w:tcPr>
          <w:p w14:paraId="1C239592">
            <w:pPr>
              <w:shd w:val="clear"/>
              <w:autoSpaceDN w:val="0"/>
              <w:spacing w:line="400" w:lineRule="exact"/>
              <w:jc w:val="center"/>
              <w:textAlignment w:val="center"/>
              <w:rPr>
                <w:rFonts w:ascii="宋体" w:hAnsi="宋体" w:cs="宋体"/>
                <w:snapToGrid w:val="0"/>
                <w:color w:val="auto"/>
                <w:sz w:val="24"/>
                <w:highlight w:val="none"/>
              </w:rPr>
            </w:pPr>
          </w:p>
        </w:tc>
        <w:tc>
          <w:tcPr>
            <w:tcW w:w="2658" w:type="dxa"/>
            <w:tcBorders>
              <w:top w:val="single" w:color="000000" w:sz="4" w:space="0"/>
              <w:right w:val="single" w:color="000000" w:sz="4" w:space="0"/>
            </w:tcBorders>
            <w:vAlign w:val="center"/>
          </w:tcPr>
          <w:p w14:paraId="74DC314E">
            <w:pPr>
              <w:shd w:val="clear"/>
              <w:autoSpaceDN w:val="0"/>
              <w:spacing w:line="400" w:lineRule="exact"/>
              <w:jc w:val="center"/>
              <w:textAlignment w:val="center"/>
              <w:rPr>
                <w:rFonts w:ascii="宋体" w:hAnsi="宋体" w:cs="宋体"/>
                <w:snapToGrid w:val="0"/>
                <w:color w:val="auto"/>
                <w:sz w:val="24"/>
                <w:highlight w:val="none"/>
              </w:rPr>
            </w:pPr>
          </w:p>
        </w:tc>
      </w:tr>
      <w:tr w14:paraId="71FCE4CD">
        <w:tblPrEx>
          <w:tblCellMar>
            <w:top w:w="0" w:type="dxa"/>
            <w:left w:w="108" w:type="dxa"/>
            <w:bottom w:w="0" w:type="dxa"/>
            <w:right w:w="108" w:type="dxa"/>
          </w:tblCellMar>
        </w:tblPrEx>
        <w:trPr>
          <w:trHeight w:val="504" w:hRule="atLeast"/>
          <w:jc w:val="center"/>
        </w:trPr>
        <w:tc>
          <w:tcPr>
            <w:tcW w:w="1928" w:type="dxa"/>
            <w:tcBorders>
              <w:top w:val="single" w:color="000000" w:sz="4" w:space="0"/>
              <w:left w:val="single" w:color="000000" w:sz="4" w:space="0"/>
              <w:bottom w:val="single" w:color="000000" w:sz="4" w:space="0"/>
              <w:right w:val="single" w:color="000000" w:sz="4" w:space="0"/>
            </w:tcBorders>
            <w:vAlign w:val="center"/>
          </w:tcPr>
          <w:p w14:paraId="2D54B8DE">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rPr>
              <w:t>总  计</w:t>
            </w:r>
          </w:p>
        </w:tc>
        <w:tc>
          <w:tcPr>
            <w:tcW w:w="1318" w:type="dxa"/>
            <w:tcBorders>
              <w:top w:val="single" w:color="000000" w:sz="4" w:space="0"/>
              <w:bottom w:val="single" w:color="000000" w:sz="4" w:space="0"/>
              <w:right w:val="single" w:color="000000" w:sz="4" w:space="0"/>
            </w:tcBorders>
            <w:vAlign w:val="center"/>
          </w:tcPr>
          <w:p w14:paraId="5EE71799">
            <w:pPr>
              <w:shd w:val="clear"/>
              <w:autoSpaceDN w:val="0"/>
              <w:spacing w:line="400" w:lineRule="exact"/>
              <w:jc w:val="center"/>
              <w:textAlignment w:val="center"/>
              <w:rPr>
                <w:rFonts w:ascii="宋体" w:hAnsi="宋体" w:cs="宋体"/>
                <w:snapToGrid w:val="0"/>
                <w:color w:val="auto"/>
                <w:sz w:val="24"/>
                <w:highlight w:val="none"/>
              </w:rPr>
            </w:pPr>
            <w:r>
              <w:rPr>
                <w:rFonts w:hint="eastAsia" w:ascii="宋体" w:hAnsi="宋体" w:cs="宋体"/>
                <w:snapToGrid w:val="0"/>
                <w:color w:val="auto"/>
                <w:sz w:val="24"/>
                <w:highlight w:val="none"/>
                <w:lang w:val="en-US" w:eastAsia="zh-CN"/>
              </w:rPr>
              <w:t>5</w:t>
            </w:r>
            <w:r>
              <w:rPr>
                <w:rFonts w:hint="eastAsia" w:ascii="宋体" w:hAnsi="宋体" w:cs="宋体"/>
                <w:snapToGrid w:val="0"/>
                <w:color w:val="auto"/>
                <w:sz w:val="24"/>
                <w:highlight w:val="none"/>
              </w:rPr>
              <w:t>名</w:t>
            </w:r>
          </w:p>
        </w:tc>
        <w:tc>
          <w:tcPr>
            <w:tcW w:w="2234" w:type="dxa"/>
            <w:tcBorders>
              <w:top w:val="single" w:color="000000" w:sz="4" w:space="0"/>
              <w:bottom w:val="single" w:color="000000" w:sz="4" w:space="0"/>
              <w:right w:val="single" w:color="000000" w:sz="4" w:space="0"/>
            </w:tcBorders>
            <w:vAlign w:val="center"/>
          </w:tcPr>
          <w:p w14:paraId="66855D78">
            <w:pPr>
              <w:shd w:val="clear"/>
              <w:autoSpaceDN w:val="0"/>
              <w:spacing w:line="400" w:lineRule="exact"/>
              <w:ind w:firstLine="480" w:firstLineChars="200"/>
              <w:jc w:val="center"/>
              <w:textAlignment w:val="center"/>
              <w:rPr>
                <w:rFonts w:ascii="宋体" w:hAnsi="宋体" w:cs="宋体"/>
                <w:snapToGrid w:val="0"/>
                <w:color w:val="auto"/>
                <w:sz w:val="24"/>
                <w:highlight w:val="none"/>
              </w:rPr>
            </w:pPr>
          </w:p>
        </w:tc>
        <w:tc>
          <w:tcPr>
            <w:tcW w:w="2658" w:type="dxa"/>
            <w:tcBorders>
              <w:top w:val="single" w:color="000000" w:sz="4" w:space="0"/>
              <w:bottom w:val="single" w:color="000000" w:sz="4" w:space="0"/>
              <w:right w:val="single" w:color="000000" w:sz="4" w:space="0"/>
            </w:tcBorders>
            <w:vAlign w:val="center"/>
          </w:tcPr>
          <w:p w14:paraId="6CA91AC2">
            <w:pPr>
              <w:shd w:val="clear"/>
              <w:autoSpaceDN w:val="0"/>
              <w:spacing w:line="400" w:lineRule="exact"/>
              <w:ind w:firstLine="480" w:firstLineChars="200"/>
              <w:jc w:val="center"/>
              <w:textAlignment w:val="center"/>
              <w:rPr>
                <w:rFonts w:ascii="宋体" w:hAnsi="宋体" w:cs="宋体"/>
                <w:snapToGrid w:val="0"/>
                <w:color w:val="auto"/>
                <w:sz w:val="24"/>
                <w:highlight w:val="none"/>
              </w:rPr>
            </w:pPr>
          </w:p>
        </w:tc>
      </w:tr>
    </w:tbl>
    <w:p w14:paraId="0AF21E6E">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以上为人员配备最低配置要求，若不满足则视为实质上不响应</w:t>
      </w:r>
      <w:r>
        <w:rPr>
          <w:rFonts w:hint="eastAsia" w:ascii="宋体" w:hAnsi="宋体" w:cs="宋体"/>
          <w:snapToGrid w:val="0"/>
          <w:color w:val="auto"/>
          <w:kern w:val="0"/>
          <w:sz w:val="24"/>
          <w:highlight w:val="none"/>
          <w:lang w:eastAsia="zh-CN"/>
        </w:rPr>
        <w:t>磋商</w:t>
      </w:r>
      <w:r>
        <w:rPr>
          <w:rFonts w:hint="eastAsia" w:ascii="宋体" w:hAnsi="宋体" w:cs="宋体"/>
          <w:snapToGrid w:val="0"/>
          <w:color w:val="auto"/>
          <w:kern w:val="0"/>
          <w:sz w:val="24"/>
          <w:highlight w:val="none"/>
        </w:rPr>
        <w:t>采购文件要求。</w:t>
      </w:r>
    </w:p>
    <w:p w14:paraId="6E358F8A">
      <w:pPr>
        <w:widowControl/>
        <w:shd w:val="clear"/>
        <w:spacing w:line="400" w:lineRule="exact"/>
        <w:ind w:firstLine="480" w:firstLineChars="200"/>
        <w:jc w:val="left"/>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2.3.2 更换监理人员的其他情形：</w:t>
      </w:r>
      <w:r>
        <w:rPr>
          <w:rFonts w:hint="eastAsia" w:ascii="宋体" w:hAnsi="宋体" w:cs="宋体"/>
          <w:snapToGrid w:val="0"/>
          <w:color w:val="auto"/>
          <w:kern w:val="0"/>
          <w:sz w:val="24"/>
          <w:highlight w:val="none"/>
          <w:u w:val="single"/>
        </w:rPr>
        <w:t>监理人不得随意更换总监及其他监理人员。成交后无论何种理由，如需更换人员，必须征得委托人书面同意外。</w:t>
      </w:r>
    </w:p>
    <w:p w14:paraId="1EE4CD8B">
      <w:pPr>
        <w:shd w:val="clear"/>
        <w:spacing w:line="400" w:lineRule="exact"/>
        <w:ind w:firstLine="600" w:firstLineChars="25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（1）若发包人在监理工作过程中发现总监不能胜任该职务，则委托人有权要求监理人更换总监工程师，所换总监工程师的资质及业绩条件必须等同或高于原总监工程师，否则监理人必须支付委托人违约金</w:t>
      </w:r>
      <w:r>
        <w:rPr>
          <w:rFonts w:hint="eastAsia" w:ascii="宋体" w:hAnsi="宋体" w:cs="宋体"/>
          <w:snapToGrid w:val="0"/>
          <w:color w:val="auto"/>
          <w:kern w:val="0"/>
          <w:sz w:val="24"/>
          <w:highlight w:val="none"/>
          <w:u w:val="single"/>
          <w:lang w:val="en-US" w:eastAsia="zh-CN"/>
        </w:rPr>
        <w:t>500</w:t>
      </w:r>
      <w:r>
        <w:rPr>
          <w:rFonts w:hint="eastAsia" w:ascii="宋体" w:hAnsi="宋体" w:cs="宋体"/>
          <w:snapToGrid w:val="0"/>
          <w:color w:val="auto"/>
          <w:kern w:val="0"/>
          <w:sz w:val="24"/>
          <w:highlight w:val="none"/>
          <w:u w:val="single"/>
        </w:rPr>
        <w:t>元。</w:t>
      </w:r>
    </w:p>
    <w:p w14:paraId="6F5F5BEF">
      <w:pPr>
        <w:shd w:val="clear"/>
        <w:spacing w:line="400" w:lineRule="exact"/>
        <w:ind w:firstLine="600" w:firstLineChars="25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（2）监理人在监理过程中应严格遵循监理职业道德，当发现下列任一情况，委托人有权向监理人提出调换监理人员的要求：</w:t>
      </w:r>
    </w:p>
    <w:p w14:paraId="2B30D080">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A、监理人员资历和能力不足以胜任所提负的职责时；</w:t>
      </w:r>
    </w:p>
    <w:p w14:paraId="69CAD14F">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B、驻现场监理人员不履行职责或履行职责不力时；</w:t>
      </w:r>
    </w:p>
    <w:p w14:paraId="2BD28EA3">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C、监理人员的行为有损于监理工作应坚持的科学性和廉洁性时；</w:t>
      </w:r>
    </w:p>
    <w:p w14:paraId="1663D02A">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D、监理人或监理人员与承包人发生合伙经营关系时；</w:t>
      </w:r>
    </w:p>
    <w:p w14:paraId="56BF2010">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E、接受承包人请吃或娱乐活动；</w:t>
      </w:r>
    </w:p>
    <w:p w14:paraId="43C64766">
      <w:pPr>
        <w:shd w:val="clear"/>
        <w:spacing w:line="400" w:lineRule="exact"/>
        <w:ind w:left="48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F、向承包人介绍施工作业人员；</w:t>
      </w:r>
    </w:p>
    <w:p w14:paraId="03DEDD1C">
      <w:pPr>
        <w:widowControl/>
        <w:shd w:val="clear"/>
        <w:spacing w:line="400" w:lineRule="exact"/>
        <w:ind w:firstLine="480" w:firstLineChars="200"/>
        <w:jc w:val="left"/>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G、向承包人介绍材料供应商。</w:t>
      </w:r>
    </w:p>
    <w:p w14:paraId="25E448FF">
      <w:pPr>
        <w:shd w:val="clear"/>
        <w:autoSpaceDE w:val="0"/>
        <w:autoSpaceDN w:val="0"/>
        <w:adjustRightInd w:val="0"/>
        <w:snapToGrid w:val="0"/>
        <w:spacing w:line="400" w:lineRule="exact"/>
        <w:ind w:firstLine="480" w:firstLineChars="200"/>
        <w:jc w:val="left"/>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(3) 监理人员在监理过程中应严格按照设计图纸和工艺规范要求进行监理，要求监理人员在职、在岗、在状态，如监理人员玩忽职守，不作为，对隐蔽工程监理工作不认真，不保留相关的资料，对明显可以发现的问题，视而不见，委托人视情每次可对监理人处罚300-5000 元。</w:t>
      </w:r>
    </w:p>
    <w:p w14:paraId="16C9EE64">
      <w:pPr>
        <w:shd w:val="clear"/>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2.4 履行职责</w:t>
      </w:r>
    </w:p>
    <w:p w14:paraId="62A04557">
      <w:pPr>
        <w:shd w:val="clear"/>
        <w:adjustRightInd w:val="0"/>
        <w:snapToGrid w:val="0"/>
        <w:spacing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2.4.1 对监理人的授权范围：</w:t>
      </w:r>
      <w:r>
        <w:rPr>
          <w:rFonts w:hint="eastAsia" w:ascii="宋体" w:hAnsi="宋体" w:cs="宋体"/>
          <w:snapToGrid w:val="0"/>
          <w:color w:val="auto"/>
          <w:kern w:val="0"/>
          <w:sz w:val="24"/>
          <w:highlight w:val="none"/>
          <w:u w:val="single"/>
        </w:rPr>
        <w:t xml:space="preserve">对本工程质量、进度、投资、安全四大控制，对安全生产、文明施工、信息管理、组织协调施工现场和各方关系，以及《委托监理合同》内发包人委托的职权。 </w:t>
      </w:r>
      <w:r>
        <w:rPr>
          <w:rFonts w:hint="eastAsia" w:ascii="宋体" w:hAnsi="宋体" w:cs="宋体"/>
          <w:snapToGrid w:val="0"/>
          <w:color w:val="auto"/>
          <w:kern w:val="0"/>
          <w:sz w:val="24"/>
          <w:highlight w:val="none"/>
        </w:rPr>
        <w:t>需要取得发包人批准才能行使的职权：</w:t>
      </w:r>
      <w:r>
        <w:rPr>
          <w:rFonts w:hint="eastAsia" w:ascii="宋体" w:hAnsi="宋体" w:cs="宋体"/>
          <w:snapToGrid w:val="0"/>
          <w:color w:val="auto"/>
          <w:kern w:val="0"/>
          <w:sz w:val="24"/>
          <w:highlight w:val="none"/>
          <w:u w:val="single"/>
        </w:rPr>
        <w:t>工程开工令、停工令、工程款支付、工程量签证、委托人与承包人的施工合同内容以及其他超出发包人授权之外的职权。</w:t>
      </w:r>
    </w:p>
    <w:p w14:paraId="2F874ED2">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在涉及工程延期</w:t>
      </w:r>
      <w:r>
        <w:rPr>
          <w:rFonts w:hint="eastAsia" w:ascii="宋体" w:hAnsi="宋体" w:cs="宋体"/>
          <w:snapToGrid w:val="0"/>
          <w:color w:val="auto"/>
          <w:kern w:val="0"/>
          <w:sz w:val="24"/>
          <w:highlight w:val="none"/>
          <w:u w:val="single"/>
        </w:rPr>
        <w:t xml:space="preserve">   0   </w:t>
      </w:r>
      <w:r>
        <w:rPr>
          <w:rFonts w:hint="eastAsia" w:ascii="宋体" w:hAnsi="宋体" w:cs="宋体"/>
          <w:snapToGrid w:val="0"/>
          <w:color w:val="auto"/>
          <w:kern w:val="0"/>
          <w:sz w:val="24"/>
          <w:highlight w:val="none"/>
        </w:rPr>
        <w:t>天内和（或）金额</w:t>
      </w:r>
      <w:r>
        <w:rPr>
          <w:rFonts w:hint="eastAsia" w:ascii="宋体" w:hAnsi="宋体" w:cs="宋体"/>
          <w:snapToGrid w:val="0"/>
          <w:color w:val="auto"/>
          <w:kern w:val="0"/>
          <w:sz w:val="24"/>
          <w:highlight w:val="none"/>
          <w:u w:val="single"/>
        </w:rPr>
        <w:t xml:space="preserve">    0  </w:t>
      </w:r>
      <w:r>
        <w:rPr>
          <w:rFonts w:hint="eastAsia" w:ascii="宋体" w:hAnsi="宋体" w:cs="宋体"/>
          <w:snapToGrid w:val="0"/>
          <w:color w:val="auto"/>
          <w:kern w:val="0"/>
          <w:sz w:val="24"/>
          <w:highlight w:val="none"/>
        </w:rPr>
        <w:t>万元内的变更，监理人不需请示委托人即可向承包人发布变更通知。</w:t>
      </w:r>
    </w:p>
    <w:p w14:paraId="0D97A8B2">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2.4.2 监理人有权要求承包人调换其人员的限制条件： </w:t>
      </w:r>
      <w:r>
        <w:rPr>
          <w:rFonts w:hint="eastAsia" w:ascii="宋体" w:hAnsi="宋体" w:cs="宋体"/>
          <w:snapToGrid w:val="0"/>
          <w:color w:val="auto"/>
          <w:kern w:val="0"/>
          <w:sz w:val="24"/>
          <w:highlight w:val="none"/>
          <w:u w:val="single"/>
        </w:rPr>
        <w:t>须经发包人书面同意</w:t>
      </w:r>
      <w:r>
        <w:rPr>
          <w:rFonts w:hint="eastAsia" w:ascii="宋体" w:hAnsi="宋体" w:cs="宋体"/>
          <w:snapToGrid w:val="0"/>
          <w:color w:val="auto"/>
          <w:kern w:val="0"/>
          <w:sz w:val="24"/>
          <w:highlight w:val="none"/>
        </w:rPr>
        <w:t xml:space="preserve">。  </w:t>
      </w:r>
    </w:p>
    <w:p w14:paraId="6DDC509A">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2.5 提交报告</w:t>
      </w:r>
    </w:p>
    <w:p w14:paraId="31BCA4DC">
      <w:pPr>
        <w:shd w:val="clear"/>
        <w:spacing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监理人应提交报告的种类(包括监理规划、监理月报及约定的专项报告)、时间和份数：</w:t>
      </w:r>
      <w:r>
        <w:rPr>
          <w:rFonts w:hint="eastAsia" w:ascii="宋体" w:hAnsi="宋体" w:cs="宋体"/>
          <w:snapToGrid w:val="0"/>
          <w:color w:val="auto"/>
          <w:kern w:val="0"/>
          <w:sz w:val="24"/>
          <w:highlight w:val="none"/>
          <w:u w:val="single"/>
        </w:rPr>
        <w:t>监理规划在开工前5天，监理月报在每月10日前，约定的专项报告及其他内容须在委托人要求的时间内，份数：五份</w:t>
      </w:r>
      <w:r>
        <w:rPr>
          <w:rFonts w:hint="eastAsia" w:ascii="宋体" w:hAnsi="宋体" w:cs="宋体"/>
          <w:snapToGrid w:val="0"/>
          <w:color w:val="auto"/>
          <w:kern w:val="0"/>
          <w:sz w:val="24"/>
          <w:highlight w:val="none"/>
        </w:rPr>
        <w:t>。</w:t>
      </w:r>
    </w:p>
    <w:p w14:paraId="062D886A">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2.6 使用委托人的财产</w:t>
      </w:r>
    </w:p>
    <w:p w14:paraId="7BFADFB2">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由委托人无偿提供的房屋、设备的所有权属于：</w:t>
      </w:r>
      <w:r>
        <w:rPr>
          <w:rFonts w:hint="eastAsia" w:ascii="宋体" w:hAnsi="宋体" w:cs="宋体"/>
          <w:snapToGrid w:val="0"/>
          <w:color w:val="auto"/>
          <w:kern w:val="0"/>
          <w:sz w:val="24"/>
          <w:highlight w:val="none"/>
          <w:u w:val="single"/>
        </w:rPr>
        <w:t xml:space="preserve"> 委托人  </w:t>
      </w:r>
      <w:r>
        <w:rPr>
          <w:rFonts w:hint="eastAsia" w:ascii="宋体" w:hAnsi="宋体" w:cs="宋体"/>
          <w:snapToGrid w:val="0"/>
          <w:color w:val="auto"/>
          <w:kern w:val="0"/>
          <w:sz w:val="24"/>
          <w:highlight w:val="none"/>
        </w:rPr>
        <w:t xml:space="preserve"> 。</w:t>
      </w:r>
    </w:p>
    <w:p w14:paraId="5BB070F1">
      <w:pPr>
        <w:shd w:val="clear"/>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监理人应在本合同终止后</w:t>
      </w:r>
      <w:r>
        <w:rPr>
          <w:rFonts w:hint="eastAsia" w:ascii="宋体" w:hAnsi="宋体" w:cs="宋体"/>
          <w:snapToGrid w:val="0"/>
          <w:color w:val="auto"/>
          <w:kern w:val="0"/>
          <w:sz w:val="24"/>
          <w:highlight w:val="none"/>
          <w:u w:val="single"/>
        </w:rPr>
        <w:t xml:space="preserve">  5  </w:t>
      </w:r>
      <w:r>
        <w:rPr>
          <w:rFonts w:hint="eastAsia" w:ascii="宋体" w:hAnsi="宋体" w:cs="宋体"/>
          <w:snapToGrid w:val="0"/>
          <w:color w:val="auto"/>
          <w:kern w:val="0"/>
          <w:sz w:val="24"/>
          <w:highlight w:val="none"/>
        </w:rPr>
        <w:t>天内移交委托人无偿提供的房屋、设备，移交的时间和方式为：</w:t>
      </w:r>
      <w:r>
        <w:rPr>
          <w:rFonts w:hint="eastAsia" w:ascii="宋体" w:hAnsi="宋体" w:cs="宋体"/>
          <w:snapToGrid w:val="0"/>
          <w:color w:val="auto"/>
          <w:kern w:val="0"/>
          <w:sz w:val="24"/>
          <w:highlight w:val="none"/>
          <w:u w:val="single"/>
        </w:rPr>
        <w:t xml:space="preserve">由委托人当场验收 </w:t>
      </w:r>
      <w:r>
        <w:rPr>
          <w:rFonts w:hint="eastAsia" w:ascii="宋体" w:hAnsi="宋体" w:cs="宋体"/>
          <w:snapToGrid w:val="0"/>
          <w:color w:val="auto"/>
          <w:kern w:val="0"/>
          <w:sz w:val="24"/>
          <w:highlight w:val="none"/>
        </w:rPr>
        <w:t xml:space="preserve"> 。</w:t>
      </w:r>
    </w:p>
    <w:p w14:paraId="2E847C27">
      <w:pPr>
        <w:keepNext/>
        <w:keepLines/>
        <w:shd w:val="clear"/>
        <w:spacing w:line="400" w:lineRule="exact"/>
        <w:contextualSpacing/>
        <w:outlineLvl w:val="2"/>
        <w:rPr>
          <w:rFonts w:ascii="宋体" w:hAnsi="宋体" w:cs="宋体"/>
          <w:b/>
          <w:bCs/>
          <w:snapToGrid w:val="0"/>
          <w:color w:val="auto"/>
          <w:kern w:val="0"/>
          <w:sz w:val="24"/>
          <w:highlight w:val="none"/>
        </w:rPr>
      </w:pPr>
      <w:bookmarkStart w:id="68" w:name="_Toc500748816"/>
      <w:r>
        <w:rPr>
          <w:rFonts w:hint="eastAsia" w:ascii="宋体" w:hAnsi="宋体" w:cs="宋体"/>
          <w:b/>
          <w:bCs/>
          <w:snapToGrid w:val="0"/>
          <w:color w:val="auto"/>
          <w:kern w:val="0"/>
          <w:sz w:val="24"/>
          <w:highlight w:val="none"/>
        </w:rPr>
        <w:t>3. 委托人义务</w:t>
      </w:r>
      <w:bookmarkEnd w:id="68"/>
    </w:p>
    <w:p w14:paraId="32CF78FA">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 委托人代表</w:t>
      </w:r>
    </w:p>
    <w:p w14:paraId="442387B4">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委托人代表为：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夏鑫</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E959F86">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3.2 答复</w:t>
      </w:r>
    </w:p>
    <w:p w14:paraId="3F2ADF3E">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委托人同意在</w:t>
      </w:r>
      <w:r>
        <w:rPr>
          <w:rFonts w:hint="eastAsia" w:ascii="宋体" w:hAnsi="宋体" w:cs="宋体"/>
          <w:snapToGrid w:val="0"/>
          <w:color w:val="auto"/>
          <w:kern w:val="0"/>
          <w:sz w:val="24"/>
          <w:highlight w:val="none"/>
          <w:u w:val="single"/>
        </w:rPr>
        <w:t xml:space="preserve">3 </w:t>
      </w:r>
      <w:r>
        <w:rPr>
          <w:rFonts w:hint="eastAsia" w:ascii="宋体" w:hAnsi="宋体" w:cs="宋体"/>
          <w:snapToGrid w:val="0"/>
          <w:color w:val="auto"/>
          <w:kern w:val="0"/>
          <w:sz w:val="24"/>
          <w:highlight w:val="none"/>
        </w:rPr>
        <w:t>天内，对监理人书面提交并要求做出决定的事宜给予书面答复。</w:t>
      </w:r>
    </w:p>
    <w:p w14:paraId="3B57B66D">
      <w:pPr>
        <w:keepNext/>
        <w:keepLines/>
        <w:shd w:val="clear"/>
        <w:spacing w:line="400" w:lineRule="exact"/>
        <w:contextualSpacing/>
        <w:outlineLvl w:val="2"/>
        <w:rPr>
          <w:rFonts w:ascii="宋体" w:hAnsi="宋体" w:cs="宋体"/>
          <w:b/>
          <w:bCs/>
          <w:snapToGrid w:val="0"/>
          <w:color w:val="auto"/>
          <w:kern w:val="0"/>
          <w:sz w:val="24"/>
          <w:highlight w:val="none"/>
        </w:rPr>
      </w:pPr>
      <w:bookmarkStart w:id="69" w:name="_Toc500748817"/>
      <w:r>
        <w:rPr>
          <w:rFonts w:hint="eastAsia" w:ascii="宋体" w:hAnsi="宋体" w:cs="宋体"/>
          <w:b/>
          <w:bCs/>
          <w:snapToGrid w:val="0"/>
          <w:color w:val="auto"/>
          <w:kern w:val="0"/>
          <w:sz w:val="24"/>
          <w:highlight w:val="none"/>
        </w:rPr>
        <w:t>4. 违约责任</w:t>
      </w:r>
      <w:bookmarkEnd w:id="69"/>
    </w:p>
    <w:p w14:paraId="2B8AA0A5">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4.1按合同条款及国家的有关规定执行。履约保证金为暂估合同价款的</w:t>
      </w:r>
      <w:r>
        <w:rPr>
          <w:rFonts w:hint="eastAsia" w:ascii="宋体" w:hAnsi="宋体" w:cs="宋体"/>
          <w:snapToGrid w:val="0"/>
          <w:color w:val="auto"/>
          <w:kern w:val="0"/>
          <w:sz w:val="24"/>
          <w:highlight w:val="none"/>
          <w:lang w:val="en-US" w:eastAsia="zh-CN"/>
        </w:rPr>
        <w:t>10</w:t>
      </w:r>
      <w:r>
        <w:rPr>
          <w:rFonts w:hint="eastAsia" w:ascii="宋体" w:hAnsi="宋体" w:cs="宋体"/>
          <w:snapToGrid w:val="0"/>
          <w:color w:val="auto"/>
          <w:kern w:val="0"/>
          <w:sz w:val="24"/>
          <w:highlight w:val="none"/>
        </w:rPr>
        <w:t>%，其中分包、转包保证金为合同价款的</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%，工期保证金为合同价款的</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%，质量保证金为合同价款的</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%，项目总监在岗保证金为合同价款的</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%，在成交通知书发出后7日内，汇至甲方指定账户。</w:t>
      </w:r>
    </w:p>
    <w:p w14:paraId="65F7814C">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w:t>
      </w: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rPr>
        <w:t>对主要监理工作人员的要求</w:t>
      </w:r>
    </w:p>
    <w:p w14:paraId="156AF09F">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（1）监理人必须承诺总监严格按照"通建工[2003]375号"等文件要求监理工程；承诺现场监理人员按照国家和地方对建设工程的现行施工规范、强制标准的规定进行监理。</w:t>
      </w:r>
    </w:p>
    <w:p w14:paraId="7C708ECC">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（2）承诺对工程所用材料、设备参与考察、进行价格及质量监督。</w:t>
      </w:r>
    </w:p>
    <w:p w14:paraId="008DF769">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（3）现场所有专业监理人员必须要有上岗证且不可更换。</w:t>
      </w:r>
    </w:p>
    <w:p w14:paraId="61F0AE34">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（4）专业监理人员、总监理工程师应根据委托人的要求出勤，若无正当理由缺席一天，按1000元/人·天进行违约金处理，违约金处理款项以工程联系单形式通知监理人，直接从当期监理款中扣减。</w:t>
      </w:r>
    </w:p>
    <w:p w14:paraId="51CEA802">
      <w:pPr>
        <w:keepNext/>
        <w:keepLines/>
        <w:shd w:val="clear"/>
        <w:spacing w:line="400" w:lineRule="exact"/>
        <w:contextualSpacing/>
        <w:outlineLvl w:val="2"/>
        <w:rPr>
          <w:rFonts w:ascii="宋体" w:hAnsi="宋体" w:cs="宋体"/>
          <w:b/>
          <w:bCs/>
          <w:snapToGrid w:val="0"/>
          <w:color w:val="auto"/>
          <w:kern w:val="0"/>
          <w:sz w:val="24"/>
          <w:highlight w:val="none"/>
        </w:rPr>
      </w:pPr>
      <w:bookmarkStart w:id="70" w:name="_Toc500748818"/>
      <w:r>
        <w:rPr>
          <w:rFonts w:hint="eastAsia" w:ascii="宋体" w:hAnsi="宋体" w:cs="宋体"/>
          <w:b/>
          <w:bCs/>
          <w:snapToGrid w:val="0"/>
          <w:color w:val="auto"/>
          <w:kern w:val="0"/>
          <w:sz w:val="24"/>
          <w:highlight w:val="none"/>
        </w:rPr>
        <w:t>5. 支付</w:t>
      </w:r>
      <w:bookmarkEnd w:id="70"/>
    </w:p>
    <w:p w14:paraId="4352AADB">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5.1 支付货币</w:t>
      </w:r>
    </w:p>
    <w:p w14:paraId="727AD3D8">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币种为：</w:t>
      </w:r>
      <w:r>
        <w:rPr>
          <w:rFonts w:hint="eastAsia" w:ascii="宋体" w:hAnsi="宋体" w:cs="宋体"/>
          <w:snapToGrid w:val="0"/>
          <w:color w:val="auto"/>
          <w:kern w:val="0"/>
          <w:sz w:val="24"/>
          <w:highlight w:val="none"/>
          <w:u w:val="single"/>
        </w:rPr>
        <w:t xml:space="preserve">人民币 </w:t>
      </w:r>
      <w:r>
        <w:rPr>
          <w:rFonts w:hint="eastAsia" w:ascii="宋体" w:hAnsi="宋体" w:cs="宋体"/>
          <w:snapToGrid w:val="0"/>
          <w:color w:val="auto"/>
          <w:kern w:val="0"/>
          <w:sz w:val="24"/>
          <w:highlight w:val="none"/>
        </w:rPr>
        <w:t xml:space="preserve">。 </w:t>
      </w:r>
    </w:p>
    <w:p w14:paraId="023D616F">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5.2 支付酬金</w:t>
      </w:r>
    </w:p>
    <w:p w14:paraId="030EC4E0">
      <w:pPr>
        <w:shd w:val="clea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乙方缴纳履约保证金（合同价的</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在合同签订前汇给甲方；双方合同签订生效后，甲方支付合同价的30%，监理范围内的所有工程完成竣工验收移交、交付了两套规范、完整的监理资料、办理完档案交接手续和竣工备案手续后，甲方支付合同价的30%，完成结算审核后，付至</w:t>
      </w:r>
      <w:r>
        <w:rPr>
          <w:rFonts w:hint="eastAsia" w:ascii="宋体" w:hAnsi="宋体" w:cs="宋体"/>
          <w:color w:val="auto"/>
          <w:sz w:val="24"/>
          <w:highlight w:val="none"/>
          <w:shd w:val="clear" w:color="FFFFFF" w:fill="D9D9D9"/>
        </w:rPr>
        <w:t>终审结算价的97%</w:t>
      </w:r>
      <w:r>
        <w:rPr>
          <w:rFonts w:hint="eastAsia" w:ascii="宋体" w:hAnsi="宋体" w:cs="宋体"/>
          <w:color w:val="auto"/>
          <w:sz w:val="24"/>
          <w:highlight w:val="none"/>
        </w:rPr>
        <w:t>（按比例）；余款在工程保修期满且无任何监理责任问题后一次付清（无息）。</w:t>
      </w:r>
    </w:p>
    <w:p w14:paraId="0FDE8535">
      <w:pPr>
        <w:shd w:val="clear"/>
        <w:spacing w:line="400" w:lineRule="exact"/>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每次付款前,由监理人填写资金拨付申请报表交委托人同时需提供满足甲方要求的合法有效的税务发票，按相关流程拨付申请进度款。</w:t>
      </w:r>
    </w:p>
    <w:p w14:paraId="142BA357">
      <w:pPr>
        <w:widowControl/>
        <w:shd w:val="clear"/>
        <w:spacing w:line="400" w:lineRule="exact"/>
        <w:ind w:firstLine="480" w:firstLineChars="200"/>
        <w:contextualSpacing/>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工期延长的，委托人不支付附加工作报酬。</w:t>
      </w:r>
    </w:p>
    <w:p w14:paraId="05650A9C">
      <w:pPr>
        <w:keepNext/>
        <w:keepLines/>
        <w:shd w:val="clear"/>
        <w:spacing w:line="400" w:lineRule="exact"/>
        <w:contextualSpacing/>
        <w:outlineLvl w:val="2"/>
        <w:rPr>
          <w:rFonts w:ascii="宋体" w:hAnsi="宋体" w:cs="宋体"/>
          <w:b/>
          <w:bCs/>
          <w:snapToGrid w:val="0"/>
          <w:color w:val="auto"/>
          <w:kern w:val="0"/>
          <w:sz w:val="24"/>
          <w:highlight w:val="none"/>
        </w:rPr>
      </w:pPr>
      <w:bookmarkStart w:id="71" w:name="_Toc500748819"/>
      <w:r>
        <w:rPr>
          <w:rFonts w:hint="eastAsia" w:ascii="宋体" w:hAnsi="宋体" w:cs="宋体"/>
          <w:b/>
          <w:bCs/>
          <w:snapToGrid w:val="0"/>
          <w:color w:val="auto"/>
          <w:kern w:val="0"/>
          <w:sz w:val="24"/>
          <w:highlight w:val="none"/>
        </w:rPr>
        <w:t>6. 合同生效、变更、暂停、解除与终止</w:t>
      </w:r>
      <w:bookmarkEnd w:id="71"/>
    </w:p>
    <w:p w14:paraId="6C278A6A">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6.1 生效</w:t>
      </w:r>
    </w:p>
    <w:p w14:paraId="1E6476D6">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本合同生效条件：</w:t>
      </w:r>
      <w:r>
        <w:rPr>
          <w:rFonts w:hint="eastAsia" w:ascii="宋体" w:hAnsi="宋体" w:cs="宋体"/>
          <w:snapToGrid w:val="0"/>
          <w:color w:val="auto"/>
          <w:kern w:val="0"/>
          <w:sz w:val="24"/>
          <w:highlight w:val="none"/>
          <w:u w:val="single"/>
        </w:rPr>
        <w:t xml:space="preserve">监理人交纳履约保证金，且委托人、监理人签字盖章后 </w:t>
      </w:r>
      <w:r>
        <w:rPr>
          <w:rFonts w:hint="eastAsia" w:ascii="宋体" w:hAnsi="宋体" w:cs="宋体"/>
          <w:snapToGrid w:val="0"/>
          <w:color w:val="auto"/>
          <w:kern w:val="0"/>
          <w:sz w:val="24"/>
          <w:highlight w:val="none"/>
        </w:rPr>
        <w:t>。</w:t>
      </w:r>
    </w:p>
    <w:p w14:paraId="23966F66">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 变更</w:t>
      </w:r>
    </w:p>
    <w:p w14:paraId="12996197">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6.2.1 除不可抗力外， 因非监理人原因导致本合同期限延长时，附加工作酬金按下列方法确定：</w:t>
      </w:r>
      <w:r>
        <w:rPr>
          <w:rFonts w:hint="eastAsia" w:ascii="宋体" w:hAnsi="宋体" w:cs="宋体"/>
          <w:snapToGrid w:val="0"/>
          <w:color w:val="auto"/>
          <w:kern w:val="0"/>
          <w:sz w:val="24"/>
          <w:highlight w:val="none"/>
          <w:u w:val="single"/>
        </w:rPr>
        <w:t>不计。</w:t>
      </w:r>
    </w:p>
    <w:p w14:paraId="0402F583">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6.2.2附加工作酬金按下列方法确定：</w:t>
      </w:r>
      <w:r>
        <w:rPr>
          <w:rFonts w:hint="eastAsia" w:ascii="宋体" w:hAnsi="宋体" w:cs="宋体"/>
          <w:snapToGrid w:val="0"/>
          <w:color w:val="auto"/>
          <w:kern w:val="0"/>
          <w:sz w:val="24"/>
          <w:highlight w:val="none"/>
          <w:u w:val="single"/>
        </w:rPr>
        <w:t>不计。</w:t>
      </w:r>
    </w:p>
    <w:p w14:paraId="1A1FB860">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6.2.3 正常工作酬金增加额按下列方法确定： </w:t>
      </w:r>
    </w:p>
    <w:p w14:paraId="43485FB3">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正常工作酬金增加额=工程投资额或建筑安装工程费增加额×正常工作酬金÷工程概算投资额（或建筑安装工程费）</w:t>
      </w:r>
    </w:p>
    <w:p w14:paraId="38CA0DDA">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6.2.4 因工程规模、监理范围的变化导致监理人的正常工作量减少时，按减少工作量的比例从协议书约定的正常工作酬金中扣减相同比例的酬金。</w:t>
      </w:r>
    </w:p>
    <w:p w14:paraId="78CCB6F5">
      <w:pPr>
        <w:keepNext/>
        <w:keepLines/>
        <w:shd w:val="clear"/>
        <w:spacing w:line="400" w:lineRule="exact"/>
        <w:contextualSpacing/>
        <w:outlineLvl w:val="2"/>
        <w:rPr>
          <w:rFonts w:ascii="宋体" w:hAnsi="宋体" w:cs="宋体"/>
          <w:b/>
          <w:bCs/>
          <w:snapToGrid w:val="0"/>
          <w:color w:val="auto"/>
          <w:kern w:val="0"/>
          <w:sz w:val="24"/>
          <w:highlight w:val="none"/>
        </w:rPr>
      </w:pPr>
      <w:bookmarkStart w:id="72" w:name="_Toc500748820"/>
      <w:r>
        <w:rPr>
          <w:rFonts w:hint="eastAsia" w:ascii="宋体" w:hAnsi="宋体" w:cs="宋体"/>
          <w:b/>
          <w:bCs/>
          <w:snapToGrid w:val="0"/>
          <w:color w:val="auto"/>
          <w:kern w:val="0"/>
          <w:sz w:val="24"/>
          <w:highlight w:val="none"/>
        </w:rPr>
        <w:t>7. 争议解决</w:t>
      </w:r>
      <w:bookmarkEnd w:id="72"/>
    </w:p>
    <w:p w14:paraId="508A3C91">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7.1 调解</w:t>
      </w:r>
    </w:p>
    <w:p w14:paraId="6F5F20B2">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本合同争议进行调解时，可提交进行调解。</w:t>
      </w:r>
    </w:p>
    <w:p w14:paraId="12D997F2">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7.2 仲裁或诉讼</w:t>
      </w:r>
    </w:p>
    <w:p w14:paraId="69ABD238">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合同争议的最终解决方式为下列第</w:t>
      </w:r>
      <w:r>
        <w:rPr>
          <w:rFonts w:hint="eastAsia" w:ascii="宋体" w:hAnsi="宋体" w:cs="宋体"/>
          <w:snapToGrid w:val="0"/>
          <w:color w:val="auto"/>
          <w:kern w:val="0"/>
          <w:sz w:val="24"/>
          <w:highlight w:val="none"/>
          <w:u w:val="single"/>
        </w:rPr>
        <w:t>（1）</w:t>
      </w:r>
      <w:r>
        <w:rPr>
          <w:rFonts w:hint="eastAsia" w:ascii="宋体" w:hAnsi="宋体" w:cs="宋体"/>
          <w:snapToGrid w:val="0"/>
          <w:color w:val="auto"/>
          <w:kern w:val="0"/>
          <w:sz w:val="24"/>
          <w:highlight w:val="none"/>
        </w:rPr>
        <w:t>种方式：</w:t>
      </w:r>
    </w:p>
    <w:p w14:paraId="78D524EB">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（1）提请</w:t>
      </w:r>
      <w:r>
        <w:rPr>
          <w:rFonts w:hint="eastAsia" w:ascii="宋体" w:hAnsi="宋体" w:cs="宋体"/>
          <w:snapToGrid w:val="0"/>
          <w:color w:val="auto"/>
          <w:kern w:val="0"/>
          <w:sz w:val="24"/>
          <w:highlight w:val="none"/>
          <w:u w:val="single"/>
        </w:rPr>
        <w:t xml:space="preserve"> 南通 </w:t>
      </w:r>
      <w:r>
        <w:rPr>
          <w:rFonts w:hint="eastAsia" w:ascii="宋体" w:hAnsi="宋体" w:cs="宋体"/>
          <w:snapToGrid w:val="0"/>
          <w:color w:val="auto"/>
          <w:kern w:val="0"/>
          <w:sz w:val="24"/>
          <w:highlight w:val="none"/>
        </w:rPr>
        <w:t>仲裁委员会进行仲裁。</w:t>
      </w:r>
    </w:p>
    <w:p w14:paraId="3E23264A">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（2）向</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人民法院提起诉讼。</w:t>
      </w:r>
    </w:p>
    <w:p w14:paraId="16862632">
      <w:pPr>
        <w:keepNext/>
        <w:keepLines/>
        <w:shd w:val="clear"/>
        <w:spacing w:line="400" w:lineRule="exact"/>
        <w:contextualSpacing/>
        <w:outlineLvl w:val="2"/>
        <w:rPr>
          <w:rFonts w:ascii="宋体" w:hAnsi="宋体" w:cs="宋体"/>
          <w:b/>
          <w:bCs/>
          <w:snapToGrid w:val="0"/>
          <w:color w:val="auto"/>
          <w:kern w:val="0"/>
          <w:sz w:val="24"/>
          <w:highlight w:val="none"/>
        </w:rPr>
      </w:pPr>
      <w:bookmarkStart w:id="73" w:name="_Toc500748821"/>
      <w:r>
        <w:rPr>
          <w:rFonts w:hint="eastAsia" w:ascii="宋体" w:hAnsi="宋体" w:cs="宋体"/>
          <w:b/>
          <w:bCs/>
          <w:snapToGrid w:val="0"/>
          <w:color w:val="auto"/>
          <w:kern w:val="0"/>
          <w:sz w:val="24"/>
          <w:highlight w:val="none"/>
        </w:rPr>
        <w:t>8. 其他</w:t>
      </w:r>
      <w:bookmarkEnd w:id="73"/>
    </w:p>
    <w:p w14:paraId="5DCB50D1">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8.1 检测费用</w:t>
      </w:r>
    </w:p>
    <w:p w14:paraId="18D71AF8">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委托人应在检测工作完成后</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天内支付检测费用。</w:t>
      </w:r>
    </w:p>
    <w:p w14:paraId="696BDA67">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8.2 咨询费用</w:t>
      </w:r>
    </w:p>
    <w:p w14:paraId="41717968">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委托人应在咨询工作完成后</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天内支付咨询费用。</w:t>
      </w:r>
    </w:p>
    <w:p w14:paraId="5A1B9D32">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8.3奖励</w:t>
      </w:r>
    </w:p>
    <w:p w14:paraId="14685CC2">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合理化建议的奖励金额按下列方法确定为： </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 xml:space="preserve"> 。</w:t>
      </w:r>
    </w:p>
    <w:p w14:paraId="5366362C">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8.4 保密</w:t>
      </w:r>
    </w:p>
    <w:p w14:paraId="37D30D74">
      <w:pPr>
        <w:shd w:val="clear"/>
        <w:spacing w:line="400" w:lineRule="exact"/>
        <w:ind w:firstLine="480" w:firstLineChars="200"/>
        <w:contextualSpacing/>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委托人申明的保密事项和期限：</w:t>
      </w:r>
      <w:r>
        <w:rPr>
          <w:rFonts w:hint="eastAsia" w:ascii="宋体" w:hAnsi="宋体" w:cs="宋体"/>
          <w:snapToGrid w:val="0"/>
          <w:color w:val="auto"/>
          <w:kern w:val="0"/>
          <w:sz w:val="24"/>
          <w:highlight w:val="none"/>
          <w:u w:val="single"/>
        </w:rPr>
        <w:t>监理在实施监理服务过程中与工程相关图纸和资料未经委托人同意，不得提供给相关方，禁止互联网发布 。</w:t>
      </w:r>
    </w:p>
    <w:p w14:paraId="019F2C59">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监理人申明的保密事项和期限：</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96628A7">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第三方申明的保密事项和期限：</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7E3D9B19">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8.5著作权</w:t>
      </w:r>
    </w:p>
    <w:p w14:paraId="6F2F20CB">
      <w:pPr>
        <w:shd w:val="clear"/>
        <w:spacing w:line="400" w:lineRule="exact"/>
        <w:ind w:firstLine="480" w:firstLineChars="200"/>
        <w:contextualSpacing/>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监理人在本合同履行期间及本合同终止后两年内出版涉及本工程的有关监理与相关服务的资料的限制条件：</w:t>
      </w:r>
      <w:r>
        <w:rPr>
          <w:rFonts w:hint="eastAsia" w:ascii="宋体" w:hAnsi="宋体" w:cs="宋体"/>
          <w:snapToGrid w:val="0"/>
          <w:color w:val="auto"/>
          <w:kern w:val="0"/>
          <w:sz w:val="24"/>
          <w:highlight w:val="none"/>
          <w:u w:val="single"/>
        </w:rPr>
        <w:t xml:space="preserve">须经发包人书面同意 。 </w:t>
      </w:r>
    </w:p>
    <w:p w14:paraId="637F9DC2">
      <w:pPr>
        <w:keepNext/>
        <w:keepLines/>
        <w:shd w:val="clear"/>
        <w:spacing w:line="400" w:lineRule="exact"/>
        <w:contextualSpacing/>
        <w:outlineLvl w:val="2"/>
        <w:rPr>
          <w:rFonts w:ascii="宋体" w:hAnsi="宋体" w:cs="宋体"/>
          <w:b/>
          <w:bCs/>
          <w:snapToGrid w:val="0"/>
          <w:color w:val="auto"/>
          <w:kern w:val="0"/>
          <w:sz w:val="24"/>
          <w:highlight w:val="none"/>
        </w:rPr>
      </w:pPr>
      <w:bookmarkStart w:id="74" w:name="_Toc500748822"/>
      <w:r>
        <w:rPr>
          <w:rFonts w:hint="eastAsia" w:ascii="宋体" w:hAnsi="宋体" w:cs="宋体"/>
          <w:b/>
          <w:bCs/>
          <w:snapToGrid w:val="0"/>
          <w:color w:val="auto"/>
          <w:kern w:val="0"/>
          <w:sz w:val="24"/>
          <w:highlight w:val="none"/>
        </w:rPr>
        <w:t>9. 补充条款</w:t>
      </w:r>
      <w:bookmarkEnd w:id="74"/>
    </w:p>
    <w:p w14:paraId="46F7E3A3">
      <w:pPr>
        <w:shd w:val="clear"/>
        <w:spacing w:line="400" w:lineRule="exact"/>
        <w:ind w:firstLine="480" w:firstLineChars="200"/>
        <w:contextualSpacing/>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9.1成交通知书发出后监理人须针对本工程的特点编制监理大纲，并着重说明监理的质量保证体系与控制措施、工期进度安排及保证措施、安全生产文明施工的保证措施、工程造价控制措施，对施工单位的管理措施、与各部门单位协调的措施、对突发情况的处理预案等。</w:t>
      </w:r>
    </w:p>
    <w:p w14:paraId="55A51C01">
      <w:pPr>
        <w:shd w:val="clear"/>
        <w:spacing w:line="400" w:lineRule="exact"/>
        <w:ind w:firstLine="480" w:firstLineChars="200"/>
        <w:contextualSpacing/>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9.2初审把关要求：由监理人负责工程决算的初审把关，如单项工程结算初审后经审计局终审，核减率超过5%（不含5%），则相应按超过比例扣减监理费（如超过5.5%，则扣除监理费*5.5%的费用；如超过6.0%，则扣除监理费*6.0%的费用；以次类推）。</w:t>
      </w:r>
    </w:p>
    <w:p w14:paraId="08EF05AA">
      <w:pPr>
        <w:shd w:val="clear"/>
        <w:spacing w:line="400" w:lineRule="exact"/>
        <w:ind w:firstLine="480" w:firstLineChars="200"/>
        <w:contextualSpacing/>
        <w:rPr>
          <w:rFonts w:ascii="宋体" w:hAnsi="宋体" w:cs="宋体"/>
          <w:b/>
          <w:snapToGrid w:val="0"/>
          <w:color w:val="auto"/>
          <w:kern w:val="0"/>
          <w:sz w:val="30"/>
          <w:szCs w:val="30"/>
          <w:highlight w:val="none"/>
        </w:rPr>
      </w:pPr>
      <w:r>
        <w:rPr>
          <w:rFonts w:hint="eastAsia" w:ascii="宋体" w:hAnsi="宋体" w:cs="宋体"/>
          <w:snapToGrid w:val="0"/>
          <w:color w:val="auto"/>
          <w:kern w:val="0"/>
          <w:sz w:val="24"/>
          <w:highlight w:val="none"/>
          <w:u w:val="single"/>
        </w:rPr>
        <w:br w:type="page"/>
      </w:r>
      <w:bookmarkStart w:id="75" w:name="_Toc500748823"/>
      <w:r>
        <w:rPr>
          <w:rFonts w:hint="eastAsia" w:ascii="宋体" w:hAnsi="宋体" w:cs="宋体"/>
          <w:b/>
          <w:snapToGrid w:val="0"/>
          <w:color w:val="auto"/>
          <w:kern w:val="0"/>
          <w:sz w:val="30"/>
          <w:szCs w:val="30"/>
          <w:highlight w:val="none"/>
        </w:rPr>
        <w:t>附录A  相关服务的范围和内容</w:t>
      </w:r>
      <w:bookmarkEnd w:id="75"/>
    </w:p>
    <w:p w14:paraId="57D15750">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A-1 勘察阶段：</w:t>
      </w:r>
    </w:p>
    <w:p w14:paraId="65ACC749">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009D6C48">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A-2 设计阶段：</w:t>
      </w:r>
    </w:p>
    <w:p w14:paraId="5952DC88">
      <w:pPr>
        <w:shd w:val="clear"/>
        <w:spacing w:line="400" w:lineRule="exact"/>
        <w:ind w:firstLine="480"/>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u w:val="single"/>
        </w:rPr>
        <w:t>协助业主进行设计图纸审查工作，凭借自身的技能和经验，根据本地的实际情况，为设计院提供建设性改进意见，并协调市有关部门完成各项报批工作。</w:t>
      </w:r>
    </w:p>
    <w:p w14:paraId="76B82BDE">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A-3 维护及保修阶段：</w:t>
      </w:r>
    </w:p>
    <w:p w14:paraId="34616FC4">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工程质量维护及保修期内，监理人应对所监理的工程质量实行回访制度，并对发现的问题书面告知发包人，若系承包人的原因引起的工程质量问题，则发书面指令要求承包人处理至符合要求为止。</w:t>
      </w:r>
    </w:p>
    <w:p w14:paraId="1E504501">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A-4 其他（专业技术咨询、外部协调工作等）：</w:t>
      </w:r>
    </w:p>
    <w:p w14:paraId="5BA4C804">
      <w:pPr>
        <w:shd w:val="clear"/>
        <w:snapToGrid w:val="0"/>
        <w:spacing w:before="156" w:beforeLines="50" w:after="156" w:afterLines="50"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u w:val="single"/>
        </w:rPr>
        <w:t>有关需要监理协调的工作</w:t>
      </w:r>
      <w:r>
        <w:rPr>
          <w:rFonts w:hint="eastAsia" w:ascii="宋体" w:hAnsi="宋体" w:cs="宋体"/>
          <w:snapToGrid w:val="0"/>
          <w:color w:val="auto"/>
          <w:kern w:val="0"/>
          <w:sz w:val="24"/>
          <w:highlight w:val="none"/>
        </w:rPr>
        <w:t>。</w:t>
      </w:r>
    </w:p>
    <w:p w14:paraId="1E543597">
      <w:pPr>
        <w:shd w:val="clear"/>
        <w:spacing w:line="400" w:lineRule="exact"/>
        <w:rPr>
          <w:rFonts w:ascii="宋体" w:hAnsi="宋体" w:cs="宋体"/>
          <w:b/>
          <w:bCs/>
          <w:color w:val="auto"/>
          <w:spacing w:val="60"/>
          <w:sz w:val="28"/>
          <w:szCs w:val="28"/>
          <w:highlight w:val="none"/>
        </w:rPr>
      </w:pPr>
    </w:p>
    <w:p w14:paraId="6C8BF52A">
      <w:pPr>
        <w:pStyle w:val="126"/>
        <w:shd w:val="clear"/>
        <w:spacing w:line="400" w:lineRule="exact"/>
        <w:ind w:firstLine="240" w:firstLineChars="100"/>
        <w:rPr>
          <w:rFonts w:ascii="宋体" w:hAnsi="宋体"/>
          <w:color w:val="auto"/>
          <w:sz w:val="24"/>
          <w:highlight w:val="none"/>
        </w:rPr>
      </w:pPr>
    </w:p>
    <w:p w14:paraId="2CF30328">
      <w:pPr>
        <w:shd w:val="clear"/>
        <w:adjustRightInd w:val="0"/>
        <w:snapToGrid w:val="0"/>
        <w:spacing w:line="400" w:lineRule="exact"/>
        <w:jc w:val="center"/>
        <w:outlineLvl w:val="0"/>
        <w:rPr>
          <w:rFonts w:ascii="宋体" w:hAnsi="宋体" w:cs="宋体"/>
          <w:b/>
          <w:bCs/>
          <w:color w:val="auto"/>
          <w:highlight w:val="none"/>
        </w:rPr>
      </w:pPr>
      <w:r>
        <w:rPr>
          <w:rFonts w:hint="eastAsia" w:ascii="宋体" w:hAnsi="宋体" w:cs="宋体"/>
          <w:b/>
          <w:bCs/>
          <w:color w:val="auto"/>
          <w:highlight w:val="none"/>
        </w:rPr>
        <w:t>注：委托人保留调整合同条款的权利。</w:t>
      </w:r>
    </w:p>
    <w:p w14:paraId="433959AE">
      <w:pPr>
        <w:shd w:val="clear"/>
        <w:adjustRightInd w:val="0"/>
        <w:snapToGrid w:val="0"/>
        <w:spacing w:line="400" w:lineRule="exact"/>
        <w:jc w:val="center"/>
        <w:outlineLvl w:val="0"/>
        <w:rPr>
          <w:rFonts w:ascii="宋体" w:hAnsi="宋体" w:cs="宋体"/>
          <w:b/>
          <w:bCs/>
          <w:color w:val="auto"/>
          <w:highlight w:val="none"/>
        </w:rPr>
      </w:pPr>
    </w:p>
    <w:p w14:paraId="131A725B">
      <w:pPr>
        <w:shd w:val="clear"/>
        <w:adjustRightInd w:val="0"/>
        <w:snapToGrid w:val="0"/>
        <w:spacing w:line="400" w:lineRule="exact"/>
        <w:jc w:val="center"/>
        <w:outlineLvl w:val="0"/>
        <w:rPr>
          <w:rFonts w:ascii="宋体" w:hAnsi="宋体" w:cs="宋体"/>
          <w:b/>
          <w:bCs/>
          <w:color w:val="auto"/>
          <w:highlight w:val="none"/>
        </w:rPr>
      </w:pPr>
    </w:p>
    <w:p w14:paraId="7769273E">
      <w:pPr>
        <w:shd w:val="clear"/>
        <w:adjustRightInd w:val="0"/>
        <w:snapToGrid w:val="0"/>
        <w:spacing w:line="400" w:lineRule="exact"/>
        <w:jc w:val="center"/>
        <w:outlineLvl w:val="0"/>
        <w:rPr>
          <w:rFonts w:ascii="宋体" w:hAnsi="宋体" w:cs="宋体"/>
          <w:b/>
          <w:bCs/>
          <w:color w:val="auto"/>
          <w:highlight w:val="none"/>
        </w:rPr>
      </w:pPr>
    </w:p>
    <w:p w14:paraId="6634A207">
      <w:pPr>
        <w:shd w:val="clear"/>
        <w:adjustRightInd w:val="0"/>
        <w:snapToGrid w:val="0"/>
        <w:spacing w:line="400" w:lineRule="exact"/>
        <w:jc w:val="center"/>
        <w:outlineLvl w:val="0"/>
        <w:rPr>
          <w:rFonts w:ascii="宋体" w:hAnsi="宋体" w:cs="宋体"/>
          <w:b/>
          <w:bCs/>
          <w:color w:val="auto"/>
          <w:highlight w:val="none"/>
        </w:rPr>
      </w:pPr>
    </w:p>
    <w:p w14:paraId="4F325A74">
      <w:pPr>
        <w:shd w:val="clear"/>
        <w:adjustRightInd w:val="0"/>
        <w:snapToGrid w:val="0"/>
        <w:spacing w:line="400" w:lineRule="exact"/>
        <w:jc w:val="center"/>
        <w:outlineLvl w:val="0"/>
        <w:rPr>
          <w:rFonts w:ascii="宋体" w:hAnsi="宋体" w:cs="宋体"/>
          <w:b/>
          <w:bCs/>
          <w:color w:val="auto"/>
          <w:highlight w:val="none"/>
        </w:rPr>
      </w:pPr>
    </w:p>
    <w:p w14:paraId="2C376E3E">
      <w:pPr>
        <w:shd w:val="clear"/>
        <w:adjustRightInd w:val="0"/>
        <w:snapToGrid w:val="0"/>
        <w:spacing w:line="400" w:lineRule="exact"/>
        <w:jc w:val="center"/>
        <w:outlineLvl w:val="0"/>
        <w:rPr>
          <w:rFonts w:ascii="宋体" w:hAnsi="宋体" w:cs="宋体"/>
          <w:b/>
          <w:bCs/>
          <w:color w:val="auto"/>
          <w:highlight w:val="none"/>
        </w:rPr>
      </w:pPr>
    </w:p>
    <w:p w14:paraId="28FE3D79">
      <w:pPr>
        <w:shd w:val="clear"/>
        <w:adjustRightInd w:val="0"/>
        <w:snapToGrid w:val="0"/>
        <w:spacing w:line="400" w:lineRule="exact"/>
        <w:jc w:val="center"/>
        <w:outlineLvl w:val="0"/>
        <w:rPr>
          <w:rFonts w:ascii="宋体" w:hAnsi="宋体" w:cs="宋体"/>
          <w:b/>
          <w:bCs/>
          <w:color w:val="auto"/>
          <w:highlight w:val="none"/>
        </w:rPr>
      </w:pPr>
    </w:p>
    <w:p w14:paraId="2AD00C8F">
      <w:pPr>
        <w:shd w:val="clear"/>
        <w:adjustRightInd w:val="0"/>
        <w:snapToGrid w:val="0"/>
        <w:spacing w:line="400" w:lineRule="exact"/>
        <w:jc w:val="center"/>
        <w:outlineLvl w:val="0"/>
        <w:rPr>
          <w:rFonts w:ascii="宋体" w:hAnsi="宋体" w:cs="宋体"/>
          <w:b/>
          <w:bCs/>
          <w:color w:val="auto"/>
          <w:highlight w:val="none"/>
        </w:rPr>
      </w:pPr>
    </w:p>
    <w:p w14:paraId="219B7B47">
      <w:pPr>
        <w:shd w:val="clear"/>
        <w:adjustRightInd w:val="0"/>
        <w:snapToGrid w:val="0"/>
        <w:spacing w:line="400" w:lineRule="exact"/>
        <w:jc w:val="center"/>
        <w:outlineLvl w:val="0"/>
        <w:rPr>
          <w:rFonts w:ascii="宋体" w:hAnsi="宋体" w:cs="宋体"/>
          <w:b/>
          <w:bCs/>
          <w:color w:val="auto"/>
          <w:highlight w:val="none"/>
        </w:rPr>
      </w:pPr>
    </w:p>
    <w:p w14:paraId="6F435FC6">
      <w:pPr>
        <w:shd w:val="clear"/>
        <w:adjustRightInd w:val="0"/>
        <w:snapToGrid w:val="0"/>
        <w:spacing w:line="400" w:lineRule="exact"/>
        <w:jc w:val="center"/>
        <w:outlineLvl w:val="0"/>
        <w:rPr>
          <w:rFonts w:ascii="宋体" w:hAnsi="宋体" w:cs="宋体"/>
          <w:b/>
          <w:bCs/>
          <w:color w:val="auto"/>
          <w:highlight w:val="none"/>
        </w:rPr>
      </w:pPr>
    </w:p>
    <w:p w14:paraId="006B92DA">
      <w:pPr>
        <w:shd w:val="clear"/>
        <w:adjustRightInd w:val="0"/>
        <w:snapToGrid w:val="0"/>
        <w:spacing w:line="400" w:lineRule="exact"/>
        <w:jc w:val="center"/>
        <w:outlineLvl w:val="0"/>
        <w:rPr>
          <w:rFonts w:ascii="宋体" w:hAnsi="宋体" w:cs="宋体"/>
          <w:b/>
          <w:bCs/>
          <w:color w:val="auto"/>
          <w:highlight w:val="none"/>
        </w:rPr>
      </w:pPr>
    </w:p>
    <w:p w14:paraId="3B0C96AC">
      <w:pPr>
        <w:shd w:val="clear"/>
        <w:adjustRightInd w:val="0"/>
        <w:snapToGrid w:val="0"/>
        <w:spacing w:line="400" w:lineRule="exact"/>
        <w:jc w:val="center"/>
        <w:outlineLvl w:val="0"/>
        <w:rPr>
          <w:rFonts w:ascii="宋体" w:hAnsi="宋体" w:cs="宋体"/>
          <w:b/>
          <w:bCs/>
          <w:color w:val="auto"/>
          <w:highlight w:val="none"/>
        </w:rPr>
      </w:pPr>
    </w:p>
    <w:p w14:paraId="40D7CB6D">
      <w:pPr>
        <w:pStyle w:val="52"/>
        <w:shd w:val="clear"/>
        <w:ind w:firstLine="422"/>
        <w:rPr>
          <w:rFonts w:ascii="宋体" w:hAnsi="宋体" w:cs="宋体"/>
          <w:b/>
          <w:bCs/>
          <w:color w:val="auto"/>
          <w:highlight w:val="none"/>
        </w:rPr>
      </w:pPr>
    </w:p>
    <w:p w14:paraId="2D25B084">
      <w:pPr>
        <w:shd w:val="clear"/>
        <w:rPr>
          <w:color w:val="auto"/>
          <w:highlight w:val="none"/>
        </w:rPr>
      </w:pPr>
    </w:p>
    <w:p w14:paraId="0DD22C94">
      <w:pPr>
        <w:shd w:val="clear"/>
        <w:spacing w:line="594" w:lineRule="exact"/>
        <w:jc w:val="center"/>
        <w:rPr>
          <w:rFonts w:ascii="宋体" w:hAnsi="宋体" w:cs="宋体"/>
          <w:b/>
          <w:bCs/>
          <w:color w:val="auto"/>
          <w:sz w:val="44"/>
          <w:szCs w:val="44"/>
          <w:highlight w:val="none"/>
        </w:rPr>
      </w:pPr>
    </w:p>
    <w:p w14:paraId="1702D408">
      <w:pPr>
        <w:shd w:val="clear"/>
        <w:spacing w:line="594"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廉政责任书</w:t>
      </w:r>
    </w:p>
    <w:p w14:paraId="40E49582">
      <w:pPr>
        <w:pStyle w:val="52"/>
        <w:shd w:val="clear"/>
        <w:rPr>
          <w:color w:val="auto"/>
          <w:highlight w:val="none"/>
        </w:rPr>
      </w:pPr>
    </w:p>
    <w:p w14:paraId="7F5ED4A8">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委托人：</w:t>
      </w:r>
      <w:r>
        <w:rPr>
          <w:rFonts w:hint="eastAsia" w:ascii="宋体" w:hAnsi="宋体" w:cs="宋体"/>
          <w:b/>
          <w:bCs/>
          <w:color w:val="auto"/>
          <w:sz w:val="24"/>
          <w:highlight w:val="none"/>
          <w:u w:val="single"/>
        </w:rPr>
        <w:t>南通市机关事务管理局</w:t>
      </w:r>
    </w:p>
    <w:p w14:paraId="31E66841">
      <w:pPr>
        <w:shd w:val="clear"/>
        <w:spacing w:line="400" w:lineRule="exact"/>
        <w:ind w:firstLine="42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承包人：</w:t>
      </w:r>
      <w:r>
        <w:rPr>
          <w:rFonts w:hint="eastAsia" w:ascii="宋体" w:hAnsi="宋体" w:cs="宋体"/>
          <w:color w:val="auto"/>
          <w:sz w:val="24"/>
          <w:highlight w:val="none"/>
          <w:u w:val="single"/>
          <w:lang w:val="en-US" w:eastAsia="zh-CN"/>
        </w:rPr>
        <w:t xml:space="preserve">                     </w:t>
      </w:r>
    </w:p>
    <w:p w14:paraId="7799E12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为加强廉政建设，规范各项活动中发包人承包人双方的行为，防止谋取不正当利益的违法违纪现象的发生，保护国家、集体和当事人的合法权益，根据国家有关工程建设的法律法规和廉政建设的有关规定，订立本廉政责任书。</w:t>
      </w:r>
    </w:p>
    <w:p w14:paraId="6D137A00">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一、双方的责任</w:t>
      </w:r>
    </w:p>
    <w:p w14:paraId="373099B2">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1.1应严格遵守国家关于建设工程的有关法律、法规，相关政策，以及廉政建设的各项规定。</w:t>
      </w:r>
    </w:p>
    <w:p w14:paraId="5793ABB6">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1.2严格执行该合同文件，自觉按合同办事。</w:t>
      </w:r>
    </w:p>
    <w:p w14:paraId="694FD66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1.3各项活动必须坚持公开、公平、公正、诚信、透明的原则(除法律法规另有规定者外)，不得为获取不正当的利益，损害国家、集体和对方利益，不得违反管理的规章制度。</w:t>
      </w:r>
    </w:p>
    <w:p w14:paraId="4EA39EBB">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1.4发现对方在业务活动中有违规、违纪、违法行为的，应及时提醒对方，情节严重的，应向其上级主管部门或纪检监察、司法等有关机关举报。</w:t>
      </w:r>
    </w:p>
    <w:p w14:paraId="2D182AAF">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二、发包人责任</w:t>
      </w:r>
    </w:p>
    <w:p w14:paraId="486C23A7">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发包人的领导和从事该项目的工作人员，在工程建设的事前、事中、事后应遵守以下规定：</w:t>
      </w:r>
    </w:p>
    <w:p w14:paraId="224C0513">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2.1不得向承包人和相关单位索要或接受回扣、礼金、有价证券、贵重物品和好处费、感谢费等。</w:t>
      </w:r>
    </w:p>
    <w:p w14:paraId="48C728C6">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2.2不得在承包人和相关单位报销任何应由发包人或个人支付的费用。</w:t>
      </w:r>
    </w:p>
    <w:p w14:paraId="2798D4E1">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2.3不得要求、暗示或接受承包人和相关单位为个人装修住房、婚丧嫁娶、配偶子女的工作安排以及出国(境)、旅游等提供方便。</w:t>
      </w:r>
    </w:p>
    <w:p w14:paraId="3FA5187A">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2.4不得参加有可能影响公正执行公务的承包人和相关单位的宴请、健身、娱乐等活动。</w:t>
      </w:r>
    </w:p>
    <w:p w14:paraId="114FEF7D">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2.5不得向承包人和相关单位介绍或为配偶、子女、亲属参与同发包人工程建设管理合同有关的业务活动；不得以任何理由要求承包人和相关单位使用某种产品、材料和设备。</w:t>
      </w:r>
    </w:p>
    <w:p w14:paraId="0D87E31C">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三、承包人责任</w:t>
      </w:r>
    </w:p>
    <w:p w14:paraId="0E2ED814">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应与发包人保持正常的业务交往，按照有关法律法规和程序开展业务工作，严格执行工程建设的有关方针、政策，执行工程建设强制性标准，并遵守以下规定：</w:t>
      </w:r>
    </w:p>
    <w:p w14:paraId="118B5AA3">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3.1不得以任何理由向发包人及其工作人员索要、接受或赠送礼金、有价证券、贵重物品及回扣、好处费、感谢费等。</w:t>
      </w:r>
    </w:p>
    <w:p w14:paraId="7BE7FB0C">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3.2不得以任何理由为发包人和相关单位报销应由对方或个人支付的费用。</w:t>
      </w:r>
    </w:p>
    <w:p w14:paraId="21181DE3">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3.3不得接受或暗示为发包人、相关单位或个人装修住房、婚丧嫁娶、配偶子女的工作安排以及出国(境)、旅游等提供方便。</w:t>
      </w:r>
    </w:p>
    <w:p w14:paraId="3A1D408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3.4不得以任何理由为发包人、相关单位或个人组织有可能影响公正执行公务的宴请、健身、娱乐等活动。</w:t>
      </w:r>
    </w:p>
    <w:p w14:paraId="797FD6C8">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四、违约责任</w:t>
      </w:r>
    </w:p>
    <w:p w14:paraId="22A58784">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4.1发包人工作人员有违反本责任书第一、二条责任行为的，依据有关法律、法规给予处理；涉嫌犯罪的，移交司法机关追究刑事责任；给承包人单位造成经济损失的，应予以赔偿。</w:t>
      </w:r>
    </w:p>
    <w:p w14:paraId="33FE12FF">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4.2承包人工作人员有违反本责任书第一、三条责任行为的，依据有关法律法规处理；涉嫌犯罪的，移交司法机关追究刑事责任；给发包人单位造成经济损失的，应予以赔偿。</w:t>
      </w:r>
    </w:p>
    <w:p w14:paraId="08D33671">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4.3本责任书作为监理合同的组成部分，与监理合同具有同等法律效力。经双方签署后立即生效。</w:t>
      </w:r>
    </w:p>
    <w:p w14:paraId="4BA76DF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五、责任书有效期</w:t>
      </w:r>
    </w:p>
    <w:p w14:paraId="257874C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本责任书的有效期为双方签署之日起至该工程项目竣工验收合格时止。</w:t>
      </w:r>
    </w:p>
    <w:p w14:paraId="2BC4DD6B">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六、责任书份数</w:t>
      </w:r>
    </w:p>
    <w:p w14:paraId="63955A87">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本责任书</w:t>
      </w:r>
      <w:r>
        <w:rPr>
          <w:rFonts w:hint="eastAsia" w:ascii="宋体" w:hAnsi="宋体" w:cs="宋体"/>
          <w:color w:val="auto"/>
          <w:sz w:val="24"/>
          <w:highlight w:val="none"/>
          <w:u w:val="single"/>
        </w:rPr>
        <w:t>壹</w:t>
      </w:r>
      <w:r>
        <w:rPr>
          <w:rFonts w:hint="eastAsia" w:ascii="宋体" w:hAnsi="宋体" w:cs="宋体"/>
          <w:color w:val="auto"/>
          <w:sz w:val="24"/>
          <w:highlight w:val="none"/>
        </w:rPr>
        <w:t>式</w:t>
      </w:r>
      <w:r>
        <w:rPr>
          <w:rFonts w:hint="eastAsia" w:ascii="宋体" w:hAnsi="宋体" w:cs="宋体"/>
          <w:color w:val="auto"/>
          <w:sz w:val="24"/>
          <w:highlight w:val="none"/>
          <w:u w:val="single"/>
        </w:rPr>
        <w:t>肆</w:t>
      </w:r>
      <w:r>
        <w:rPr>
          <w:rFonts w:hint="eastAsia" w:ascii="宋体" w:hAnsi="宋体" w:cs="宋体"/>
          <w:color w:val="auto"/>
          <w:sz w:val="24"/>
          <w:highlight w:val="none"/>
        </w:rPr>
        <w:t>份，发包人和承包人各执</w:t>
      </w:r>
      <w:r>
        <w:rPr>
          <w:rFonts w:hint="eastAsia" w:ascii="宋体" w:hAnsi="宋体" w:cs="宋体"/>
          <w:color w:val="auto"/>
          <w:sz w:val="24"/>
          <w:highlight w:val="none"/>
          <w:u w:val="single"/>
        </w:rPr>
        <w:t>贰</w:t>
      </w:r>
      <w:r>
        <w:rPr>
          <w:rFonts w:hint="eastAsia" w:ascii="宋体" w:hAnsi="宋体" w:cs="宋体"/>
          <w:color w:val="auto"/>
          <w:sz w:val="24"/>
          <w:highlight w:val="none"/>
        </w:rPr>
        <w:t>份，具有同等效力。</w:t>
      </w:r>
    </w:p>
    <w:p w14:paraId="2981747D">
      <w:pPr>
        <w:shd w:val="clear"/>
        <w:spacing w:line="400" w:lineRule="exact"/>
        <w:ind w:left="479" w:leftChars="228"/>
        <w:rPr>
          <w:rFonts w:ascii="宋体" w:hAnsi="宋体" w:cs="宋体"/>
          <w:color w:val="auto"/>
          <w:sz w:val="24"/>
          <w:highlight w:val="none"/>
        </w:rPr>
      </w:pPr>
    </w:p>
    <w:p w14:paraId="71120275">
      <w:pPr>
        <w:shd w:val="clear"/>
        <w:spacing w:line="400" w:lineRule="exact"/>
        <w:ind w:left="479" w:leftChars="228"/>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发包人：</w:t>
      </w:r>
      <w:r>
        <w:rPr>
          <w:rFonts w:hint="eastAsia" w:ascii="宋体" w:hAnsi="宋体" w:cs="宋体"/>
          <w:color w:val="auto"/>
          <w:sz w:val="24"/>
          <w:highlight w:val="none"/>
          <w:u w:val="single"/>
        </w:rPr>
        <w:t>南通市机关事务管理局</w:t>
      </w:r>
      <w:r>
        <w:rPr>
          <w:rFonts w:hint="eastAsia" w:ascii="宋体" w:hAnsi="宋体" w:cs="宋体"/>
          <w:color w:val="auto"/>
          <w:sz w:val="24"/>
          <w:highlight w:val="none"/>
        </w:rPr>
        <w:t xml:space="preserve">  承包人：</w:t>
      </w:r>
      <w:r>
        <w:rPr>
          <w:rFonts w:hint="eastAsia" w:ascii="宋体" w:hAnsi="宋体" w:cs="宋体"/>
          <w:color w:val="auto"/>
          <w:sz w:val="24"/>
          <w:highlight w:val="none"/>
          <w:u w:val="single"/>
          <w:lang w:val="en-US" w:eastAsia="zh-CN"/>
        </w:rPr>
        <w:t xml:space="preserve">                  </w:t>
      </w:r>
    </w:p>
    <w:p w14:paraId="3EAFEBF4">
      <w:pPr>
        <w:shd w:val="clear"/>
        <w:spacing w:line="400" w:lineRule="exact"/>
        <w:ind w:left="479" w:leftChars="228"/>
        <w:rPr>
          <w:rFonts w:ascii="宋体" w:hAnsi="宋体" w:cs="宋体"/>
          <w:color w:val="auto"/>
          <w:sz w:val="24"/>
          <w:highlight w:val="none"/>
        </w:rPr>
      </w:pPr>
      <w:r>
        <w:rPr>
          <w:rFonts w:hint="eastAsia" w:ascii="宋体" w:hAnsi="宋体" w:cs="宋体"/>
          <w:color w:val="auto"/>
          <w:sz w:val="24"/>
          <w:highlight w:val="none"/>
        </w:rPr>
        <w:t>(公章)                         (公章)</w:t>
      </w:r>
    </w:p>
    <w:p w14:paraId="267E8090">
      <w:pPr>
        <w:shd w:val="clear"/>
        <w:spacing w:line="400" w:lineRule="exact"/>
        <w:ind w:left="4319" w:leftChars="228" w:hanging="3840" w:hangingChars="16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法定地址：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法定地址：</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p>
    <w:p w14:paraId="792DAEE9">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法定代表人或其                法定代表人或其</w:t>
      </w:r>
    </w:p>
    <w:p w14:paraId="2E0AF4F8">
      <w:pPr>
        <w:shd w:val="clear"/>
        <w:spacing w:line="400" w:lineRule="exact"/>
        <w:ind w:firstLine="420"/>
        <w:rPr>
          <w:rFonts w:ascii="宋体" w:hAnsi="宋体" w:cs="宋体"/>
          <w:color w:val="auto"/>
          <w:sz w:val="24"/>
          <w:highlight w:val="none"/>
          <w:u w:val="singl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14:paraId="2D9D94CE">
      <w:pPr>
        <w:shd w:val="clear"/>
        <w:spacing w:line="400" w:lineRule="exact"/>
        <w:ind w:firstLine="420"/>
        <w:rPr>
          <w:rFonts w:ascii="宋体" w:hAnsi="宋体" w:cs="宋体"/>
          <w:color w:val="auto"/>
          <w:sz w:val="24"/>
          <w:highlight w:val="none"/>
        </w:rPr>
      </w:pPr>
      <w:r>
        <w:rPr>
          <w:rFonts w:hint="eastAsia" w:ascii="宋体" w:hAnsi="宋体" w:cs="宋体"/>
          <w:color w:val="auto"/>
          <w:sz w:val="24"/>
          <w:highlight w:val="none"/>
        </w:rPr>
        <w:t>(签字)                          (签字)</w:t>
      </w:r>
    </w:p>
    <w:p w14:paraId="2783C44D">
      <w:pPr>
        <w:shd w:val="clear"/>
        <w:spacing w:line="40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8FA1B5A">
      <w:pPr>
        <w:shd w:val="clear"/>
        <w:spacing w:line="40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bookmarkStart w:id="76" w:name="_Hlk164950165"/>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301F68F">
      <w:pPr>
        <w:shd w:val="clear"/>
        <w:spacing w:line="40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电子邮箱：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bookmarkEnd w:id="76"/>
    <w:p w14:paraId="4187EEE9">
      <w:pPr>
        <w:shd w:val="clear"/>
        <w:spacing w:line="40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7AFAD7A0">
      <w:pPr>
        <w:shd w:val="clear"/>
        <w:spacing w:line="40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0659075E">
      <w:pPr>
        <w:shd w:val="clear"/>
        <w:spacing w:line="400" w:lineRule="exact"/>
        <w:ind w:firstLine="42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bookmarkStart w:id="77" w:name="_Hlk164950191"/>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bookmarkEnd w:id="77"/>
    <w:p w14:paraId="09D27F3F">
      <w:pPr>
        <w:shd w:val="clear"/>
        <w:spacing w:line="400" w:lineRule="exact"/>
        <w:rPr>
          <w:color w:val="auto"/>
          <w:highlight w:val="none"/>
        </w:rPr>
      </w:pPr>
    </w:p>
    <w:p w14:paraId="3E0BDE0D">
      <w:pPr>
        <w:shd w:val="clear"/>
        <w:rPr>
          <w:color w:val="auto"/>
          <w:highlight w:val="none"/>
        </w:rPr>
      </w:pPr>
    </w:p>
    <w:p w14:paraId="6B9611EC">
      <w:pPr>
        <w:shd w:val="clear"/>
        <w:rPr>
          <w:color w:val="auto"/>
          <w:highlight w:val="none"/>
        </w:rPr>
      </w:pPr>
    </w:p>
    <w:p w14:paraId="6CD9FF2D">
      <w:pPr>
        <w:shd w:val="clear"/>
        <w:snapToGrid w:val="0"/>
        <w:spacing w:line="480" w:lineRule="exact"/>
        <w:ind w:firstLine="573"/>
        <w:jc w:val="center"/>
        <w:rPr>
          <w:rFonts w:ascii="宋体"/>
          <w:color w:val="auto"/>
          <w:sz w:val="24"/>
          <w:szCs w:val="24"/>
          <w:highlight w:val="none"/>
        </w:rPr>
      </w:pPr>
      <w:r>
        <w:rPr>
          <w:rFonts w:ascii="宋体"/>
          <w:b/>
          <w:bCs/>
          <w:i/>
          <w:iCs/>
          <w:color w:val="auto"/>
          <w:kern w:val="44"/>
          <w:sz w:val="44"/>
          <w:szCs w:val="44"/>
          <w:highlight w:val="none"/>
        </w:rPr>
        <w:br w:type="page"/>
      </w:r>
      <w:r>
        <w:rPr>
          <w:rFonts w:hint="eastAsia" w:ascii="宋体" w:hAnsi="宋体" w:cs="宋体"/>
          <w:b/>
          <w:bCs/>
          <w:color w:val="auto"/>
          <w:kern w:val="44"/>
          <w:sz w:val="44"/>
          <w:szCs w:val="44"/>
          <w:highlight w:val="none"/>
        </w:rPr>
        <w:t>第六章</w:t>
      </w:r>
      <w:r>
        <w:rPr>
          <w:rFonts w:ascii="宋体" w:hAnsi="宋体" w:cs="宋体"/>
          <w:b/>
          <w:bCs/>
          <w:color w:val="auto"/>
          <w:kern w:val="44"/>
          <w:sz w:val="44"/>
          <w:szCs w:val="44"/>
          <w:highlight w:val="none"/>
        </w:rPr>
        <w:t xml:space="preserve"> </w:t>
      </w:r>
      <w:r>
        <w:rPr>
          <w:rFonts w:hint="eastAsia" w:ascii="宋体" w:hAnsi="宋体" w:cs="宋体"/>
          <w:b/>
          <w:bCs/>
          <w:color w:val="auto"/>
          <w:kern w:val="44"/>
          <w:sz w:val="44"/>
          <w:szCs w:val="44"/>
          <w:highlight w:val="none"/>
        </w:rPr>
        <w:t>质疑提出和处理</w:t>
      </w:r>
    </w:p>
    <w:p w14:paraId="45ABFECD">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一、质疑的提出</w:t>
      </w:r>
    </w:p>
    <w:p w14:paraId="17AC88E0">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、质疑人必须是直接参加本次磋商活动的当事人。</w:t>
      </w:r>
    </w:p>
    <w:p w14:paraId="55502F20">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、下载磋商文件的供应商应根据第二章“磋商供应商须知”中第一条第</w:t>
      </w:r>
      <w:r>
        <w:rPr>
          <w:rFonts w:ascii="宋体" w:hAnsi="宋体" w:cs="宋体"/>
          <w:color w:val="auto"/>
          <w:sz w:val="24"/>
          <w:szCs w:val="24"/>
          <w:highlight w:val="none"/>
        </w:rPr>
        <w:t>4</w:t>
      </w:r>
      <w:r>
        <w:rPr>
          <w:rFonts w:hint="eastAsia" w:ascii="宋体" w:hAnsi="宋体" w:cs="宋体"/>
          <w:color w:val="auto"/>
          <w:sz w:val="24"/>
          <w:szCs w:val="24"/>
          <w:highlight w:val="none"/>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14:paraId="17555B0D">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66EA7BA3">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50E55508">
      <w:pPr>
        <w:shd w:val="clea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对不能提供相关佐证材料的、涉及商业秘密的、非书面形式的、非送达的、匿名的《质疑函》将不予受理。</w:t>
      </w:r>
    </w:p>
    <w:p w14:paraId="4AC78764">
      <w:pPr>
        <w:shd w:val="clea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相关佐证材料要具备客观性、关联性、合法性，无法查实的（如宣传册、媒体报道、猜测、推理等）不能作为佐证材料。</w:t>
      </w:r>
    </w:p>
    <w:p w14:paraId="0C7595D9">
      <w:pPr>
        <w:shd w:val="clea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采购单位或采购代理机构不负责搜集相关佐证材料等工作。</w:t>
      </w:r>
    </w:p>
    <w:p w14:paraId="345A5C14">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二、《质疑函》的受理和回复</w:t>
      </w:r>
    </w:p>
    <w:p w14:paraId="62F833FB">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、《质疑函》须由质疑人的法定代表人或参加本次磋商被授权人送达采购单位和采购代理机构。</w:t>
      </w:r>
    </w:p>
    <w:p w14:paraId="0977BE50">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2FFF508">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、对不符合提出质疑要求的，出具《质疑退回通知书》并提出相关补充材料要求，质疑人未在规定的时间内提供补充佐证材料的，视同放弃质疑。</w:t>
      </w:r>
    </w:p>
    <w:p w14:paraId="1683348A">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、采购单位、采购代理机构负责将质疑人提出的质疑相关材料提供给相关专家或评估小组审核，并将审核意见回复质疑人。</w:t>
      </w:r>
    </w:p>
    <w:p w14:paraId="2FA6ACEC">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325DC5E8">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、因质疑情况复杂，组织论证或审查时间较长的，采购单位、采购代理机构以书面形式通知质疑人，可适当延长质疑回复处理时间。</w:t>
      </w:r>
    </w:p>
    <w:p w14:paraId="378B6F55">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三、质疑处理</w:t>
      </w:r>
    </w:p>
    <w:p w14:paraId="1563EBDF">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、质疑成立的处理。采购单位或采购代理机构终止采购，并建议有关部门给相关当事人予以处理。</w:t>
      </w:r>
    </w:p>
    <w:p w14:paraId="0D5E969E">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、质疑不成立的处理。</w:t>
      </w:r>
    </w:p>
    <w:p w14:paraId="238F2F58">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）质疑人书面《申请撤回质疑函》的，不作违约处理。</w:t>
      </w:r>
    </w:p>
    <w:p w14:paraId="0B901C88">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）质疑人在规定的时间内不配合进行质疑调查处理的，按自动撤回《质疑函》处理。</w:t>
      </w:r>
    </w:p>
    <w:p w14:paraId="0B8B46BC">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）质疑人不按《质疑函》格式就提出质疑的，作违约处理。同时，视情列入不良供应商名单。</w:t>
      </w:r>
    </w:p>
    <w:p w14:paraId="538B3828">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）质疑人虽提供了相关佐证材料，但不能证明其质疑成立的，采购单位或采购代理机构请质疑人补充相关佐证材料，仍不能证明其质疑成立的，作违约处理。并将其列入不良供应商名单。</w:t>
      </w:r>
    </w:p>
    <w:p w14:paraId="057B58AA">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）质疑人不能提供相关佐证材料的，采购单位、采购代理机构已指出，质疑人仍然坚持提出质疑的，作违约处理。同时，列入不良供应商名单。</w:t>
      </w:r>
    </w:p>
    <w:p w14:paraId="426B524D">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color w:val="auto"/>
          <w:sz w:val="24"/>
          <w:szCs w:val="24"/>
          <w:highlight w:val="none"/>
        </w:rPr>
        <w:t>1</w:t>
      </w:r>
      <w:r>
        <w:rPr>
          <w:rFonts w:hint="eastAsia" w:ascii="宋体" w:hAnsi="宋体" w:cs="宋体"/>
          <w:color w:val="auto"/>
          <w:sz w:val="24"/>
          <w:szCs w:val="24"/>
          <w:highlight w:val="none"/>
        </w:rPr>
        <w:t>年内禁入本区域内的采购活动的违约处理，依次类推。</w:t>
      </w:r>
      <w:r>
        <w:rPr>
          <w:rFonts w:ascii="宋体"/>
          <w:color w:val="auto"/>
          <w:sz w:val="24"/>
          <w:szCs w:val="24"/>
          <w:highlight w:val="none"/>
        </w:rPr>
        <w:t xml:space="preserve"> </w:t>
      </w:r>
    </w:p>
    <w:p w14:paraId="4661EBE1">
      <w:pPr>
        <w:shd w:val="clea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）质疑人承担使用虚假材料或恶意方式质疑的法律责任。</w:t>
      </w:r>
    </w:p>
    <w:p w14:paraId="6865CFF6">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四、无佐证材料的举报作违约处理。供应商不得进行不提供相关佐证材料（含无法查实的如宣传册、媒体报道、猜测、推理等）向有关部门的举报，否则作违约处理。同时对其在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14:paraId="2E141CF5">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五、投诉不成立的作违约处理。供应商进行质疑后，采购单位回复质疑不成立，供应商仍进行投诉的，并最终投诉不成立的，作违约处理。采购单位有权对其在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14:paraId="7EB134C8">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六、《质疑函》、《质疑回复函》，质疑、举报、投诉不成立的等相关情况，视情在南通公共资源交易平台、省、国家级等相关媒体予以披露。并建议相关政府采购机构对该供应商同步实施</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w:t>
      </w:r>
    </w:p>
    <w:p w14:paraId="5A615E21">
      <w:pPr>
        <w:shd w:val="clea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七、质疑供应商对采购单位或代理机构的答复不满意或者采购单位或代理机构未在规定的时间内作出答复的，可以在答复期满后</w:t>
      </w:r>
      <w:r>
        <w:rPr>
          <w:rFonts w:ascii="宋体" w:hAnsi="宋体" w:cs="宋体"/>
          <w:color w:val="auto"/>
          <w:sz w:val="24"/>
          <w:szCs w:val="24"/>
          <w:highlight w:val="none"/>
        </w:rPr>
        <w:t>15</w:t>
      </w:r>
      <w:r>
        <w:rPr>
          <w:rFonts w:hint="eastAsia" w:ascii="宋体" w:hAnsi="宋体" w:cs="宋体"/>
          <w:color w:val="auto"/>
          <w:sz w:val="24"/>
          <w:szCs w:val="24"/>
          <w:highlight w:val="none"/>
        </w:rPr>
        <w:t>个工作日内向监督管理部门投诉。</w:t>
      </w:r>
    </w:p>
    <w:p w14:paraId="0FF294A4">
      <w:pPr>
        <w:pStyle w:val="4"/>
        <w:keepNext w:val="0"/>
        <w:keepLines w:val="0"/>
        <w:numPr>
          <w:ilvl w:val="0"/>
          <w:numId w:val="0"/>
        </w:numPr>
        <w:shd w:val="clear"/>
        <w:snapToGrid w:val="0"/>
        <w:spacing w:before="0" w:after="156" w:afterLines="50" w:line="520" w:lineRule="exact"/>
        <w:ind w:left="420"/>
        <w:jc w:val="center"/>
        <w:rPr>
          <w:rFonts w:ascii="宋体" w:cs="Times New Roman"/>
          <w:color w:val="auto"/>
          <w:highlight w:val="none"/>
        </w:rPr>
      </w:pPr>
      <w:bookmarkStart w:id="78" w:name="_Toc363573860"/>
      <w:r>
        <w:rPr>
          <w:rFonts w:ascii="宋体" w:cs="Times New Roman"/>
          <w:color w:val="auto"/>
          <w:w w:val="80"/>
          <w:sz w:val="24"/>
          <w:szCs w:val="24"/>
          <w:highlight w:val="none"/>
        </w:rPr>
        <w:br w:type="page"/>
      </w:r>
      <w:r>
        <w:rPr>
          <w:rFonts w:hint="eastAsia" w:ascii="宋体" w:hAnsi="宋体" w:cs="宋体"/>
          <w:color w:val="auto"/>
          <w:w w:val="80"/>
          <w:highlight w:val="none"/>
        </w:rPr>
        <w:t>第七章</w:t>
      </w:r>
      <w:r>
        <w:rPr>
          <w:rFonts w:ascii="宋体" w:hAnsi="宋体" w:cs="宋体"/>
          <w:color w:val="auto"/>
          <w:highlight w:val="none"/>
        </w:rPr>
        <w:t xml:space="preserve">  </w:t>
      </w:r>
      <w:r>
        <w:rPr>
          <w:rFonts w:hint="eastAsia" w:ascii="宋体" w:hAnsi="宋体" w:cs="宋体"/>
          <w:color w:val="auto"/>
          <w:w w:val="80"/>
          <w:highlight w:val="none"/>
        </w:rPr>
        <w:t>响应文件组成及格式</w:t>
      </w:r>
      <w:bookmarkEnd w:id="78"/>
    </w:p>
    <w:p w14:paraId="75328B43">
      <w:pPr>
        <w:keepNext w:val="0"/>
        <w:keepLines w:val="0"/>
        <w:pageBreakBefore w:val="0"/>
        <w:widowControl/>
        <w:shd w:val="clear"/>
        <w:kinsoku/>
        <w:wordWrap/>
        <w:overflowPunct/>
        <w:topLinePunct w:val="0"/>
        <w:autoSpaceDE/>
        <w:autoSpaceDN/>
        <w:bidi w:val="0"/>
        <w:adjustRightInd/>
        <w:snapToGrid w:val="0"/>
        <w:spacing w:line="400" w:lineRule="exact"/>
        <w:ind w:firstLine="472" w:firstLineChars="196"/>
        <w:jc w:val="left"/>
        <w:textAlignment w:val="auto"/>
        <w:rPr>
          <w:rFonts w:ascii="宋体"/>
          <w:b/>
          <w:bCs/>
          <w:color w:val="auto"/>
          <w:sz w:val="24"/>
          <w:szCs w:val="24"/>
          <w:highlight w:val="none"/>
        </w:rPr>
      </w:pPr>
      <w:r>
        <w:rPr>
          <w:rFonts w:hint="eastAsia" w:ascii="宋体" w:hAnsi="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75E53C70">
      <w:pPr>
        <w:keepNext w:val="0"/>
        <w:keepLines w:val="0"/>
        <w:pageBreakBefore w:val="0"/>
        <w:widowControl/>
        <w:shd w:val="clear"/>
        <w:kinsoku/>
        <w:wordWrap/>
        <w:overflowPunct/>
        <w:topLinePunct w:val="0"/>
        <w:autoSpaceDE/>
        <w:autoSpaceDN/>
        <w:bidi w:val="0"/>
        <w:adjustRightInd/>
        <w:snapToGrid w:val="0"/>
        <w:spacing w:line="400" w:lineRule="exact"/>
        <w:ind w:firstLine="472" w:firstLineChars="196"/>
        <w:jc w:val="left"/>
        <w:textAlignment w:val="auto"/>
        <w:rPr>
          <w:rFonts w:ascii="宋体"/>
          <w:b/>
          <w:bCs/>
          <w:color w:val="auto"/>
          <w:sz w:val="24"/>
          <w:szCs w:val="24"/>
          <w:highlight w:val="none"/>
        </w:rPr>
      </w:pPr>
      <w:r>
        <w:rPr>
          <w:rFonts w:hint="eastAsia" w:ascii="宋体" w:hAnsi="宋体" w:cs="宋体"/>
          <w:b/>
          <w:bCs/>
          <w:color w:val="auto"/>
          <w:sz w:val="24"/>
          <w:szCs w:val="24"/>
          <w:highlight w:val="none"/>
        </w:rPr>
        <w:t>一、资格审查文件</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bCs/>
          <w:color w:val="auto"/>
          <w:sz w:val="24"/>
          <w:szCs w:val="24"/>
          <w:highlight w:val="none"/>
          <w:lang w:val="zh-CN"/>
        </w:rPr>
        <w:t>）</w:t>
      </w:r>
    </w:p>
    <w:p w14:paraId="27765BC5">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、提供供应商的企业法人营业执照副本复印件（须加盖公章）。</w:t>
      </w:r>
    </w:p>
    <w:p w14:paraId="5C586A48">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企业资质证书</w:t>
      </w:r>
      <w:r>
        <w:rPr>
          <w:rFonts w:hint="eastAsia" w:ascii="宋体" w:hAnsi="宋体" w:cs="宋体"/>
          <w:color w:val="auto"/>
          <w:sz w:val="24"/>
          <w:szCs w:val="24"/>
          <w:highlight w:val="none"/>
        </w:rPr>
        <w:t>复印件（须加盖公章）。</w:t>
      </w:r>
    </w:p>
    <w:p w14:paraId="0FC7FB91">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法定代表人参加磋商的，必须提供法定代表人身份证明及法定代表人本人身份证复印件；非法定代表人参加磋商的，必须提供法定代表人签字或盖章的授权委托书及法定代表人、被授权人的两人身份证的复印件。（格式参见第七章）</w:t>
      </w:r>
    </w:p>
    <w:p w14:paraId="16B87131">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4、拟派的项目负责人为国家注册房屋建筑工程专业监理工程师（不得为企业法定代表人或 企业董事长；年龄符合国家规定），同时提供劳动合同和202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月至20</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月近</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个月的交纳社会保险证明材料；项目组成员中标后提供具体名单。</w:t>
      </w:r>
    </w:p>
    <w:p w14:paraId="4041C751">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5、拟派项目总监理工程师无在监承诺书（格式参见第七章）；总监有在建项目的，需提供该项目建设单位出具的可以参加本工程投标的书面证明材料（格式自拟）。</w:t>
      </w:r>
    </w:p>
    <w:p w14:paraId="04237900">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6、供应商须提供参与本次项目政府采购活动前三年内，在经营活动中没有重大违法记录的书面《无重大违法记录声明函》（格式参见第七章）。</w:t>
      </w:r>
    </w:p>
    <w:p w14:paraId="3144E351">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7、截止至招标公告发布之日前，未被“信用中国”网站列入失信被执行人名单、重大税收违法失信主体名单、政府采购严重违法失信行为记录名单、经营异常名录和严重失信主体名单。</w:t>
      </w:r>
    </w:p>
    <w:p w14:paraId="50362EC3">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提供“信用中国”网站-信用服务-“失信被执行人”、“重大税收违法失信主体”、“政府采购严重违法失信行为记录名单”、“经营异常名录信息查询”、“严重失信主体名单查询”五个板块的查询网页截图及链接网址。（须提供全面，漏项的不予认可）</w:t>
      </w:r>
    </w:p>
    <w:p w14:paraId="28B581F7">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关于资格文件的声明函（格式参见第七章）。</w:t>
      </w:r>
    </w:p>
    <w:p w14:paraId="2CB08565">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firstLine="470" w:firstLineChars="196"/>
        <w:jc w:val="left"/>
        <w:textAlignment w:val="auto"/>
        <w:rPr>
          <w:color w:val="auto"/>
          <w:highlight w:val="none"/>
        </w:rPr>
      </w:pPr>
      <w:r>
        <w:rPr>
          <w:rFonts w:hint="eastAsia" w:ascii="宋体" w:hAnsi="宋体" w:cs="宋体"/>
          <w:color w:val="auto"/>
          <w:sz w:val="24"/>
          <w:szCs w:val="24"/>
          <w:highlight w:val="none"/>
          <w:lang w:val="en-US" w:eastAsia="zh-CN"/>
        </w:rPr>
        <w:t>9、中小企业声明函或监狱企业证明函或残疾人福利性单位声明函（</w:t>
      </w:r>
      <w:r>
        <w:rPr>
          <w:rFonts w:hint="eastAsia" w:ascii="宋体" w:hAnsi="宋体" w:cs="宋体"/>
          <w:color w:val="auto"/>
          <w:sz w:val="24"/>
          <w:szCs w:val="24"/>
          <w:highlight w:val="none"/>
        </w:rPr>
        <w:t>格式参见第七章</w:t>
      </w:r>
      <w:r>
        <w:rPr>
          <w:rFonts w:hint="eastAsia" w:ascii="宋体" w:hAnsi="宋体" w:cs="宋体"/>
          <w:color w:val="auto"/>
          <w:sz w:val="24"/>
          <w:szCs w:val="24"/>
          <w:highlight w:val="none"/>
          <w:lang w:val="en-US" w:eastAsia="zh-CN"/>
        </w:rPr>
        <w:t>）。</w:t>
      </w:r>
    </w:p>
    <w:p w14:paraId="036B463E">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color w:val="auto"/>
          <w:sz w:val="24"/>
          <w:szCs w:val="24"/>
          <w:highlight w:val="none"/>
        </w:rPr>
      </w:pPr>
      <w:r>
        <w:rPr>
          <w:rFonts w:hint="eastAsia" w:ascii="宋体" w:hAnsi="宋体" w:cs="宋体"/>
          <w:color w:val="auto"/>
          <w:sz w:val="24"/>
          <w:szCs w:val="24"/>
          <w:highlight w:val="none"/>
        </w:rPr>
        <w:t>注：以上材料如为复印件均需加盖单位公章。</w:t>
      </w:r>
    </w:p>
    <w:p w14:paraId="63776050">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color w:val="auto"/>
          <w:sz w:val="24"/>
          <w:szCs w:val="24"/>
          <w:highlight w:val="none"/>
        </w:rPr>
      </w:pPr>
      <w:r>
        <w:rPr>
          <w:rFonts w:hint="eastAsia" w:ascii="宋体" w:hAnsi="宋体" w:cs="宋体"/>
          <w:color w:val="auto"/>
          <w:sz w:val="24"/>
          <w:szCs w:val="24"/>
          <w:highlight w:val="none"/>
        </w:rPr>
        <w:t>二、技术响应文件（单独密封）：</w:t>
      </w:r>
    </w:p>
    <w:p w14:paraId="74E51D13">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、竞争性磋商响应函（格式参见第七章）；</w:t>
      </w:r>
    </w:p>
    <w:p w14:paraId="66717F87">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2、技术部分正负偏离表（格式参见第七章）；</w:t>
      </w:r>
    </w:p>
    <w:p w14:paraId="6504F70D">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3、商务部分正负偏离表（格式参见第七章）；</w:t>
      </w:r>
    </w:p>
    <w:p w14:paraId="33F52DEB">
      <w:pPr>
        <w:keepNext w:val="0"/>
        <w:keepLines w:val="0"/>
        <w:pageBreakBefore w:val="0"/>
        <w:shd w:val="clear"/>
        <w:kinsoku/>
        <w:wordWrap/>
        <w:overflowPunct/>
        <w:topLinePunct w:val="0"/>
        <w:autoSpaceDE/>
        <w:autoSpaceDN/>
        <w:bidi w:val="0"/>
        <w:adjustRightInd/>
        <w:spacing w:line="4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填制正负偏离表，完全响应的，请以空白表列示。不完全响应的，必须在偏离表中列示；列示不全的，视同故意隐瞒。</w:t>
      </w:r>
    </w:p>
    <w:p w14:paraId="60E7DD1A">
      <w:pPr>
        <w:keepNext w:val="0"/>
        <w:keepLines w:val="0"/>
        <w:pageBreakBefore w:val="0"/>
        <w:widowControl/>
        <w:shd w:val="clear"/>
        <w:kinsoku/>
        <w:wordWrap/>
        <w:overflowPunct/>
        <w:topLinePunct w:val="0"/>
        <w:autoSpaceDE/>
        <w:autoSpaceDN/>
        <w:bidi w:val="0"/>
        <w:adjustRightInd/>
        <w:snapToGrid w:val="0"/>
        <w:spacing w:line="400" w:lineRule="exact"/>
        <w:ind w:firstLine="472" w:firstLineChars="196"/>
        <w:jc w:val="left"/>
        <w:textAlignment w:val="auto"/>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、评标办法中所涉及的事项需提供的所有资料；</w:t>
      </w:r>
    </w:p>
    <w:p w14:paraId="64B7EF47">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color w:val="auto"/>
          <w:sz w:val="24"/>
          <w:szCs w:val="24"/>
          <w:highlight w:val="none"/>
        </w:rPr>
      </w:pPr>
      <w:r>
        <w:rPr>
          <w:color w:val="auto"/>
          <w:sz w:val="24"/>
          <w:szCs w:val="24"/>
          <w:highlight w:val="none"/>
        </w:rPr>
        <w:t>5</w:t>
      </w:r>
      <w:r>
        <w:rPr>
          <w:rFonts w:hint="eastAsia" w:cs="宋体"/>
          <w:color w:val="auto"/>
          <w:sz w:val="24"/>
          <w:szCs w:val="24"/>
          <w:highlight w:val="none"/>
        </w:rPr>
        <w:t>、采购文件要求递交的其他材料；</w:t>
      </w:r>
    </w:p>
    <w:p w14:paraId="3C325000">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color w:val="auto"/>
          <w:sz w:val="24"/>
          <w:szCs w:val="24"/>
          <w:highlight w:val="none"/>
        </w:rPr>
      </w:pPr>
      <w:r>
        <w:rPr>
          <w:color w:val="auto"/>
          <w:sz w:val="24"/>
          <w:szCs w:val="24"/>
          <w:highlight w:val="none"/>
        </w:rPr>
        <w:t>6</w:t>
      </w:r>
      <w:r>
        <w:rPr>
          <w:rFonts w:hint="eastAsia" w:cs="宋体"/>
          <w:color w:val="auto"/>
          <w:sz w:val="24"/>
          <w:szCs w:val="24"/>
          <w:highlight w:val="none"/>
        </w:rPr>
        <w:t>、评标办法中未涉及的事项，</w:t>
      </w:r>
      <w:r>
        <w:rPr>
          <w:rFonts w:hint="eastAsia" w:ascii="宋体" w:hAnsi="宋体" w:cs="宋体"/>
          <w:color w:val="auto"/>
          <w:sz w:val="24"/>
          <w:szCs w:val="24"/>
          <w:highlight w:val="none"/>
        </w:rPr>
        <w:t>供应商</w:t>
      </w:r>
      <w:r>
        <w:rPr>
          <w:rFonts w:hint="eastAsia" w:cs="宋体"/>
          <w:color w:val="auto"/>
          <w:sz w:val="24"/>
          <w:szCs w:val="24"/>
          <w:highlight w:val="none"/>
        </w:rPr>
        <w:t>认为需要提交的其他资料。</w:t>
      </w:r>
    </w:p>
    <w:p w14:paraId="3321CFF7">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color w:val="auto"/>
          <w:sz w:val="24"/>
          <w:szCs w:val="24"/>
          <w:highlight w:val="none"/>
        </w:rPr>
      </w:pPr>
      <w:r>
        <w:rPr>
          <w:rFonts w:hint="eastAsia" w:ascii="宋体" w:hAnsi="宋体" w:cs="宋体"/>
          <w:color w:val="auto"/>
          <w:sz w:val="24"/>
          <w:szCs w:val="24"/>
          <w:highlight w:val="none"/>
        </w:rPr>
        <w:t>注：为方便评委评估，请供应商按评标办法中所涉及的事项顺序进行编制，可以补充相关材料；</w:t>
      </w:r>
    </w:p>
    <w:p w14:paraId="1B24967D">
      <w:pPr>
        <w:keepNext w:val="0"/>
        <w:keepLines w:val="0"/>
        <w:pageBreakBefore w:val="0"/>
        <w:widowControl/>
        <w:shd w:val="clear"/>
        <w:kinsoku/>
        <w:wordWrap/>
        <w:overflowPunct/>
        <w:topLinePunct w:val="0"/>
        <w:autoSpaceDE/>
        <w:autoSpaceDN/>
        <w:bidi w:val="0"/>
        <w:adjustRightInd/>
        <w:snapToGrid w:val="0"/>
        <w:spacing w:line="400" w:lineRule="exact"/>
        <w:ind w:firstLine="472" w:firstLineChars="196"/>
        <w:jc w:val="left"/>
        <w:textAlignment w:val="auto"/>
        <w:rPr>
          <w:rFonts w:ascii="宋体"/>
          <w:color w:val="auto"/>
          <w:sz w:val="24"/>
          <w:szCs w:val="24"/>
          <w:highlight w:val="none"/>
        </w:rPr>
      </w:pPr>
      <w:r>
        <w:rPr>
          <w:rFonts w:hint="eastAsia" w:ascii="宋体" w:hAnsi="宋体" w:cs="宋体"/>
          <w:b/>
          <w:bCs/>
          <w:color w:val="auto"/>
          <w:sz w:val="24"/>
          <w:szCs w:val="24"/>
          <w:highlight w:val="none"/>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14:paraId="4E70BCD2">
      <w:pPr>
        <w:keepNext w:val="0"/>
        <w:keepLines w:val="0"/>
        <w:pageBreakBefore w:val="0"/>
        <w:widowControl/>
        <w:shd w:val="clear"/>
        <w:kinsoku/>
        <w:wordWrap/>
        <w:overflowPunct/>
        <w:topLinePunct w:val="0"/>
        <w:autoSpaceDE/>
        <w:autoSpaceDN/>
        <w:bidi w:val="0"/>
        <w:adjustRightInd/>
        <w:snapToGrid w:val="0"/>
        <w:spacing w:line="400" w:lineRule="exact"/>
        <w:ind w:firstLine="472" w:firstLineChars="196"/>
        <w:jc w:val="left"/>
        <w:textAlignment w:val="auto"/>
        <w:rPr>
          <w:rFonts w:ascii="宋体"/>
          <w:b/>
          <w:bCs/>
          <w:color w:val="auto"/>
          <w:sz w:val="24"/>
          <w:szCs w:val="24"/>
          <w:highlight w:val="none"/>
        </w:rPr>
      </w:pPr>
      <w:r>
        <w:rPr>
          <w:rFonts w:hint="eastAsia" w:ascii="宋体" w:hAnsi="宋体" w:cs="宋体"/>
          <w:b/>
          <w:bCs/>
          <w:color w:val="auto"/>
          <w:sz w:val="24"/>
          <w:szCs w:val="24"/>
          <w:highlight w:val="none"/>
        </w:rPr>
        <w:t>三、商务报价响应文件（单独密封）</w:t>
      </w:r>
    </w:p>
    <w:p w14:paraId="4F716875">
      <w:pPr>
        <w:keepNext w:val="0"/>
        <w:keepLines w:val="0"/>
        <w:pageBreakBefore w:val="0"/>
        <w:widowControl/>
        <w:shd w:val="clear"/>
        <w:kinsoku/>
        <w:wordWrap/>
        <w:overflowPunct/>
        <w:topLinePunct w:val="0"/>
        <w:autoSpaceDE/>
        <w:autoSpaceDN/>
        <w:bidi w:val="0"/>
        <w:adjustRightInd/>
        <w:snapToGrid w:val="0"/>
        <w:spacing w:line="400" w:lineRule="exact"/>
        <w:ind w:firstLine="470" w:firstLineChars="196"/>
        <w:jc w:val="left"/>
        <w:textAlignment w:val="auto"/>
        <w:rPr>
          <w:rFonts w:ascii="宋体" w:hAnsi="宋体" w:cs="宋体"/>
          <w:bCs/>
          <w:color w:val="auto"/>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、磋商响应报价表（首次）。（格式参见第七章）</w:t>
      </w:r>
    </w:p>
    <w:p w14:paraId="3EC23D8C">
      <w:pPr>
        <w:keepNext w:val="0"/>
        <w:keepLines w:val="0"/>
        <w:pageBreakBefore w:val="0"/>
        <w:widowControl/>
        <w:shd w:val="clear"/>
        <w:kinsoku/>
        <w:wordWrap/>
        <w:overflowPunct/>
        <w:topLinePunct w:val="0"/>
        <w:autoSpaceDE/>
        <w:autoSpaceDN/>
        <w:bidi w:val="0"/>
        <w:adjustRightInd/>
        <w:snapToGrid w:val="0"/>
        <w:spacing w:line="400" w:lineRule="exact"/>
        <w:ind w:firstLine="551" w:firstLineChars="196"/>
        <w:jc w:val="left"/>
        <w:textAlignment w:val="auto"/>
        <w:rPr>
          <w:rFonts w:ascii="宋体"/>
          <w:b/>
          <w:bCs/>
          <w:color w:val="auto"/>
          <w:sz w:val="28"/>
          <w:szCs w:val="28"/>
          <w:highlight w:val="none"/>
        </w:rPr>
      </w:pPr>
      <w:r>
        <w:rPr>
          <w:rFonts w:ascii="宋体"/>
          <w:b/>
          <w:bCs/>
          <w:color w:val="auto"/>
          <w:sz w:val="28"/>
          <w:szCs w:val="28"/>
          <w:highlight w:val="none"/>
        </w:rPr>
        <w:br w:type="page"/>
      </w:r>
      <w:r>
        <w:rPr>
          <w:rFonts w:hint="eastAsia" w:ascii="宋体" w:hAnsi="宋体" w:cs="宋体"/>
          <w:b/>
          <w:bCs/>
          <w:color w:val="auto"/>
          <w:sz w:val="28"/>
          <w:szCs w:val="28"/>
          <w:highlight w:val="none"/>
        </w:rPr>
        <w:t>附件：</w:t>
      </w:r>
    </w:p>
    <w:p w14:paraId="4FC2CFB0">
      <w:pPr>
        <w:shd w:val="clear"/>
        <w:snapToGrid w:val="0"/>
        <w:spacing w:line="520" w:lineRule="exact"/>
        <w:jc w:val="center"/>
        <w:outlineLvl w:val="3"/>
        <w:rPr>
          <w:rFonts w:ascii="宋体"/>
          <w:b/>
          <w:bCs/>
          <w:color w:val="auto"/>
          <w:sz w:val="28"/>
          <w:szCs w:val="28"/>
          <w:highlight w:val="none"/>
        </w:rPr>
      </w:pPr>
      <w:r>
        <w:rPr>
          <w:rFonts w:ascii="宋体" w:hAnsi="宋体" w:cs="宋体"/>
          <w:b/>
          <w:bCs/>
          <w:color w:val="auto"/>
          <w:sz w:val="28"/>
          <w:szCs w:val="28"/>
          <w:highlight w:val="none"/>
        </w:rPr>
        <w:t>1</w:t>
      </w:r>
      <w:r>
        <w:rPr>
          <w:rFonts w:hint="eastAsia" w:ascii="宋体" w:hAnsi="宋体" w:cs="宋体"/>
          <w:b/>
          <w:bCs/>
          <w:color w:val="auto"/>
          <w:sz w:val="28"/>
          <w:szCs w:val="28"/>
          <w:highlight w:val="none"/>
        </w:rPr>
        <w:t>、法定代表人身份证明</w:t>
      </w:r>
    </w:p>
    <w:p w14:paraId="56876B3D">
      <w:pPr>
        <w:shd w:val="clear"/>
        <w:snapToGrid w:val="0"/>
        <w:spacing w:line="520" w:lineRule="exact"/>
        <w:jc w:val="center"/>
        <w:rPr>
          <w:rFonts w:ascii="宋体"/>
          <w:color w:val="auto"/>
          <w:sz w:val="24"/>
          <w:szCs w:val="24"/>
          <w:highlight w:val="none"/>
        </w:rPr>
      </w:pPr>
      <w:r>
        <w:rPr>
          <w:rFonts w:hint="eastAsia" w:ascii="宋体" w:hAnsi="宋体" w:cs="宋体"/>
          <w:color w:val="auto"/>
          <w:sz w:val="24"/>
          <w:szCs w:val="24"/>
          <w:highlight w:val="none"/>
        </w:rPr>
        <w:t>（如法定代表人参加磋商，须出示此证明）</w:t>
      </w:r>
    </w:p>
    <w:p w14:paraId="7BD8AE9F">
      <w:pPr>
        <w:shd w:val="clear"/>
        <w:snapToGrid w:val="0"/>
        <w:spacing w:line="520" w:lineRule="exact"/>
        <w:jc w:val="center"/>
        <w:rPr>
          <w:rFonts w:ascii="宋体"/>
          <w:color w:val="auto"/>
          <w:sz w:val="24"/>
          <w:szCs w:val="24"/>
          <w:highlight w:val="none"/>
        </w:rPr>
      </w:pPr>
    </w:p>
    <w:p w14:paraId="37ABD3E7">
      <w:pPr>
        <w:shd w:val="clear"/>
        <w:snapToGrid w:val="0"/>
        <w:spacing w:line="520" w:lineRule="exact"/>
        <w:rPr>
          <w:rFonts w:ascii="宋体"/>
          <w:color w:val="auto"/>
          <w:sz w:val="24"/>
          <w:szCs w:val="24"/>
          <w:highlight w:val="none"/>
          <w:u w:val="single"/>
        </w:rPr>
      </w:pPr>
      <w:r>
        <w:rPr>
          <w:rFonts w:hint="eastAsia" w:ascii="宋体" w:hAnsi="宋体" w:cs="宋体"/>
          <w:color w:val="auto"/>
          <w:sz w:val="24"/>
          <w:szCs w:val="24"/>
          <w:highlight w:val="none"/>
          <w:u w:val="single"/>
        </w:rPr>
        <w:t>南通市机关事务管理局：</w:t>
      </w:r>
      <w:r>
        <w:rPr>
          <w:rFonts w:ascii="宋体" w:hAnsi="宋体" w:cs="宋体"/>
          <w:color w:val="auto"/>
          <w:sz w:val="24"/>
          <w:szCs w:val="24"/>
          <w:highlight w:val="none"/>
          <w:u w:val="single"/>
        </w:rPr>
        <w:t xml:space="preserve"> </w:t>
      </w:r>
    </w:p>
    <w:p w14:paraId="22AA6ED4">
      <w:pPr>
        <w:shd w:val="clear"/>
        <w:snapToGrid w:val="0"/>
        <w:spacing w:line="52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我公司法定代表人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（竞争性磋商项目名称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项目的磋商活动，全权代表我公司处理竞争性磋商的有关事宜。</w:t>
      </w:r>
    </w:p>
    <w:p w14:paraId="40153764">
      <w:pPr>
        <w:shd w:val="clear"/>
        <w:snapToGrid w:val="0"/>
        <w:spacing w:line="520" w:lineRule="exact"/>
        <w:rPr>
          <w:rFonts w:ascii="宋体"/>
          <w:color w:val="auto"/>
          <w:sz w:val="24"/>
          <w:szCs w:val="24"/>
          <w:highlight w:val="none"/>
        </w:rPr>
      </w:pPr>
    </w:p>
    <w:p w14:paraId="75759A84">
      <w:pPr>
        <w:shd w:val="clear"/>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附：法定代表人情况：</w:t>
      </w:r>
    </w:p>
    <w:p w14:paraId="1939651E">
      <w:pPr>
        <w:shd w:val="clear"/>
        <w:snapToGrid w:val="0"/>
        <w:spacing w:line="520" w:lineRule="exact"/>
        <w:rPr>
          <w:rFonts w:ascii="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50425A1D">
      <w:pPr>
        <w:shd w:val="clear"/>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身份证号码：</w:t>
      </w:r>
      <w:r>
        <w:rPr>
          <w:rFonts w:ascii="宋体" w:hAnsi="宋体" w:cs="宋体"/>
          <w:color w:val="auto"/>
          <w:sz w:val="24"/>
          <w:szCs w:val="24"/>
          <w:highlight w:val="none"/>
          <w:u w:val="single"/>
        </w:rPr>
        <w:t xml:space="preserve">                                         </w:t>
      </w:r>
    </w:p>
    <w:p w14:paraId="1E5917E7">
      <w:pPr>
        <w:shd w:val="clear"/>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手机：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p>
    <w:p w14:paraId="6A4B17DA">
      <w:pPr>
        <w:shd w:val="clear"/>
        <w:snapToGrid w:val="0"/>
        <w:spacing w:line="520" w:lineRule="exact"/>
        <w:rPr>
          <w:rFonts w:ascii="宋体"/>
          <w:color w:val="auto"/>
          <w:sz w:val="24"/>
          <w:szCs w:val="24"/>
          <w:highlight w:val="none"/>
        </w:rPr>
      </w:pPr>
      <w:r>
        <w:rPr>
          <w:rFonts w:ascii="宋体"/>
          <w:color w:val="auto"/>
          <w:sz w:val="24"/>
          <w:szCs w:val="24"/>
          <w:highlight w:val="none"/>
        </w:rPr>
        <w:t> </w:t>
      </w:r>
    </w:p>
    <w:p w14:paraId="7B05C2C5">
      <w:pPr>
        <w:shd w:val="clear"/>
        <w:snapToGrid w:val="0"/>
        <w:spacing w:line="520" w:lineRule="exact"/>
        <w:rPr>
          <w:rFonts w:ascii="宋体"/>
          <w:color w:val="auto"/>
          <w:sz w:val="24"/>
          <w:szCs w:val="24"/>
          <w:highlight w:val="none"/>
        </w:rPr>
      </w:pPr>
    </w:p>
    <w:p w14:paraId="259A45E5">
      <w:pPr>
        <w:shd w:val="clear"/>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单位名称（公章）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法定代表人（签字或盖章）</w:t>
      </w:r>
    </w:p>
    <w:p w14:paraId="5847CBB7">
      <w:pPr>
        <w:shd w:val="clear"/>
        <w:snapToGrid w:val="0"/>
        <w:spacing w:line="520" w:lineRule="exact"/>
        <w:ind w:firstLine="1200" w:firstLineChars="500"/>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14:paraId="118166F2">
      <w:pPr>
        <w:shd w:val="clear"/>
        <w:snapToGrid w:val="0"/>
        <w:spacing w:line="520" w:lineRule="exact"/>
        <w:rPr>
          <w:rFonts w:ascii="宋体"/>
          <w:color w:val="auto"/>
          <w:sz w:val="24"/>
          <w:szCs w:val="24"/>
          <w:highlight w:val="none"/>
        </w:rPr>
      </w:pPr>
    </w:p>
    <w:p w14:paraId="5B494CDC">
      <w:pPr>
        <w:shd w:val="clear"/>
        <w:snapToGrid w:val="0"/>
        <w:spacing w:line="520" w:lineRule="exact"/>
        <w:ind w:firstLine="2715" w:firstLineChars="1127"/>
        <w:rPr>
          <w:rFonts w:ascii="宋体"/>
          <w:b/>
          <w:bCs/>
          <w:color w:val="auto"/>
          <w:sz w:val="24"/>
          <w:szCs w:val="24"/>
          <w:highlight w:val="none"/>
        </w:rPr>
      </w:pPr>
      <w:r>
        <w:rPr>
          <w:rFonts w:hint="eastAsia" w:ascii="宋体" w:hAnsi="宋体" w:cs="宋体"/>
          <w:b/>
          <w:bCs/>
          <w:color w:val="auto"/>
          <w:sz w:val="24"/>
          <w:szCs w:val="24"/>
          <w:highlight w:val="none"/>
        </w:rPr>
        <w:t>法定代表人身份证复印件</w:t>
      </w:r>
    </w:p>
    <w:p w14:paraId="65427704">
      <w:pPr>
        <w:shd w:val="clear"/>
        <w:snapToGrid w:val="0"/>
        <w:spacing w:line="520" w:lineRule="exact"/>
        <w:rPr>
          <w:rFonts w:ascii="宋体"/>
          <w:color w:val="auto"/>
          <w:sz w:val="24"/>
          <w:szCs w:val="24"/>
          <w:highlight w:val="none"/>
        </w:rPr>
      </w:pPr>
    </w:p>
    <w:p w14:paraId="419CC191">
      <w:pPr>
        <w:shd w:val="clear"/>
        <w:snapToGrid w:val="0"/>
        <w:spacing w:line="520" w:lineRule="exact"/>
        <w:ind w:firstLine="3360" w:firstLineChars="1400"/>
        <w:rPr>
          <w:rFonts w:ascii="宋体"/>
          <w:color w:val="auto"/>
          <w:sz w:val="24"/>
          <w:szCs w:val="24"/>
          <w:highlight w:val="none"/>
        </w:rPr>
      </w:pPr>
      <w:r>
        <w:rPr>
          <w:rFonts w:hint="eastAsia" w:ascii="宋体" w:hAnsi="宋体" w:cs="宋体"/>
          <w:color w:val="auto"/>
          <w:sz w:val="24"/>
          <w:szCs w:val="24"/>
          <w:highlight w:val="none"/>
        </w:rPr>
        <w:t>（粘贴此处）</w:t>
      </w:r>
    </w:p>
    <w:p w14:paraId="37754026">
      <w:pPr>
        <w:shd w:val="clear"/>
        <w:snapToGrid w:val="0"/>
        <w:spacing w:line="520" w:lineRule="exact"/>
        <w:ind w:firstLine="482" w:firstLineChars="200"/>
        <w:rPr>
          <w:rFonts w:ascii="宋体"/>
          <w:b/>
          <w:bCs/>
          <w:color w:val="auto"/>
          <w:sz w:val="24"/>
          <w:szCs w:val="24"/>
          <w:highlight w:val="none"/>
        </w:rPr>
      </w:pPr>
    </w:p>
    <w:p w14:paraId="46583B15">
      <w:pPr>
        <w:shd w:val="clear"/>
        <w:snapToGrid w:val="0"/>
        <w:spacing w:line="520" w:lineRule="exact"/>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注</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参加磋商时法定代表人将身份证原件带至磋商现场备查。</w:t>
      </w:r>
    </w:p>
    <w:p w14:paraId="675BAF6A">
      <w:pPr>
        <w:shd w:val="clear"/>
        <w:snapToGrid w:val="0"/>
        <w:spacing w:line="520" w:lineRule="exact"/>
        <w:jc w:val="center"/>
        <w:outlineLvl w:val="3"/>
        <w:rPr>
          <w:rFonts w:ascii="宋体"/>
          <w:b/>
          <w:bCs/>
          <w:color w:val="auto"/>
          <w:sz w:val="28"/>
          <w:szCs w:val="28"/>
          <w:highlight w:val="none"/>
        </w:rPr>
      </w:pPr>
      <w:r>
        <w:rPr>
          <w:rFonts w:ascii="宋体"/>
          <w:b/>
          <w:bCs/>
          <w:color w:val="auto"/>
          <w:sz w:val="24"/>
          <w:szCs w:val="24"/>
          <w:highlight w:val="none"/>
        </w:rPr>
        <w:br w:type="page"/>
      </w:r>
      <w:r>
        <w:rPr>
          <w:rFonts w:ascii="宋体" w:hAnsi="宋体" w:cs="宋体"/>
          <w:b/>
          <w:bCs/>
          <w:color w:val="auto"/>
          <w:sz w:val="28"/>
          <w:szCs w:val="28"/>
          <w:highlight w:val="none"/>
        </w:rPr>
        <w:t>2</w:t>
      </w:r>
      <w:r>
        <w:rPr>
          <w:rFonts w:hint="eastAsia" w:ascii="宋体" w:hAnsi="宋体" w:cs="宋体"/>
          <w:b/>
          <w:bCs/>
          <w:color w:val="auto"/>
          <w:sz w:val="28"/>
          <w:szCs w:val="28"/>
          <w:highlight w:val="none"/>
        </w:rPr>
        <w:t>、授权委托书</w:t>
      </w:r>
    </w:p>
    <w:p w14:paraId="04E3A372">
      <w:pPr>
        <w:shd w:val="clear"/>
        <w:snapToGrid w:val="0"/>
        <w:spacing w:line="520" w:lineRule="exact"/>
        <w:jc w:val="center"/>
        <w:rPr>
          <w:rFonts w:ascii="宋体"/>
          <w:color w:val="auto"/>
          <w:sz w:val="24"/>
          <w:szCs w:val="24"/>
          <w:highlight w:val="none"/>
        </w:rPr>
      </w:pPr>
      <w:r>
        <w:rPr>
          <w:rFonts w:hint="eastAsia" w:ascii="宋体" w:hAnsi="宋体" w:cs="宋体"/>
          <w:color w:val="auto"/>
          <w:sz w:val="24"/>
          <w:szCs w:val="24"/>
          <w:highlight w:val="none"/>
        </w:rPr>
        <w:t>（如被授权人参加磋商，须出示此证明）</w:t>
      </w:r>
    </w:p>
    <w:p w14:paraId="09956105">
      <w:pPr>
        <w:shd w:val="clear"/>
        <w:snapToGrid w:val="0"/>
        <w:spacing w:line="520" w:lineRule="exact"/>
        <w:jc w:val="center"/>
        <w:rPr>
          <w:rFonts w:ascii="宋体"/>
          <w:color w:val="auto"/>
          <w:sz w:val="24"/>
          <w:szCs w:val="24"/>
          <w:highlight w:val="none"/>
        </w:rPr>
      </w:pPr>
    </w:p>
    <w:p w14:paraId="0942C2E3">
      <w:pPr>
        <w:shd w:val="clear"/>
        <w:snapToGrid w:val="0"/>
        <w:spacing w:line="480" w:lineRule="exact"/>
        <w:ind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rPr>
        <w:t>南通市机关事务管理局：</w:t>
      </w:r>
    </w:p>
    <w:p w14:paraId="11728BD0">
      <w:pPr>
        <w:shd w:val="clear"/>
        <w:snapToGrid w:val="0"/>
        <w:spacing w:line="480" w:lineRule="exact"/>
        <w:ind w:firstLine="480" w:firstLineChars="200"/>
        <w:rPr>
          <w:rFonts w:hAnsi="宋体"/>
          <w:color w:val="auto"/>
          <w:sz w:val="24"/>
          <w:szCs w:val="24"/>
          <w:highlight w:val="none"/>
        </w:rPr>
      </w:pPr>
      <w:r>
        <w:rPr>
          <w:rFonts w:hint="eastAsia" w:hAnsi="宋体" w:cs="宋体"/>
          <w:color w:val="auto"/>
          <w:sz w:val="24"/>
          <w:szCs w:val="24"/>
          <w:highlight w:val="none"/>
        </w:rPr>
        <w:t>兹授权</w:t>
      </w:r>
      <w:r>
        <w:rPr>
          <w:rFonts w:hAnsi="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被授权人的姓名）代表我公司参加</w:t>
      </w:r>
      <w:r>
        <w:rPr>
          <w:rFonts w:hAnsi="宋体"/>
          <w:color w:val="auto"/>
          <w:sz w:val="24"/>
          <w:szCs w:val="24"/>
          <w:highlight w:val="none"/>
          <w:u w:val="single"/>
        </w:rPr>
        <w:t xml:space="preserve">    </w:t>
      </w:r>
      <w:r>
        <w:rPr>
          <w:rFonts w:hint="eastAsia" w:hAnsi="宋体" w:cs="宋体"/>
          <w:color w:val="auto"/>
          <w:sz w:val="24"/>
          <w:szCs w:val="24"/>
          <w:highlight w:val="none"/>
        </w:rPr>
        <w:t>（</w:t>
      </w:r>
      <w:r>
        <w:rPr>
          <w:rFonts w:hint="eastAsia" w:ascii="宋体" w:hAnsi="宋体" w:cs="宋体"/>
          <w:color w:val="auto"/>
          <w:sz w:val="24"/>
          <w:szCs w:val="24"/>
          <w:highlight w:val="none"/>
        </w:rPr>
        <w:t>竞争性磋商项目名称</w:t>
      </w:r>
      <w:r>
        <w:rPr>
          <w:rFonts w:hAnsi="宋体"/>
          <w:color w:val="auto"/>
          <w:sz w:val="24"/>
          <w:szCs w:val="24"/>
          <w:highlight w:val="none"/>
        </w:rPr>
        <w:t>)</w:t>
      </w:r>
      <w:r>
        <w:rPr>
          <w:rFonts w:hint="eastAsia" w:hAnsi="宋体" w:cs="宋体"/>
          <w:color w:val="auto"/>
          <w:sz w:val="24"/>
          <w:szCs w:val="24"/>
          <w:highlight w:val="none"/>
        </w:rPr>
        <w:t>项目的采购活动，全权处理一切与该项目招标有关的事务。其在办理上述事宜过程中所签署的所有文件我公司均予以承认。</w:t>
      </w:r>
    </w:p>
    <w:p w14:paraId="3A26A591">
      <w:pPr>
        <w:pStyle w:val="28"/>
        <w:shd w:val="clear"/>
        <w:adjustRightInd w:val="0"/>
        <w:snapToGrid w:val="0"/>
        <w:spacing w:line="500" w:lineRule="exact"/>
        <w:ind w:firstLine="480" w:firstLineChars="200"/>
        <w:jc w:val="left"/>
        <w:rPr>
          <w:rFonts w:hAnsi="宋体" w:cs="Times New Roman"/>
          <w:color w:val="auto"/>
          <w:sz w:val="24"/>
          <w:szCs w:val="24"/>
          <w:highlight w:val="none"/>
        </w:rPr>
      </w:pPr>
    </w:p>
    <w:p w14:paraId="0C120AE9">
      <w:pPr>
        <w:pStyle w:val="28"/>
        <w:shd w:val="clear"/>
        <w:adjustRightInd w:val="0"/>
        <w:snapToGrid w:val="0"/>
        <w:spacing w:line="500" w:lineRule="exact"/>
        <w:ind w:firstLine="480" w:firstLineChars="200"/>
        <w:jc w:val="left"/>
        <w:rPr>
          <w:rFonts w:hAnsi="宋体" w:cs="Times New Roman"/>
          <w:color w:val="auto"/>
          <w:sz w:val="24"/>
          <w:szCs w:val="24"/>
          <w:highlight w:val="none"/>
        </w:rPr>
      </w:pPr>
      <w:r>
        <w:rPr>
          <w:rFonts w:hint="eastAsia" w:hAnsi="宋体"/>
          <w:color w:val="auto"/>
          <w:sz w:val="24"/>
          <w:szCs w:val="24"/>
          <w:highlight w:val="none"/>
        </w:rPr>
        <w:t>被授权人无转委托权，特此委托。</w:t>
      </w:r>
    </w:p>
    <w:p w14:paraId="15D409D2">
      <w:pPr>
        <w:pStyle w:val="28"/>
        <w:shd w:val="clear"/>
        <w:adjustRightInd w:val="0"/>
        <w:snapToGrid w:val="0"/>
        <w:spacing w:line="500" w:lineRule="exact"/>
        <w:ind w:firstLine="480" w:firstLineChars="200"/>
        <w:jc w:val="left"/>
        <w:rPr>
          <w:rFonts w:hAnsi="宋体" w:cs="Times New Roman"/>
          <w:color w:val="auto"/>
          <w:sz w:val="24"/>
          <w:szCs w:val="24"/>
          <w:highlight w:val="none"/>
        </w:rPr>
      </w:pPr>
    </w:p>
    <w:p w14:paraId="2C7EE6F7">
      <w:pPr>
        <w:shd w:val="clear"/>
        <w:spacing w:line="480" w:lineRule="exact"/>
        <w:rPr>
          <w:rFonts w:hAnsi="宋体"/>
          <w:color w:val="auto"/>
          <w:sz w:val="24"/>
          <w:szCs w:val="24"/>
          <w:highlight w:val="none"/>
        </w:rPr>
      </w:pPr>
      <w:r>
        <w:rPr>
          <w:rFonts w:hint="eastAsia" w:hAnsi="宋体" w:cs="宋体"/>
          <w:color w:val="auto"/>
          <w:sz w:val="24"/>
          <w:szCs w:val="24"/>
          <w:highlight w:val="none"/>
        </w:rPr>
        <w:t>附：被授权人情况：</w:t>
      </w:r>
    </w:p>
    <w:p w14:paraId="33A69434">
      <w:pPr>
        <w:shd w:val="clear"/>
        <w:spacing w:line="480" w:lineRule="exact"/>
        <w:rPr>
          <w:rFonts w:hAnsi="宋体"/>
          <w:color w:val="auto"/>
          <w:sz w:val="24"/>
          <w:szCs w:val="24"/>
          <w:highlight w:val="none"/>
          <w:u w:val="single"/>
        </w:rPr>
      </w:pPr>
      <w:r>
        <w:rPr>
          <w:rFonts w:hint="eastAsia" w:hAnsi="宋体" w:cs="宋体"/>
          <w:color w:val="auto"/>
          <w:sz w:val="24"/>
          <w:szCs w:val="24"/>
          <w:highlight w:val="none"/>
        </w:rPr>
        <w:t>姓名：</w:t>
      </w:r>
      <w:r>
        <w:rPr>
          <w:rFonts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s="宋体"/>
          <w:color w:val="auto"/>
          <w:sz w:val="24"/>
          <w:szCs w:val="24"/>
          <w:highlight w:val="none"/>
        </w:rPr>
        <w:t>性别：</w:t>
      </w:r>
      <w:r>
        <w:rPr>
          <w:rFonts w:hAnsi="宋体"/>
          <w:color w:val="auto"/>
          <w:sz w:val="24"/>
          <w:szCs w:val="24"/>
          <w:highlight w:val="none"/>
          <w:u w:val="single"/>
        </w:rPr>
        <w:t xml:space="preserve">    </w:t>
      </w:r>
      <w:r>
        <w:rPr>
          <w:rFonts w:hint="eastAsia" w:hAnsi="宋体" w:cs="宋体"/>
          <w:color w:val="auto"/>
          <w:sz w:val="24"/>
          <w:szCs w:val="24"/>
          <w:highlight w:val="none"/>
        </w:rPr>
        <w:t>年龄：</w:t>
      </w:r>
      <w:r>
        <w:rPr>
          <w:rFonts w:hAnsi="宋体"/>
          <w:color w:val="auto"/>
          <w:sz w:val="24"/>
          <w:szCs w:val="24"/>
          <w:highlight w:val="none"/>
          <w:u w:val="single"/>
        </w:rPr>
        <w:t xml:space="preserve">      </w:t>
      </w:r>
      <w:r>
        <w:rPr>
          <w:rFonts w:hint="eastAsia" w:hAnsi="宋体" w:cs="宋体"/>
          <w:color w:val="auto"/>
          <w:sz w:val="24"/>
          <w:szCs w:val="24"/>
          <w:highlight w:val="none"/>
        </w:rPr>
        <w:t>职务：</w:t>
      </w:r>
      <w:r>
        <w:rPr>
          <w:rFonts w:hAnsi="宋体"/>
          <w:color w:val="auto"/>
          <w:sz w:val="24"/>
          <w:szCs w:val="24"/>
          <w:highlight w:val="none"/>
          <w:u w:val="single"/>
        </w:rPr>
        <w:t xml:space="preserve">          </w:t>
      </w:r>
    </w:p>
    <w:p w14:paraId="1171E619">
      <w:pPr>
        <w:shd w:val="clear"/>
        <w:spacing w:line="480" w:lineRule="exact"/>
        <w:rPr>
          <w:rFonts w:hAnsi="宋体"/>
          <w:color w:val="auto"/>
          <w:sz w:val="24"/>
          <w:szCs w:val="24"/>
          <w:highlight w:val="none"/>
        </w:rPr>
      </w:pPr>
      <w:r>
        <w:rPr>
          <w:rFonts w:hint="eastAsia" w:hAnsi="宋体" w:cs="宋体"/>
          <w:color w:val="auto"/>
          <w:sz w:val="24"/>
          <w:szCs w:val="24"/>
          <w:highlight w:val="none"/>
        </w:rPr>
        <w:t>身份证号码：</w:t>
      </w:r>
      <w:r>
        <w:rPr>
          <w:rFonts w:hAnsi="宋体"/>
          <w:color w:val="auto"/>
          <w:sz w:val="24"/>
          <w:szCs w:val="24"/>
          <w:highlight w:val="none"/>
          <w:u w:val="single"/>
        </w:rPr>
        <w:t xml:space="preserve">                                          </w:t>
      </w:r>
    </w:p>
    <w:p w14:paraId="6F7BA766">
      <w:pPr>
        <w:shd w:val="clear"/>
        <w:spacing w:line="480" w:lineRule="exact"/>
        <w:rPr>
          <w:rFonts w:hAnsi="宋体"/>
          <w:color w:val="auto"/>
          <w:sz w:val="24"/>
          <w:szCs w:val="24"/>
          <w:highlight w:val="none"/>
        </w:rPr>
      </w:pPr>
      <w:r>
        <w:rPr>
          <w:rFonts w:hint="eastAsia" w:hAnsi="宋体" w:cs="宋体"/>
          <w:color w:val="auto"/>
          <w:sz w:val="24"/>
          <w:szCs w:val="24"/>
          <w:highlight w:val="none"/>
        </w:rPr>
        <w:t>手机：</w:t>
      </w:r>
      <w:r>
        <w:rPr>
          <w:rFonts w:hAnsi="宋体"/>
          <w:color w:val="auto"/>
          <w:sz w:val="24"/>
          <w:szCs w:val="24"/>
          <w:highlight w:val="none"/>
          <w:u w:val="single"/>
        </w:rPr>
        <w:t xml:space="preserve">                 </w:t>
      </w:r>
      <w:r>
        <w:rPr>
          <w:rFonts w:hint="eastAsia" w:hAnsi="宋体" w:cs="宋体"/>
          <w:color w:val="auto"/>
          <w:sz w:val="24"/>
          <w:szCs w:val="24"/>
          <w:highlight w:val="none"/>
        </w:rPr>
        <w:t>传真：</w:t>
      </w:r>
      <w:r>
        <w:rPr>
          <w:rFonts w:hAnsi="宋体"/>
          <w:color w:val="auto"/>
          <w:sz w:val="24"/>
          <w:szCs w:val="24"/>
          <w:highlight w:val="none"/>
          <w:u w:val="single"/>
        </w:rPr>
        <w:t xml:space="preserve">                        </w:t>
      </w:r>
      <w:r>
        <w:rPr>
          <w:rFonts w:hAnsi="宋体"/>
          <w:color w:val="auto"/>
          <w:sz w:val="24"/>
          <w:szCs w:val="24"/>
          <w:highlight w:val="none"/>
        </w:rPr>
        <w:t xml:space="preserve"> </w:t>
      </w:r>
    </w:p>
    <w:p w14:paraId="04D8DFD4">
      <w:pPr>
        <w:shd w:val="clear"/>
        <w:spacing w:line="480" w:lineRule="exact"/>
        <w:rPr>
          <w:rFonts w:hAnsi="宋体"/>
          <w:color w:val="auto"/>
          <w:sz w:val="24"/>
          <w:szCs w:val="24"/>
          <w:highlight w:val="none"/>
        </w:rPr>
      </w:pPr>
      <w:r>
        <w:rPr>
          <w:rFonts w:hint="eastAsia" w:hAnsi="宋体" w:cs="宋体"/>
          <w:color w:val="auto"/>
          <w:sz w:val="24"/>
          <w:szCs w:val="24"/>
          <w:highlight w:val="none"/>
        </w:rPr>
        <w:t>单位名称（公章）</w:t>
      </w:r>
      <w:r>
        <w:rPr>
          <w:rFonts w:hAnsi="宋体"/>
          <w:color w:val="auto"/>
          <w:sz w:val="24"/>
          <w:szCs w:val="24"/>
          <w:highlight w:val="none"/>
        </w:rPr>
        <w:t xml:space="preserve">             </w:t>
      </w:r>
      <w:r>
        <w:rPr>
          <w:rFonts w:hint="eastAsia" w:hAnsi="宋体" w:cs="宋体"/>
          <w:color w:val="auto"/>
          <w:sz w:val="24"/>
          <w:szCs w:val="24"/>
          <w:highlight w:val="none"/>
        </w:rPr>
        <w:t>法定代表人（签字或盖章）</w:t>
      </w:r>
    </w:p>
    <w:p w14:paraId="21BE7192">
      <w:pPr>
        <w:shd w:val="clear"/>
        <w:spacing w:line="480" w:lineRule="exact"/>
        <w:ind w:firstLine="1200" w:firstLineChars="500"/>
        <w:rPr>
          <w:rFonts w:hAnsi="宋体"/>
          <w:color w:val="auto"/>
          <w:sz w:val="24"/>
          <w:szCs w:val="24"/>
          <w:highlight w:val="none"/>
        </w:rPr>
      </w:pPr>
      <w:r>
        <w:rPr>
          <w:rFonts w:hint="eastAsia" w:hAnsi="宋体" w:cs="宋体"/>
          <w:color w:val="auto"/>
          <w:sz w:val="24"/>
          <w:szCs w:val="24"/>
          <w:highlight w:val="none"/>
        </w:rPr>
        <w:t>年</w:t>
      </w:r>
      <w:r>
        <w:rPr>
          <w:rFonts w:hAnsi="宋体"/>
          <w:color w:val="auto"/>
          <w:sz w:val="24"/>
          <w:szCs w:val="24"/>
          <w:highlight w:val="none"/>
        </w:rPr>
        <w:t xml:space="preserve">   </w:t>
      </w:r>
      <w:r>
        <w:rPr>
          <w:rFonts w:hint="eastAsia" w:hAnsi="宋体" w:cs="宋体"/>
          <w:color w:val="auto"/>
          <w:sz w:val="24"/>
          <w:szCs w:val="24"/>
          <w:highlight w:val="none"/>
        </w:rPr>
        <w:t>月</w:t>
      </w:r>
      <w:r>
        <w:rPr>
          <w:rFonts w:hAnsi="宋体"/>
          <w:color w:val="auto"/>
          <w:sz w:val="24"/>
          <w:szCs w:val="24"/>
          <w:highlight w:val="none"/>
        </w:rPr>
        <w:t xml:space="preserve">   </w:t>
      </w:r>
      <w:r>
        <w:rPr>
          <w:rFonts w:hint="eastAsia" w:hAnsi="宋体" w:cs="宋体"/>
          <w:color w:val="auto"/>
          <w:sz w:val="24"/>
          <w:szCs w:val="24"/>
          <w:highlight w:val="none"/>
        </w:rPr>
        <w:t>日</w:t>
      </w:r>
      <w:r>
        <w:rPr>
          <w:rFonts w:hAnsi="宋体"/>
          <w:color w:val="auto"/>
          <w:sz w:val="24"/>
          <w:szCs w:val="24"/>
          <w:highlight w:val="none"/>
        </w:rPr>
        <w:t xml:space="preserve">                 </w:t>
      </w:r>
      <w:r>
        <w:rPr>
          <w:rFonts w:hint="eastAsia" w:hAnsi="宋体" w:cs="宋体"/>
          <w:color w:val="auto"/>
          <w:sz w:val="24"/>
          <w:szCs w:val="24"/>
          <w:highlight w:val="none"/>
        </w:rPr>
        <w:t>年</w:t>
      </w:r>
      <w:r>
        <w:rPr>
          <w:rFonts w:hAnsi="宋体"/>
          <w:color w:val="auto"/>
          <w:sz w:val="24"/>
          <w:szCs w:val="24"/>
          <w:highlight w:val="none"/>
        </w:rPr>
        <w:t xml:space="preserve">   </w:t>
      </w:r>
      <w:r>
        <w:rPr>
          <w:rFonts w:hint="eastAsia" w:hAnsi="宋体" w:cs="宋体"/>
          <w:color w:val="auto"/>
          <w:sz w:val="24"/>
          <w:szCs w:val="24"/>
          <w:highlight w:val="none"/>
        </w:rPr>
        <w:t>月</w:t>
      </w:r>
      <w:r>
        <w:rPr>
          <w:rFonts w:hAnsi="宋体"/>
          <w:color w:val="auto"/>
          <w:sz w:val="24"/>
          <w:szCs w:val="24"/>
          <w:highlight w:val="none"/>
        </w:rPr>
        <w:t xml:space="preserve">    </w:t>
      </w:r>
      <w:r>
        <w:rPr>
          <w:rFonts w:hint="eastAsia" w:hAnsi="宋体" w:cs="宋体"/>
          <w:color w:val="auto"/>
          <w:sz w:val="24"/>
          <w:szCs w:val="24"/>
          <w:highlight w:val="none"/>
        </w:rPr>
        <w:t>日</w:t>
      </w:r>
      <w:r>
        <w:rPr>
          <w:rFonts w:hAnsi="宋体"/>
          <w:color w:val="auto"/>
          <w:sz w:val="24"/>
          <w:szCs w:val="24"/>
          <w:highlight w:val="none"/>
        </w:rPr>
        <w:t xml:space="preserve">  </w:t>
      </w:r>
    </w:p>
    <w:p w14:paraId="6091FBED">
      <w:pPr>
        <w:shd w:val="clear"/>
        <w:spacing w:line="480" w:lineRule="exact"/>
        <w:rPr>
          <w:rFonts w:hAnsi="宋体"/>
          <w:color w:val="auto"/>
          <w:sz w:val="24"/>
          <w:szCs w:val="24"/>
          <w:highlight w:val="none"/>
        </w:rPr>
      </w:pPr>
    </w:p>
    <w:p w14:paraId="226E131F">
      <w:pPr>
        <w:shd w:val="clear"/>
        <w:snapToGrid w:val="0"/>
        <w:spacing w:line="520" w:lineRule="exact"/>
        <w:ind w:firstLine="2479" w:firstLineChars="1029"/>
        <w:rPr>
          <w:rFonts w:ascii="宋体"/>
          <w:b/>
          <w:bCs/>
          <w:color w:val="auto"/>
          <w:sz w:val="24"/>
          <w:szCs w:val="24"/>
          <w:highlight w:val="none"/>
        </w:rPr>
      </w:pPr>
      <w:r>
        <w:rPr>
          <w:rFonts w:hint="eastAsia" w:ascii="宋体" w:hAnsi="宋体" w:cs="宋体"/>
          <w:b/>
          <w:bCs/>
          <w:color w:val="auto"/>
          <w:sz w:val="24"/>
          <w:szCs w:val="24"/>
          <w:highlight w:val="none"/>
        </w:rPr>
        <w:t>法定代表人身份证复印件</w:t>
      </w:r>
    </w:p>
    <w:p w14:paraId="28E72107">
      <w:pPr>
        <w:shd w:val="clear"/>
        <w:snapToGrid w:val="0"/>
        <w:spacing w:line="520" w:lineRule="exact"/>
        <w:rPr>
          <w:rFonts w:ascii="宋体"/>
          <w:color w:val="auto"/>
          <w:sz w:val="24"/>
          <w:szCs w:val="24"/>
          <w:highlight w:val="none"/>
        </w:rPr>
      </w:pPr>
    </w:p>
    <w:p w14:paraId="4B86332B">
      <w:pPr>
        <w:shd w:val="clear"/>
        <w:snapToGrid w:val="0"/>
        <w:spacing w:line="520" w:lineRule="exact"/>
        <w:ind w:firstLine="2997" w:firstLineChars="1244"/>
        <w:rPr>
          <w:rFonts w:ascii="宋体"/>
          <w:b/>
          <w:bCs/>
          <w:color w:val="auto"/>
          <w:sz w:val="24"/>
          <w:szCs w:val="24"/>
          <w:highlight w:val="none"/>
        </w:rPr>
      </w:pPr>
      <w:r>
        <w:rPr>
          <w:rFonts w:hint="eastAsia" w:ascii="宋体" w:hAnsi="宋体" w:cs="宋体"/>
          <w:b/>
          <w:bCs/>
          <w:color w:val="auto"/>
          <w:sz w:val="24"/>
          <w:szCs w:val="24"/>
          <w:highlight w:val="none"/>
        </w:rPr>
        <w:t>（粘贴此处）</w:t>
      </w:r>
    </w:p>
    <w:p w14:paraId="5AF5FC61">
      <w:pPr>
        <w:shd w:val="clear"/>
        <w:spacing w:line="480" w:lineRule="exact"/>
        <w:rPr>
          <w:rFonts w:hAnsi="宋体"/>
          <w:color w:val="auto"/>
          <w:sz w:val="24"/>
          <w:szCs w:val="24"/>
          <w:highlight w:val="none"/>
        </w:rPr>
      </w:pPr>
    </w:p>
    <w:p w14:paraId="20BFAFCA">
      <w:pPr>
        <w:shd w:val="clear"/>
        <w:spacing w:line="480" w:lineRule="exact"/>
        <w:rPr>
          <w:rFonts w:hAnsi="宋体"/>
          <w:color w:val="auto"/>
          <w:sz w:val="24"/>
          <w:szCs w:val="24"/>
          <w:highlight w:val="none"/>
        </w:rPr>
      </w:pPr>
    </w:p>
    <w:p w14:paraId="6EAABCF8">
      <w:pPr>
        <w:shd w:val="clear"/>
        <w:spacing w:line="480" w:lineRule="exact"/>
        <w:ind w:firstLine="2479" w:firstLineChars="1029"/>
        <w:rPr>
          <w:rFonts w:hAnsi="宋体"/>
          <w:b/>
          <w:bCs/>
          <w:color w:val="auto"/>
          <w:sz w:val="24"/>
          <w:szCs w:val="24"/>
          <w:highlight w:val="none"/>
        </w:rPr>
      </w:pPr>
      <w:r>
        <w:rPr>
          <w:rFonts w:hint="eastAsia" w:hAnsi="宋体" w:cs="宋体"/>
          <w:b/>
          <w:bCs/>
          <w:color w:val="auto"/>
          <w:sz w:val="24"/>
          <w:szCs w:val="24"/>
          <w:highlight w:val="none"/>
        </w:rPr>
        <w:t>被授权人身份证复印件</w:t>
      </w:r>
    </w:p>
    <w:p w14:paraId="78EA1656">
      <w:pPr>
        <w:shd w:val="clear"/>
        <w:spacing w:line="480" w:lineRule="exact"/>
        <w:rPr>
          <w:rFonts w:hAnsi="宋体"/>
          <w:color w:val="auto"/>
          <w:sz w:val="24"/>
          <w:szCs w:val="24"/>
          <w:highlight w:val="none"/>
        </w:rPr>
      </w:pPr>
    </w:p>
    <w:p w14:paraId="1EF850BC">
      <w:pPr>
        <w:shd w:val="clear"/>
        <w:spacing w:line="480" w:lineRule="exact"/>
        <w:ind w:firstLine="3115" w:firstLineChars="1293"/>
        <w:rPr>
          <w:rFonts w:hAnsi="宋体"/>
          <w:b/>
          <w:bCs/>
          <w:color w:val="auto"/>
          <w:sz w:val="24"/>
          <w:szCs w:val="24"/>
          <w:highlight w:val="none"/>
        </w:rPr>
      </w:pPr>
      <w:r>
        <w:rPr>
          <w:rFonts w:hint="eastAsia" w:hAnsi="宋体" w:cs="宋体"/>
          <w:b/>
          <w:bCs/>
          <w:color w:val="auto"/>
          <w:sz w:val="24"/>
          <w:szCs w:val="24"/>
          <w:highlight w:val="none"/>
        </w:rPr>
        <w:t>（粘贴此处）</w:t>
      </w:r>
    </w:p>
    <w:p w14:paraId="5938B25F">
      <w:pPr>
        <w:pStyle w:val="52"/>
        <w:shd w:val="clear"/>
        <w:ind w:firstLine="480"/>
        <w:rPr>
          <w:rFonts w:cs="Times New Roman"/>
          <w:color w:val="auto"/>
          <w:highlight w:val="none"/>
        </w:rPr>
      </w:pPr>
    </w:p>
    <w:p w14:paraId="165BC6F1">
      <w:pPr>
        <w:shd w:val="clear"/>
        <w:spacing w:line="480" w:lineRule="exact"/>
        <w:ind w:firstLine="482" w:firstLineChars="200"/>
        <w:rPr>
          <w:rFonts w:hAnsi="宋体"/>
          <w:b/>
          <w:bCs/>
          <w:color w:val="auto"/>
          <w:sz w:val="24"/>
          <w:szCs w:val="24"/>
          <w:highlight w:val="none"/>
        </w:rPr>
      </w:pPr>
      <w:r>
        <w:rPr>
          <w:rFonts w:hint="eastAsia" w:hAnsi="宋体" w:cs="宋体"/>
          <w:b/>
          <w:bCs/>
          <w:color w:val="auto"/>
          <w:sz w:val="24"/>
          <w:szCs w:val="24"/>
          <w:highlight w:val="none"/>
        </w:rPr>
        <w:t>注</w:t>
      </w:r>
      <w:r>
        <w:rPr>
          <w:rFonts w:hAnsi="宋体"/>
          <w:b/>
          <w:bCs/>
          <w:color w:val="auto"/>
          <w:sz w:val="24"/>
          <w:szCs w:val="24"/>
          <w:highlight w:val="none"/>
        </w:rPr>
        <w:t>:</w:t>
      </w:r>
      <w:r>
        <w:rPr>
          <w:rFonts w:hint="eastAsia" w:hAnsi="宋体" w:cs="宋体"/>
          <w:b/>
          <w:bCs/>
          <w:color w:val="auto"/>
          <w:sz w:val="24"/>
          <w:szCs w:val="24"/>
          <w:highlight w:val="none"/>
        </w:rPr>
        <w:t>参加磋商时被授权人将身份证原件带至磋商现场备查。</w:t>
      </w:r>
    </w:p>
    <w:p w14:paraId="69B2D9C8">
      <w:pPr>
        <w:shd w:val="clear"/>
        <w:snapToGrid w:val="0"/>
        <w:spacing w:line="520" w:lineRule="exact"/>
        <w:jc w:val="center"/>
        <w:outlineLvl w:val="3"/>
        <w:rPr>
          <w:rFonts w:ascii="宋体"/>
          <w:b/>
          <w:bCs/>
          <w:color w:val="auto"/>
          <w:sz w:val="28"/>
          <w:szCs w:val="28"/>
          <w:highlight w:val="none"/>
        </w:rPr>
      </w:pPr>
    </w:p>
    <w:p w14:paraId="3804774D">
      <w:pPr>
        <w:shd w:val="clear"/>
        <w:spacing w:line="360" w:lineRule="auto"/>
        <w:jc w:val="center"/>
        <w:rPr>
          <w:rFonts w:ascii="宋体"/>
          <w:b/>
          <w:bCs/>
          <w:color w:val="auto"/>
          <w:sz w:val="28"/>
          <w:szCs w:val="28"/>
          <w:highlight w:val="none"/>
        </w:rPr>
      </w:pPr>
      <w:r>
        <w:rPr>
          <w:color w:val="auto"/>
          <w:highlight w:val="none"/>
        </w:rPr>
        <w:br w:type="page"/>
      </w:r>
      <w:r>
        <w:rPr>
          <w:rFonts w:ascii="宋体" w:hAnsi="宋体" w:cs="宋体"/>
          <w:b/>
          <w:bCs/>
          <w:color w:val="auto"/>
          <w:sz w:val="28"/>
          <w:szCs w:val="28"/>
          <w:highlight w:val="none"/>
        </w:rPr>
        <w:t>3</w:t>
      </w:r>
      <w:r>
        <w:rPr>
          <w:rFonts w:hint="eastAsia" w:ascii="宋体" w:hAnsi="宋体" w:cs="宋体"/>
          <w:b/>
          <w:bCs/>
          <w:color w:val="auto"/>
          <w:sz w:val="28"/>
          <w:szCs w:val="28"/>
          <w:highlight w:val="none"/>
        </w:rPr>
        <w:t>、无重大违法记录声明</w:t>
      </w:r>
    </w:p>
    <w:p w14:paraId="592E49F7">
      <w:pPr>
        <w:shd w:val="clear"/>
        <w:spacing w:line="560" w:lineRule="exact"/>
        <w:rPr>
          <w:rFonts w:ascii="宋体"/>
          <w:color w:val="auto"/>
          <w:sz w:val="24"/>
          <w:szCs w:val="24"/>
          <w:highlight w:val="none"/>
          <w:u w:val="single"/>
        </w:rPr>
      </w:pPr>
      <w:r>
        <w:rPr>
          <w:rFonts w:hint="eastAsia" w:ascii="宋体" w:hAnsi="宋体" w:cs="宋体"/>
          <w:color w:val="auto"/>
          <w:sz w:val="24"/>
          <w:szCs w:val="24"/>
          <w:highlight w:val="none"/>
          <w:u w:val="single"/>
        </w:rPr>
        <w:t>南通市机关事务管理局：</w:t>
      </w:r>
    </w:p>
    <w:p w14:paraId="14AEA7FA">
      <w:pPr>
        <w:shd w:val="clear"/>
        <w:spacing w:line="56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我单位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（供应商名称）郑重声明：</w:t>
      </w:r>
    </w:p>
    <w:p w14:paraId="175AA62F">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bCs/>
          <w:snapToGrid/>
          <w:color w:val="auto"/>
          <w:kern w:val="2"/>
          <w:sz w:val="24"/>
          <w:szCs w:val="21"/>
          <w:highlight w:val="none"/>
        </w:rPr>
        <w:t>我单位具有独立承担民事责任的能力；</w:t>
      </w:r>
    </w:p>
    <w:p w14:paraId="0C253E1B">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我单位具有良好的商业信誉和健全的财务会计制度；</w:t>
      </w:r>
    </w:p>
    <w:p w14:paraId="00B4A352">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我单位具有履行合同所必需的设备和专业技术能力；</w:t>
      </w:r>
    </w:p>
    <w:p w14:paraId="36F6351E">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我单位有依法缴纳税收和社会保障资金的良好记录；</w:t>
      </w:r>
    </w:p>
    <w:p w14:paraId="5F2C196D">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我单位参加本次采购活动前三年内，在经营活动中没有重大违法记录。</w:t>
      </w:r>
    </w:p>
    <w:p w14:paraId="350FA408">
      <w:pPr>
        <w:shd w:val="clear"/>
        <w:spacing w:line="520" w:lineRule="exact"/>
        <w:ind w:firstLine="480" w:firstLineChars="200"/>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7BCE6173">
      <w:pPr>
        <w:numPr>
          <w:ilvl w:val="0"/>
          <w:numId w:val="6"/>
        </w:numPr>
        <w:shd w:val="clear"/>
        <w:spacing w:line="520" w:lineRule="exact"/>
        <w:ind w:firstLine="482"/>
        <w:rPr>
          <w:rFonts w:ascii="宋体" w:hAnsi="宋体" w:eastAsia="宋体" w:cs="宋体"/>
          <w:snapToGrid/>
          <w:color w:val="auto"/>
          <w:kern w:val="2"/>
          <w:sz w:val="24"/>
          <w:szCs w:val="21"/>
          <w:highlight w:val="none"/>
        </w:rPr>
      </w:pPr>
      <w:r>
        <w:rPr>
          <w:rFonts w:hint="eastAsia" w:ascii="宋体" w:hAnsi="宋体" w:eastAsia="宋体" w:cs="宋体"/>
          <w:snapToGrid/>
          <w:color w:val="auto"/>
          <w:kern w:val="2"/>
          <w:sz w:val="24"/>
          <w:szCs w:val="21"/>
          <w:highlight w:val="none"/>
        </w:rPr>
        <w:t>我单位满足法律、行政法规规定的其他条件。</w:t>
      </w:r>
    </w:p>
    <w:p w14:paraId="25DB41B3">
      <w:pPr>
        <w:shd w:val="clear"/>
        <w:spacing w:line="560" w:lineRule="exact"/>
        <w:ind w:firstLine="480"/>
        <w:rPr>
          <w:rFonts w:ascii="宋体"/>
          <w:color w:val="auto"/>
          <w:sz w:val="24"/>
          <w:szCs w:val="24"/>
          <w:highlight w:val="none"/>
        </w:rPr>
      </w:pPr>
    </w:p>
    <w:p w14:paraId="348D57B2">
      <w:pPr>
        <w:shd w:val="clear"/>
        <w:spacing w:line="420" w:lineRule="exact"/>
        <w:rPr>
          <w:rFonts w:ascii="宋体"/>
          <w:color w:val="auto"/>
          <w:sz w:val="24"/>
          <w:szCs w:val="24"/>
          <w:highlight w:val="none"/>
        </w:rPr>
      </w:pPr>
      <w:r>
        <w:rPr>
          <w:rFonts w:ascii="宋体" w:hAnsi="宋体" w:cs="宋体"/>
          <w:color w:val="auto"/>
          <w:sz w:val="24"/>
          <w:szCs w:val="24"/>
          <w:highlight w:val="none"/>
        </w:rPr>
        <w:t xml:space="preserve">                                                       </w:t>
      </w:r>
    </w:p>
    <w:p w14:paraId="46497E6C">
      <w:pPr>
        <w:shd w:val="clear"/>
        <w:spacing w:line="420" w:lineRule="exact"/>
        <w:ind w:firstLine="6360" w:firstLineChars="265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声明人：（公章）</w:t>
      </w:r>
    </w:p>
    <w:p w14:paraId="743ECB1C">
      <w:pPr>
        <w:shd w:val="clear"/>
        <w:spacing w:line="420" w:lineRule="exact"/>
        <w:jc w:val="righ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2036BE0C">
      <w:pPr>
        <w:shd w:val="clear"/>
        <w:snapToGrid w:val="0"/>
        <w:spacing w:line="360" w:lineRule="auto"/>
        <w:jc w:val="center"/>
        <w:outlineLvl w:val="4"/>
        <w:rPr>
          <w:rFonts w:ascii="宋体"/>
          <w:b/>
          <w:bCs/>
          <w:color w:val="auto"/>
          <w:sz w:val="28"/>
          <w:szCs w:val="28"/>
          <w:highlight w:val="none"/>
        </w:rPr>
      </w:pPr>
      <w:r>
        <w:rPr>
          <w:rFonts w:ascii="宋体"/>
          <w:b/>
          <w:bCs/>
          <w:color w:val="auto"/>
          <w:sz w:val="28"/>
          <w:szCs w:val="28"/>
          <w:highlight w:val="none"/>
        </w:rPr>
        <w:br w:type="page"/>
      </w:r>
    </w:p>
    <w:p w14:paraId="605FA79F">
      <w:pPr>
        <w:shd w:val="clear"/>
        <w:spacing w:line="360" w:lineRule="auto"/>
        <w:jc w:val="center"/>
        <w:rPr>
          <w:rFonts w:ascii="宋体"/>
          <w:b/>
          <w:bCs/>
          <w:color w:val="auto"/>
          <w:sz w:val="28"/>
          <w:szCs w:val="28"/>
          <w:highlight w:val="none"/>
        </w:rPr>
      </w:pPr>
      <w:r>
        <w:rPr>
          <w:rFonts w:ascii="宋体" w:hAnsi="宋体" w:cs="宋体"/>
          <w:b/>
          <w:bCs/>
          <w:color w:val="auto"/>
          <w:sz w:val="28"/>
          <w:szCs w:val="28"/>
          <w:highlight w:val="none"/>
        </w:rPr>
        <w:t>4</w:t>
      </w:r>
      <w:r>
        <w:rPr>
          <w:rFonts w:hint="eastAsia" w:ascii="宋体" w:hAnsi="宋体" w:cs="宋体"/>
          <w:b/>
          <w:bCs/>
          <w:color w:val="auto"/>
          <w:sz w:val="28"/>
          <w:szCs w:val="28"/>
          <w:highlight w:val="none"/>
        </w:rPr>
        <w:t>、关于资格文件的声明函</w:t>
      </w:r>
    </w:p>
    <w:p w14:paraId="6305F44B">
      <w:pPr>
        <w:shd w:val="clear"/>
        <w:snapToGrid w:val="0"/>
        <w:spacing w:line="360" w:lineRule="auto"/>
        <w:rPr>
          <w:rFonts w:ascii="宋体"/>
          <w:color w:val="auto"/>
          <w:sz w:val="24"/>
          <w:szCs w:val="24"/>
          <w:highlight w:val="none"/>
          <w:u w:val="single"/>
        </w:rPr>
      </w:pPr>
    </w:p>
    <w:p w14:paraId="2FC44185">
      <w:pPr>
        <w:shd w:val="clear"/>
        <w:snapToGrid w:val="0"/>
        <w:spacing w:line="360" w:lineRule="auto"/>
        <w:rPr>
          <w:rFonts w:ascii="宋体"/>
          <w:color w:val="auto"/>
          <w:sz w:val="24"/>
          <w:szCs w:val="24"/>
          <w:highlight w:val="none"/>
          <w:u w:val="single"/>
        </w:rPr>
      </w:pPr>
    </w:p>
    <w:p w14:paraId="328BC716">
      <w:pPr>
        <w:shd w:val="clear"/>
        <w:snapToGrid w:val="0"/>
        <w:spacing w:line="360" w:lineRule="auto"/>
        <w:rPr>
          <w:rFonts w:ascii="宋体"/>
          <w:color w:val="auto"/>
          <w:sz w:val="24"/>
          <w:szCs w:val="24"/>
          <w:highlight w:val="none"/>
          <w:u w:val="single"/>
        </w:rPr>
      </w:pPr>
      <w:r>
        <w:rPr>
          <w:rFonts w:hint="eastAsia" w:ascii="宋体" w:hAnsi="宋体" w:cs="宋体"/>
          <w:color w:val="auto"/>
          <w:sz w:val="24"/>
          <w:szCs w:val="24"/>
          <w:highlight w:val="none"/>
          <w:u w:val="single"/>
        </w:rPr>
        <w:t>南通市机关事务管理局：</w:t>
      </w:r>
    </w:p>
    <w:p w14:paraId="761F0A28">
      <w:pPr>
        <w:shd w:val="clear"/>
        <w:overflowPunct w:val="0"/>
        <w:adjustRightInd w:val="0"/>
        <w:spacing w:line="360" w:lineRule="auto"/>
        <w:ind w:firstLine="480" w:firstLineChars="200"/>
        <w:jc w:val="left"/>
        <w:textAlignment w:val="baseline"/>
        <w:rPr>
          <w:rFonts w:ascii="宋体"/>
          <w:color w:val="auto"/>
          <w:sz w:val="24"/>
          <w:szCs w:val="24"/>
          <w:highlight w:val="none"/>
        </w:rPr>
      </w:pPr>
      <w:r>
        <w:rPr>
          <w:rFonts w:hint="eastAsia" w:ascii="宋体" w:hAnsi="宋体" w:cs="宋体"/>
          <w:color w:val="auto"/>
          <w:sz w:val="24"/>
          <w:szCs w:val="24"/>
          <w:highlight w:val="none"/>
        </w:rPr>
        <w:t>本公司愿就由贵单位组织实施的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w:t>
      </w:r>
      <w:r>
        <w:rPr>
          <w:rFonts w:ascii="宋体" w:hAnsi="宋体" w:cs="宋体"/>
          <w:color w:val="auto"/>
          <w:sz w:val="24"/>
          <w:szCs w:val="24"/>
          <w:highlight w:val="none"/>
        </w:rPr>
        <w:t>)</w:t>
      </w:r>
      <w:r>
        <w:rPr>
          <w:rFonts w:hint="eastAsia" w:ascii="宋体" w:hAnsi="宋体" w:cs="宋体"/>
          <w:color w:val="auto"/>
          <w:sz w:val="24"/>
          <w:szCs w:val="24"/>
          <w:highlight w:val="none"/>
        </w:rPr>
        <w:t>的活动参与磋商。本公司所提交的磋商文件中所有关于资格的文件、证明和陈述均是真实的、准确的。若与真实情况不符，本公司愿意承担由此而产生的一切后果。</w:t>
      </w:r>
    </w:p>
    <w:p w14:paraId="0B546743">
      <w:pPr>
        <w:shd w:val="clear"/>
        <w:overflowPunct w:val="0"/>
        <w:adjustRightInd w:val="0"/>
        <w:spacing w:line="360" w:lineRule="auto"/>
        <w:ind w:firstLine="420"/>
        <w:jc w:val="left"/>
        <w:textAlignment w:val="baseline"/>
        <w:rPr>
          <w:rFonts w:ascii="宋体"/>
          <w:color w:val="auto"/>
          <w:sz w:val="24"/>
          <w:szCs w:val="24"/>
          <w:highlight w:val="none"/>
        </w:rPr>
      </w:pPr>
    </w:p>
    <w:p w14:paraId="1C1ECE70">
      <w:pPr>
        <w:shd w:val="clear"/>
        <w:overflowPunct w:val="0"/>
        <w:adjustRightInd w:val="0"/>
        <w:spacing w:line="360" w:lineRule="auto"/>
        <w:ind w:firstLine="420"/>
        <w:jc w:val="left"/>
        <w:textAlignment w:val="baseline"/>
        <w:rPr>
          <w:rFonts w:ascii="宋体"/>
          <w:color w:val="auto"/>
          <w:sz w:val="24"/>
          <w:szCs w:val="24"/>
          <w:highlight w:val="none"/>
        </w:rPr>
      </w:pPr>
    </w:p>
    <w:p w14:paraId="37EE0409">
      <w:pPr>
        <w:shd w:val="clea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14:paraId="07519785">
      <w:pPr>
        <w:shd w:val="clea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F53B386">
      <w:pPr>
        <w:shd w:val="clear"/>
        <w:snapToGrid w:val="0"/>
        <w:spacing w:line="520" w:lineRule="exact"/>
        <w:jc w:val="righ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669E62DC">
      <w:pPr>
        <w:shd w:val="clear"/>
        <w:snapToGrid w:val="0"/>
        <w:spacing w:line="520" w:lineRule="exact"/>
        <w:jc w:val="center"/>
        <w:outlineLvl w:val="3"/>
        <w:rPr>
          <w:rFonts w:ascii="宋体"/>
          <w:b/>
          <w:bCs/>
          <w:color w:val="auto"/>
          <w:sz w:val="28"/>
          <w:szCs w:val="28"/>
          <w:highlight w:val="none"/>
        </w:rPr>
      </w:pPr>
    </w:p>
    <w:p w14:paraId="592CC9DB">
      <w:pPr>
        <w:widowControl/>
        <w:shd w:val="clear"/>
        <w:jc w:val="left"/>
        <w:rPr>
          <w:rFonts w:ascii="宋体"/>
          <w:b/>
          <w:bCs/>
          <w:color w:val="auto"/>
          <w:sz w:val="28"/>
          <w:szCs w:val="28"/>
          <w:highlight w:val="none"/>
        </w:rPr>
      </w:pPr>
      <w:r>
        <w:rPr>
          <w:rFonts w:ascii="宋体"/>
          <w:b/>
          <w:bCs/>
          <w:color w:val="auto"/>
          <w:sz w:val="28"/>
          <w:szCs w:val="28"/>
          <w:highlight w:val="none"/>
        </w:rPr>
        <w:br w:type="page"/>
      </w:r>
    </w:p>
    <w:p w14:paraId="7CCC5781">
      <w:pPr>
        <w:shd w:val="clear"/>
        <w:spacing w:after="120"/>
        <w:jc w:val="left"/>
        <w:rPr>
          <w:rFonts w:ascii="仿宋" w:hAnsi="仿宋" w:eastAsia="仿宋"/>
          <w:color w:val="auto"/>
          <w:sz w:val="24"/>
          <w:szCs w:val="24"/>
          <w:highlight w:val="none"/>
        </w:rPr>
      </w:pPr>
    </w:p>
    <w:p w14:paraId="447A1B2D">
      <w:pPr>
        <w:shd w:val="clear"/>
        <w:spacing w:after="12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w:t>
      </w:r>
      <w:r>
        <w:rPr>
          <w:rFonts w:ascii="宋体" w:hAnsi="宋体" w:cs="宋体"/>
          <w:b/>
          <w:bCs/>
          <w:color w:val="auto"/>
          <w:sz w:val="28"/>
          <w:szCs w:val="28"/>
          <w:highlight w:val="none"/>
        </w:rPr>
        <w:t>、项目负责人无在监工程承诺书</w:t>
      </w:r>
    </w:p>
    <w:p w14:paraId="26E6C877">
      <w:pPr>
        <w:shd w:val="clear"/>
        <w:snapToGrid w:val="0"/>
        <w:spacing w:line="360" w:lineRule="auto"/>
        <w:rPr>
          <w:rFonts w:ascii="宋体"/>
          <w:color w:val="auto"/>
          <w:sz w:val="24"/>
          <w:szCs w:val="24"/>
          <w:highlight w:val="none"/>
          <w:u w:val="single"/>
        </w:rPr>
      </w:pPr>
      <w:r>
        <w:rPr>
          <w:rFonts w:hint="eastAsia" w:ascii="宋体"/>
          <w:color w:val="auto"/>
          <w:sz w:val="24"/>
          <w:szCs w:val="24"/>
          <w:highlight w:val="none"/>
          <w:u w:val="single"/>
        </w:rPr>
        <w:t>南通市机关事务管理局</w:t>
      </w:r>
      <w:r>
        <w:rPr>
          <w:rFonts w:ascii="宋体"/>
          <w:color w:val="auto"/>
          <w:sz w:val="24"/>
          <w:szCs w:val="24"/>
          <w:highlight w:val="none"/>
          <w:u w:val="single"/>
        </w:rPr>
        <w:t>：</w:t>
      </w:r>
    </w:p>
    <w:p w14:paraId="0433DB9A">
      <w:pPr>
        <w:widowControl/>
        <w:shd w:val="clear"/>
        <w:spacing w:line="360" w:lineRule="auto"/>
        <w:ind w:firstLine="480" w:firstLineChars="200"/>
        <w:rPr>
          <w:rFonts w:ascii="仿宋" w:hAnsi="仿宋" w:eastAsia="仿宋"/>
          <w:color w:val="auto"/>
          <w:sz w:val="24"/>
          <w:szCs w:val="24"/>
          <w:highlight w:val="none"/>
        </w:rPr>
      </w:pPr>
    </w:p>
    <w:p w14:paraId="04283457">
      <w:pPr>
        <w:widowControl/>
        <w:shd w:val="clear" w:color="auto"/>
        <w:spacing w:line="460" w:lineRule="exact"/>
        <w:ind w:firstLine="441"/>
        <w:rPr>
          <w:rFonts w:ascii="宋体" w:hAnsi="宋体" w:cs="宋体"/>
          <w:color w:val="auto"/>
          <w:sz w:val="24"/>
          <w:szCs w:val="24"/>
          <w:highlight w:val="none"/>
        </w:rPr>
      </w:pPr>
      <w:r>
        <w:rPr>
          <w:rFonts w:ascii="宋体" w:hAnsi="宋体" w:cs="宋体"/>
          <w:color w:val="auto"/>
          <w:sz w:val="24"/>
          <w:szCs w:val="24"/>
          <w:highlight w:val="none"/>
        </w:rPr>
        <w:t>我方参加你方的</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施工监理（以下简称“本项目”）投标的申请，拟派项目总监理工程师为 </w:t>
      </w:r>
      <w:r>
        <w:rPr>
          <w:rFonts w:ascii="宋体" w:hAnsi="宋体" w:cs="宋体"/>
          <w:color w:val="auto"/>
          <w:sz w:val="24"/>
          <w:szCs w:val="24"/>
          <w:highlight w:val="none"/>
          <w:u w:val="single"/>
        </w:rPr>
        <w:t>              </w:t>
      </w:r>
      <w:r>
        <w:rPr>
          <w:rFonts w:ascii="宋体" w:hAnsi="宋体" w:cs="宋体"/>
          <w:color w:val="auto"/>
          <w:sz w:val="24"/>
          <w:szCs w:val="24"/>
          <w:highlight w:val="none"/>
        </w:rPr>
        <w:t>。现我方向你方慎重承诺：</w:t>
      </w:r>
    </w:p>
    <w:p w14:paraId="75A861D8">
      <w:pPr>
        <w:shd w:val="clear"/>
        <w:adjustRightInd w:val="0"/>
        <w:spacing w:line="360" w:lineRule="auto"/>
        <w:ind w:firstLine="482"/>
        <w:textAlignment w:val="baseline"/>
        <w:rPr>
          <w:rFonts w:ascii="宋体" w:hAnsi="宋体" w:cs="宋体"/>
          <w:color w:val="auto"/>
          <w:sz w:val="24"/>
          <w:szCs w:val="24"/>
          <w:highlight w:val="none"/>
        </w:rPr>
      </w:pPr>
      <w:r>
        <w:rPr>
          <w:rFonts w:ascii="宋体" w:hAnsi="宋体" w:cs="宋体"/>
          <w:color w:val="auto"/>
          <w:sz w:val="24"/>
          <w:szCs w:val="24"/>
          <w:highlight w:val="none"/>
        </w:rPr>
        <w:t>拟派项目负责人（总监理工程师）</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，从现在开始至本工程投标文件截止时间未同时在两个或者两个以上单位受聘或者执业（1、同时在两个及以上单位签订劳动合同或交纳社会保险； 2、将本人执（职）业资格证书同时注册在两个及以上单位。）。项目负责人</w:t>
      </w:r>
      <w:bookmarkStart w:id="79" w:name="_Hlk130329963"/>
      <w:r>
        <w:rPr>
          <w:rFonts w:ascii="宋体" w:hAnsi="宋体" w:cs="宋体"/>
          <w:color w:val="auto"/>
          <w:sz w:val="24"/>
          <w:szCs w:val="24"/>
          <w:highlight w:val="none"/>
        </w:rPr>
        <w:t>无行贿犯罪行为记录；或者有行贿犯罪行为记录，但自记录之日起已超过5年。项目负责人无在监工程，且无已中标未开工的项目，如果我方经本工程评标委员会评定为第一中标候选人，在公示期间被他人举报并经招标投标监管机构核实，确认拟派项目负责人有在监工程但不符合</w:t>
      </w:r>
      <w:r>
        <w:rPr>
          <w:rFonts w:hint="eastAsia" w:ascii="宋体" w:hAnsi="宋体" w:cs="宋体"/>
          <w:color w:val="auto"/>
          <w:sz w:val="24"/>
          <w:szCs w:val="24"/>
          <w:highlight w:val="none"/>
        </w:rPr>
        <w:t>招标公告要求</w:t>
      </w:r>
      <w:r>
        <w:rPr>
          <w:rFonts w:ascii="宋体" w:hAnsi="宋体" w:cs="宋体"/>
          <w:color w:val="auto"/>
          <w:sz w:val="24"/>
          <w:szCs w:val="24"/>
          <w:highlight w:val="none"/>
        </w:rPr>
        <w:t>的情况或有已中标未开工的项目，那么取消我方中标候选人资格，同时我方自愿放弃相应投标保证金。</w:t>
      </w:r>
      <w:bookmarkEnd w:id="79"/>
    </w:p>
    <w:p w14:paraId="74DEDF3E">
      <w:pPr>
        <w:widowControl/>
        <w:shd w:val="clear" w:color="auto"/>
        <w:spacing w:line="460" w:lineRule="exact"/>
        <w:ind w:firstLine="482"/>
        <w:rPr>
          <w:rFonts w:ascii="仿宋" w:hAnsi="仿宋" w:eastAsia="仿宋"/>
          <w:color w:val="auto"/>
          <w:kern w:val="0"/>
          <w:sz w:val="24"/>
          <w:szCs w:val="24"/>
          <w:highlight w:val="none"/>
        </w:rPr>
      </w:pPr>
    </w:p>
    <w:p w14:paraId="126270CB">
      <w:pPr>
        <w:widowControl/>
        <w:shd w:val="clear" w:color="auto"/>
        <w:spacing w:line="460" w:lineRule="exact"/>
        <w:ind w:firstLine="482"/>
        <w:rPr>
          <w:rFonts w:ascii="仿宋" w:hAnsi="仿宋" w:eastAsia="仿宋"/>
          <w:color w:val="auto"/>
          <w:kern w:val="0"/>
          <w:sz w:val="24"/>
          <w:szCs w:val="24"/>
          <w:highlight w:val="none"/>
        </w:rPr>
      </w:pPr>
    </w:p>
    <w:p w14:paraId="6C53775E">
      <w:pPr>
        <w:shd w:val="clear"/>
        <w:spacing w:line="600" w:lineRule="exact"/>
        <w:rPr>
          <w:rFonts w:ascii="仿宋" w:hAnsi="仿宋" w:eastAsia="仿宋"/>
          <w:color w:val="auto"/>
          <w:sz w:val="24"/>
          <w:szCs w:val="24"/>
          <w:highlight w:val="none"/>
        </w:rPr>
      </w:pPr>
    </w:p>
    <w:p w14:paraId="4AAB3CCF">
      <w:pPr>
        <w:shd w:val="clea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14:paraId="3CB651CF">
      <w:pPr>
        <w:shd w:val="clea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2635876">
      <w:pPr>
        <w:shd w:val="clear"/>
        <w:snapToGrid w:val="0"/>
        <w:spacing w:line="520" w:lineRule="exact"/>
        <w:jc w:val="righ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46D2E4B0">
      <w:pPr>
        <w:shd w:val="clear"/>
        <w:jc w:val="center"/>
        <w:rPr>
          <w:rFonts w:ascii="仿宋" w:hAnsi="仿宋" w:eastAsia="仿宋"/>
          <w:b/>
          <w:color w:val="auto"/>
          <w:sz w:val="32"/>
          <w:szCs w:val="32"/>
          <w:highlight w:val="none"/>
        </w:rPr>
      </w:pPr>
    </w:p>
    <w:p w14:paraId="5F45D74A">
      <w:pPr>
        <w:shd w:val="clear"/>
        <w:snapToGrid w:val="0"/>
        <w:spacing w:line="520" w:lineRule="exact"/>
        <w:jc w:val="center"/>
        <w:outlineLvl w:val="3"/>
        <w:rPr>
          <w:rFonts w:ascii="宋体"/>
          <w:b/>
          <w:bCs/>
          <w:color w:val="auto"/>
          <w:sz w:val="28"/>
          <w:szCs w:val="28"/>
          <w:highlight w:val="none"/>
        </w:rPr>
      </w:pPr>
    </w:p>
    <w:p w14:paraId="753698D9">
      <w:pPr>
        <w:shd w:val="clear"/>
        <w:snapToGrid w:val="0"/>
        <w:spacing w:line="520" w:lineRule="exact"/>
        <w:jc w:val="center"/>
        <w:outlineLvl w:val="3"/>
        <w:rPr>
          <w:rFonts w:ascii="宋体"/>
          <w:b/>
          <w:bCs/>
          <w:color w:val="auto"/>
          <w:sz w:val="28"/>
          <w:szCs w:val="28"/>
          <w:highlight w:val="none"/>
        </w:rPr>
      </w:pPr>
    </w:p>
    <w:p w14:paraId="0ABD7BDE">
      <w:pPr>
        <w:shd w:val="clear"/>
        <w:spacing w:line="360" w:lineRule="auto"/>
        <w:rPr>
          <w:rFonts w:ascii="宋体"/>
          <w:b/>
          <w:bCs/>
          <w:color w:val="auto"/>
          <w:sz w:val="30"/>
          <w:szCs w:val="30"/>
          <w:highlight w:val="none"/>
        </w:rPr>
      </w:pPr>
    </w:p>
    <w:p w14:paraId="69529125">
      <w:pPr>
        <w:shd w:val="clear"/>
        <w:snapToGrid w:val="0"/>
        <w:spacing w:line="520" w:lineRule="exact"/>
        <w:ind w:firstLine="420" w:firstLineChars="200"/>
        <w:jc w:val="center"/>
        <w:rPr>
          <w:rFonts w:ascii="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rPr>
        <w:t>6、竞争性磋商响应函（格式不得变动）</w:t>
      </w:r>
    </w:p>
    <w:p w14:paraId="10B58C4A">
      <w:pPr>
        <w:shd w:val="clear"/>
        <w:snapToGrid w:val="0"/>
        <w:spacing w:line="520" w:lineRule="exact"/>
        <w:rPr>
          <w:rFonts w:ascii="宋体"/>
          <w:color w:val="auto"/>
          <w:sz w:val="24"/>
          <w:szCs w:val="24"/>
          <w:highlight w:val="none"/>
          <w:u w:val="single"/>
        </w:rPr>
      </w:pPr>
    </w:p>
    <w:p w14:paraId="340E819C">
      <w:pPr>
        <w:shd w:val="clear"/>
        <w:snapToGrid w:val="0"/>
        <w:spacing w:line="520" w:lineRule="exact"/>
        <w:rPr>
          <w:rFonts w:ascii="宋体"/>
          <w:color w:val="auto"/>
          <w:sz w:val="24"/>
          <w:szCs w:val="24"/>
          <w:highlight w:val="none"/>
          <w:u w:val="single"/>
        </w:rPr>
      </w:pPr>
      <w:r>
        <w:rPr>
          <w:rFonts w:hint="eastAsia" w:ascii="宋体" w:hAnsi="宋体" w:cs="宋体"/>
          <w:color w:val="auto"/>
          <w:sz w:val="24"/>
          <w:szCs w:val="24"/>
          <w:highlight w:val="none"/>
          <w:u w:val="single"/>
        </w:rPr>
        <w:t>南通市机关事务管理局：</w:t>
      </w:r>
    </w:p>
    <w:p w14:paraId="32292E78">
      <w:pPr>
        <w:shd w:val="clear"/>
        <w:snapToGrid w:val="0"/>
        <w:spacing w:line="52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依据贵单位委托代理机构组织的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项目竞争性磋商的邀请，我方授权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（职务）为全权代表参加该项目的磋商工作，全权处理本次竞争性磋商的有关事宜。同时，我公司声明如下：</w:t>
      </w:r>
    </w:p>
    <w:p w14:paraId="1475A9A7">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、同意并接受竞争性磋商文件的各项要求，遵守竞争性磋商文件中的各项规定，按竞争性磋商文件的要求提供报价。</w:t>
      </w:r>
    </w:p>
    <w:p w14:paraId="555E3CEF">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14:paraId="278DF7F3">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、我公司已毫无保留地向贵方提供一切所需的证明材料。</w:t>
      </w:r>
    </w:p>
    <w:p w14:paraId="575E4B8F">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、我公司承诺在本次磋商响应中提供的一切文件，无论是原件还是复印件均真实有效，绝无任何虚假、伪造和夸大的成份。否则，愿承担相应的后果和法律责任。</w:t>
      </w:r>
    </w:p>
    <w:p w14:paraId="752BEE30">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、一旦成交，我方承诺无正当理由拒绝签订合同，将被贵方取消成交资格。</w:t>
      </w:r>
    </w:p>
    <w:p w14:paraId="4B03AD97">
      <w:pPr>
        <w:shd w:val="clea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一旦成交，我方将根据竞争性磋商文件的规定，严格履行合同规定的责任和义务，并保证在竞争性磋商文件中规定的时间期限内完成合同项目。</w:t>
      </w:r>
    </w:p>
    <w:p w14:paraId="56576FDB">
      <w:pPr>
        <w:shd w:val="clear"/>
        <w:snapToGrid w:val="0"/>
        <w:spacing w:line="520" w:lineRule="exact"/>
        <w:ind w:firstLine="480" w:firstLineChars="200"/>
        <w:rPr>
          <w:rFonts w:ascii="宋体"/>
          <w:color w:val="auto"/>
          <w:sz w:val="24"/>
          <w:szCs w:val="24"/>
          <w:highlight w:val="none"/>
        </w:rPr>
      </w:pPr>
    </w:p>
    <w:p w14:paraId="1E4DA597">
      <w:pPr>
        <w:shd w:val="clea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14:paraId="5EFA941C">
      <w:pPr>
        <w:shd w:val="clea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C342345">
      <w:pPr>
        <w:shd w:val="clear"/>
        <w:snapToGrid w:val="0"/>
        <w:spacing w:line="520" w:lineRule="exact"/>
        <w:jc w:val="righ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46D59D8F">
      <w:pPr>
        <w:shd w:val="clear"/>
        <w:snapToGrid w:val="0"/>
        <w:spacing w:line="520" w:lineRule="exact"/>
        <w:jc w:val="center"/>
        <w:outlineLvl w:val="3"/>
        <w:rPr>
          <w:rFonts w:ascii="宋体"/>
          <w:b/>
          <w:bCs/>
          <w:color w:val="auto"/>
          <w:sz w:val="28"/>
          <w:szCs w:val="28"/>
          <w:highlight w:val="none"/>
        </w:rPr>
      </w:pPr>
    </w:p>
    <w:p w14:paraId="355F42F2">
      <w:pPr>
        <w:shd w:val="clear"/>
        <w:snapToGrid w:val="0"/>
        <w:spacing w:line="520" w:lineRule="exact"/>
        <w:jc w:val="center"/>
        <w:outlineLvl w:val="3"/>
        <w:rPr>
          <w:rFonts w:ascii="宋体"/>
          <w:b/>
          <w:bCs/>
          <w:color w:val="auto"/>
          <w:sz w:val="28"/>
          <w:szCs w:val="28"/>
          <w:highlight w:val="none"/>
        </w:rPr>
      </w:pPr>
    </w:p>
    <w:p w14:paraId="0F4A5FC9">
      <w:pPr>
        <w:shd w:val="clear"/>
        <w:snapToGrid w:val="0"/>
        <w:spacing w:line="360" w:lineRule="auto"/>
        <w:contextualSpacing/>
        <w:jc w:val="center"/>
        <w:rPr>
          <w:rFonts w:ascii="宋体" w:hAnsi="宋体"/>
          <w:b/>
          <w:color w:val="auto"/>
          <w:sz w:val="32"/>
          <w:szCs w:val="32"/>
          <w:highlight w:val="none"/>
        </w:rPr>
      </w:pPr>
      <w:bookmarkStart w:id="80" w:name="_Toc425960671"/>
      <w:r>
        <w:rPr>
          <w:rFonts w:ascii="宋体"/>
          <w:b/>
          <w:bCs/>
          <w:color w:val="auto"/>
          <w:sz w:val="28"/>
          <w:szCs w:val="28"/>
          <w:highlight w:val="none"/>
        </w:rPr>
        <w:br w:type="page"/>
      </w:r>
      <w:bookmarkEnd w:id="80"/>
      <w:r>
        <w:rPr>
          <w:rFonts w:hint="eastAsia" w:ascii="宋体" w:hAnsi="宋体" w:eastAsia="宋体" w:cs="宋体"/>
          <w:b/>
          <w:bCs/>
          <w:snapToGrid/>
          <w:color w:val="auto"/>
          <w:kern w:val="2"/>
          <w:sz w:val="28"/>
          <w:szCs w:val="28"/>
          <w:highlight w:val="none"/>
          <w:lang w:val="en-US" w:eastAsia="zh-CN"/>
        </w:rPr>
        <w:t>7</w:t>
      </w:r>
      <w:r>
        <w:rPr>
          <w:rFonts w:hint="eastAsia" w:ascii="宋体" w:hAnsi="宋体" w:eastAsia="宋体" w:cs="宋体"/>
          <w:b/>
          <w:bCs/>
          <w:snapToGrid/>
          <w:color w:val="auto"/>
          <w:kern w:val="2"/>
          <w:sz w:val="28"/>
          <w:szCs w:val="28"/>
          <w:highlight w:val="none"/>
        </w:rPr>
        <w:t>、商务部分正负偏离表</w:t>
      </w:r>
    </w:p>
    <w:p w14:paraId="486177C9">
      <w:pPr>
        <w:shd w:val="clear"/>
        <w:ind w:firstLine="560" w:firstLineChars="20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（由供应商据实填写，表格不够自行添加）</w:t>
      </w:r>
    </w:p>
    <w:tbl>
      <w:tblPr>
        <w:tblStyle w:val="5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42B3B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0CC0E93">
            <w:pPr>
              <w:shd w:val="clear"/>
              <w:spacing w:line="340" w:lineRule="exact"/>
              <w:jc w:val="center"/>
              <w:rPr>
                <w:rFonts w:ascii="宋体" w:hAnsi="宋体" w:eastAsia="宋体" w:cs="宋体"/>
                <w:color w:val="auto"/>
                <w:sz w:val="24"/>
                <w:highlight w:val="none"/>
              </w:rPr>
            </w:pPr>
            <w:bookmarkStart w:id="81" w:name="_GoBack" w:colFirst="2" w:colLast="2"/>
            <w:r>
              <w:rPr>
                <w:rFonts w:hint="eastAsia" w:ascii="宋体" w:hAnsi="宋体" w:eastAsia="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77E7460">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2DD8923">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3AC06EFE">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574EE4C">
            <w:pPr>
              <w:shd w:val="clear"/>
              <w:spacing w:line="340" w:lineRule="exact"/>
              <w:jc w:val="center"/>
              <w:rPr>
                <w:rFonts w:ascii="宋体" w:hAnsi="宋体" w:eastAsia="宋体" w:cs="宋体"/>
                <w:color w:val="auto"/>
                <w:sz w:val="24"/>
                <w:highlight w:val="none"/>
              </w:rPr>
            </w:pPr>
          </w:p>
          <w:p w14:paraId="74C615E9">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偏离说明</w:t>
            </w:r>
          </w:p>
        </w:tc>
      </w:tr>
      <w:bookmarkEnd w:id="81"/>
      <w:tr w14:paraId="1F1D5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F8D25F9">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AB94812">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1C3EE2C">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2E27604">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90537F9">
            <w:pPr>
              <w:shd w:val="clear"/>
              <w:spacing w:line="340" w:lineRule="exact"/>
              <w:jc w:val="left"/>
              <w:rPr>
                <w:rFonts w:ascii="宋体" w:hAnsi="宋体" w:eastAsia="宋体" w:cs="宋体"/>
                <w:color w:val="auto"/>
                <w:sz w:val="24"/>
                <w:highlight w:val="none"/>
              </w:rPr>
            </w:pPr>
          </w:p>
        </w:tc>
      </w:tr>
      <w:tr w14:paraId="0509E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442F349">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53A8461B">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185A22A">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DCA9E31">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677E05A">
            <w:pPr>
              <w:shd w:val="clear"/>
              <w:spacing w:line="340" w:lineRule="exact"/>
              <w:jc w:val="left"/>
              <w:rPr>
                <w:rFonts w:ascii="宋体" w:hAnsi="宋体" w:eastAsia="宋体" w:cs="宋体"/>
                <w:color w:val="auto"/>
                <w:sz w:val="24"/>
                <w:highlight w:val="none"/>
              </w:rPr>
            </w:pPr>
          </w:p>
        </w:tc>
      </w:tr>
      <w:tr w14:paraId="3ADB1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05A8DB3">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91F8B85">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1858FF9">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AA0B21A">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BB3F0E8">
            <w:pPr>
              <w:shd w:val="clear"/>
              <w:spacing w:line="340" w:lineRule="exact"/>
              <w:jc w:val="left"/>
              <w:rPr>
                <w:rFonts w:ascii="宋体" w:hAnsi="宋体" w:eastAsia="宋体" w:cs="宋体"/>
                <w:color w:val="auto"/>
                <w:sz w:val="24"/>
                <w:highlight w:val="none"/>
              </w:rPr>
            </w:pPr>
          </w:p>
        </w:tc>
      </w:tr>
      <w:tr w14:paraId="75BB0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6065FA2">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0DDD537">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D629DBD">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C432638">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D246FE5">
            <w:pPr>
              <w:shd w:val="clear"/>
              <w:spacing w:line="340" w:lineRule="exact"/>
              <w:jc w:val="left"/>
              <w:rPr>
                <w:rFonts w:ascii="宋体" w:hAnsi="宋体" w:eastAsia="宋体" w:cs="宋体"/>
                <w:color w:val="auto"/>
                <w:sz w:val="24"/>
                <w:highlight w:val="none"/>
              </w:rPr>
            </w:pPr>
          </w:p>
        </w:tc>
      </w:tr>
    </w:tbl>
    <w:p w14:paraId="7E089DCE">
      <w:pPr>
        <w:shd w:val="clear"/>
        <w:snapToGrid w:val="0"/>
        <w:spacing w:line="300" w:lineRule="auto"/>
        <w:contextualSpacing/>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14:paraId="41C48400">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1.供应商提交的响应文件中与磋商文件第三部分“项目需求”中的商务部分的要求，如有偏离，应逐条填列在偏离表中。如为空白，则视为无偏离。</w:t>
      </w:r>
    </w:p>
    <w:p w14:paraId="4D4A84F5">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2. “偏离说明”一栏选择“正偏离”、“无偏离”、“负偏离”进行填写。正偏离、无偏离的确认和负偏离的是否响应磋商文件，由评委认定。</w:t>
      </w:r>
    </w:p>
    <w:p w14:paraId="1CF84A9D">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3.供应商如果虚假响应，将被暂停参加采购单位组织的任何采购活动。</w:t>
      </w:r>
    </w:p>
    <w:p w14:paraId="1781FA0D">
      <w:pPr>
        <w:shd w:val="clear"/>
        <w:snapToGrid w:val="0"/>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4.供应商若提供其他增值服务，可以在表中自行据实填写。</w:t>
      </w:r>
    </w:p>
    <w:p w14:paraId="13BFE651">
      <w:pPr>
        <w:shd w:val="clear"/>
        <w:snapToGrid w:val="0"/>
        <w:spacing w:line="300" w:lineRule="auto"/>
        <w:ind w:firstLine="480" w:firstLineChars="200"/>
        <w:contextualSpacing/>
        <w:rPr>
          <w:rFonts w:ascii="宋体" w:hAnsi="宋体"/>
          <w:color w:val="auto"/>
          <w:sz w:val="24"/>
          <w:szCs w:val="22"/>
          <w:highlight w:val="none"/>
        </w:rPr>
      </w:pPr>
      <w:r>
        <w:rPr>
          <w:rFonts w:hint="eastAsia" w:ascii="宋体" w:hAnsi="宋体"/>
          <w:color w:val="auto"/>
          <w:sz w:val="24"/>
          <w:szCs w:val="22"/>
          <w:highlight w:val="none"/>
        </w:rPr>
        <w:t>5.本项目不接受负偏离。</w:t>
      </w:r>
    </w:p>
    <w:p w14:paraId="295FDC7C">
      <w:pPr>
        <w:pStyle w:val="2"/>
        <w:shd w:val="clear"/>
        <w:rPr>
          <w:rFonts w:hint="default" w:eastAsia="宋体"/>
          <w:color w:val="auto"/>
          <w:highlight w:val="none"/>
          <w:lang w:val="en-US" w:eastAsia="zh-CN"/>
        </w:rPr>
      </w:pPr>
    </w:p>
    <w:p w14:paraId="4EFB20C7">
      <w:pPr>
        <w:shd w:val="clear"/>
        <w:snapToGrid w:val="0"/>
        <w:spacing w:line="360" w:lineRule="auto"/>
        <w:ind w:right="79"/>
        <w:textAlignment w:val="baseline"/>
        <w:rPr>
          <w:rFonts w:ascii="宋体" w:hAnsi="宋体" w:eastAsia="宋体" w:cs="宋体"/>
          <w:color w:val="auto"/>
          <w:sz w:val="24"/>
          <w:highlight w:val="none"/>
        </w:rPr>
      </w:pPr>
    </w:p>
    <w:p w14:paraId="37E2F482">
      <w:pPr>
        <w:shd w:val="clear"/>
        <w:snapToGrid w:val="0"/>
        <w:spacing w:line="360" w:lineRule="auto"/>
        <w:ind w:right="79"/>
        <w:textAlignment w:val="baseline"/>
        <w:rPr>
          <w:rFonts w:ascii="宋体" w:hAnsi="宋体" w:eastAsia="宋体" w:cs="宋体"/>
          <w:color w:val="auto"/>
          <w:sz w:val="24"/>
          <w:highlight w:val="none"/>
        </w:rPr>
      </w:pPr>
    </w:p>
    <w:p w14:paraId="2C3886B4">
      <w:pPr>
        <w:shd w:val="clear"/>
        <w:snapToGrid w:val="0"/>
        <w:spacing w:line="360" w:lineRule="auto"/>
        <w:ind w:right="79"/>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（单位盖章）</w:t>
      </w:r>
    </w:p>
    <w:p w14:paraId="0986F407">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color="000000"/>
        </w:rPr>
        <w:t xml:space="preserve">　            </w:t>
      </w:r>
    </w:p>
    <w:p w14:paraId="2DEDDF14">
      <w:pPr>
        <w:shd w:val="clear"/>
        <w:adjustRightInd w:val="0"/>
        <w:snapToGrid w:val="0"/>
        <w:spacing w:line="480" w:lineRule="auto"/>
        <w:jc w:val="left"/>
        <w:rPr>
          <w:color w:val="auto"/>
          <w:highlight w:val="none"/>
        </w:rPr>
      </w:pPr>
      <w:r>
        <w:rPr>
          <w:rFonts w:hint="eastAsia" w:ascii="宋体" w:hAnsi="宋体" w:eastAsia="宋体" w:cs="宋体"/>
          <w:color w:val="auto"/>
          <w:sz w:val="24"/>
          <w:highlight w:val="none"/>
        </w:rPr>
        <w:t>日期：  年  月  日</w:t>
      </w:r>
    </w:p>
    <w:p w14:paraId="46F367DF">
      <w:pPr>
        <w:shd w:val="clear"/>
        <w:rPr>
          <w:rFonts w:ascii="宋体" w:hAnsi="宋体" w:eastAsia="宋体" w:cs="宋体"/>
          <w:bCs/>
          <w:color w:val="auto"/>
          <w:sz w:val="24"/>
          <w:highlight w:val="none"/>
        </w:rPr>
      </w:pPr>
    </w:p>
    <w:p w14:paraId="6CC0DB78">
      <w:pPr>
        <w:shd w:val="clear"/>
        <w:rPr>
          <w:rFonts w:ascii="宋体" w:hAnsi="宋体" w:eastAsia="宋体" w:cs="宋体"/>
          <w:b/>
          <w:bCs/>
          <w:snapToGrid/>
          <w:color w:val="auto"/>
          <w:kern w:val="2"/>
          <w:sz w:val="28"/>
          <w:szCs w:val="28"/>
          <w:highlight w:val="none"/>
        </w:rPr>
      </w:pPr>
      <w:r>
        <w:rPr>
          <w:rFonts w:hint="eastAsia" w:ascii="宋体" w:hAnsi="宋体" w:eastAsia="宋体" w:cs="宋体"/>
          <w:b/>
          <w:bCs/>
          <w:snapToGrid/>
          <w:color w:val="auto"/>
          <w:kern w:val="2"/>
          <w:sz w:val="28"/>
          <w:szCs w:val="28"/>
          <w:highlight w:val="none"/>
        </w:rPr>
        <w:br w:type="page"/>
      </w:r>
    </w:p>
    <w:p w14:paraId="714BE7D0">
      <w:pPr>
        <w:shd w:val="clear"/>
        <w:snapToGrid w:val="0"/>
        <w:spacing w:line="300" w:lineRule="auto"/>
        <w:contextualSpacing/>
        <w:jc w:val="center"/>
        <w:rPr>
          <w:rFonts w:ascii="宋体" w:hAnsi="宋体" w:eastAsia="宋体" w:cs="宋体"/>
          <w:b/>
          <w:bCs/>
          <w:snapToGrid/>
          <w:color w:val="auto"/>
          <w:kern w:val="2"/>
          <w:sz w:val="28"/>
          <w:szCs w:val="28"/>
          <w:highlight w:val="none"/>
        </w:rPr>
      </w:pPr>
      <w:r>
        <w:rPr>
          <w:rFonts w:hint="eastAsia" w:ascii="宋体" w:hAnsi="宋体" w:eastAsia="宋体" w:cs="宋体"/>
          <w:b/>
          <w:bCs/>
          <w:snapToGrid/>
          <w:color w:val="auto"/>
          <w:kern w:val="2"/>
          <w:sz w:val="28"/>
          <w:szCs w:val="28"/>
          <w:highlight w:val="none"/>
          <w:lang w:val="en-US" w:eastAsia="zh-CN"/>
        </w:rPr>
        <w:t>8</w:t>
      </w:r>
      <w:r>
        <w:rPr>
          <w:rFonts w:hint="eastAsia" w:ascii="宋体" w:hAnsi="宋体" w:eastAsia="宋体" w:cs="宋体"/>
          <w:b/>
          <w:bCs/>
          <w:snapToGrid/>
          <w:color w:val="auto"/>
          <w:kern w:val="2"/>
          <w:sz w:val="28"/>
          <w:szCs w:val="28"/>
          <w:highlight w:val="none"/>
        </w:rPr>
        <w:t>、技术部分正负偏离表</w:t>
      </w:r>
    </w:p>
    <w:p w14:paraId="48337B00">
      <w:pPr>
        <w:shd w:val="clear"/>
        <w:ind w:firstLine="560" w:firstLineChars="20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（由供应商据实填写，表格不够自行添加）</w:t>
      </w:r>
    </w:p>
    <w:tbl>
      <w:tblPr>
        <w:tblStyle w:val="5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5FCAF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92FBFA0">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E87A2A1">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550284B">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BBAEAC1">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32938D7">
            <w:pPr>
              <w:shd w:val="clear"/>
              <w:spacing w:line="340" w:lineRule="exact"/>
              <w:jc w:val="center"/>
              <w:rPr>
                <w:rFonts w:ascii="宋体" w:hAnsi="宋体" w:eastAsia="宋体" w:cs="宋体"/>
                <w:color w:val="auto"/>
                <w:sz w:val="24"/>
                <w:highlight w:val="none"/>
              </w:rPr>
            </w:pPr>
          </w:p>
          <w:p w14:paraId="036220A1">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72C70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44DE13B">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661AD2C">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4D0CDE4">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1676F02">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2EEAD24">
            <w:pPr>
              <w:shd w:val="clear"/>
              <w:spacing w:line="340" w:lineRule="exact"/>
              <w:jc w:val="left"/>
              <w:rPr>
                <w:rFonts w:ascii="宋体" w:hAnsi="宋体" w:eastAsia="宋体" w:cs="宋体"/>
                <w:color w:val="auto"/>
                <w:sz w:val="24"/>
                <w:highlight w:val="none"/>
              </w:rPr>
            </w:pPr>
          </w:p>
        </w:tc>
      </w:tr>
      <w:tr w14:paraId="1EFC9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BD10652">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DA6D880">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6467CE3">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EF63B23">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45ED185">
            <w:pPr>
              <w:shd w:val="clear"/>
              <w:spacing w:line="340" w:lineRule="exact"/>
              <w:jc w:val="left"/>
              <w:rPr>
                <w:rFonts w:ascii="宋体" w:hAnsi="宋体" w:eastAsia="宋体" w:cs="宋体"/>
                <w:color w:val="auto"/>
                <w:sz w:val="24"/>
                <w:highlight w:val="none"/>
              </w:rPr>
            </w:pPr>
          </w:p>
        </w:tc>
      </w:tr>
      <w:tr w14:paraId="0B70C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9BB5BF4">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3810094">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392FE56">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712C543">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893E731">
            <w:pPr>
              <w:shd w:val="clear"/>
              <w:spacing w:line="340" w:lineRule="exact"/>
              <w:jc w:val="left"/>
              <w:rPr>
                <w:rFonts w:ascii="宋体" w:hAnsi="宋体" w:eastAsia="宋体" w:cs="宋体"/>
                <w:color w:val="auto"/>
                <w:sz w:val="24"/>
                <w:highlight w:val="none"/>
              </w:rPr>
            </w:pPr>
          </w:p>
        </w:tc>
      </w:tr>
      <w:tr w14:paraId="5EEF8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1F74DEC">
            <w:pPr>
              <w:shd w:val="clear"/>
              <w:spacing w:line="3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512FEC9">
            <w:pPr>
              <w:shd w:val="clear"/>
              <w:spacing w:line="340" w:lineRule="exact"/>
              <w:jc w:val="left"/>
              <w:rPr>
                <w:rFonts w:ascii="宋体" w:hAnsi="宋体" w:eastAsia="宋体" w:cs="宋体"/>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7F249AC">
            <w:pPr>
              <w:shd w:val="clear"/>
              <w:spacing w:line="340" w:lineRule="exact"/>
              <w:jc w:val="left"/>
              <w:rPr>
                <w:rFonts w:ascii="宋体" w:hAnsi="宋体" w:eastAsia="宋体" w:cs="宋体"/>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AC36CA2">
            <w:pPr>
              <w:shd w:val="clear"/>
              <w:spacing w:line="340" w:lineRule="exact"/>
              <w:jc w:val="left"/>
              <w:rPr>
                <w:rFonts w:ascii="宋体" w:hAnsi="宋体" w:eastAsia="宋体" w:cs="宋体"/>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6A89971">
            <w:pPr>
              <w:shd w:val="clear"/>
              <w:spacing w:line="340" w:lineRule="exact"/>
              <w:jc w:val="left"/>
              <w:rPr>
                <w:rFonts w:ascii="宋体" w:hAnsi="宋体" w:eastAsia="宋体" w:cs="宋体"/>
                <w:color w:val="auto"/>
                <w:sz w:val="24"/>
                <w:highlight w:val="none"/>
              </w:rPr>
            </w:pPr>
          </w:p>
        </w:tc>
      </w:tr>
    </w:tbl>
    <w:p w14:paraId="74E29C13">
      <w:pPr>
        <w:shd w:val="clear"/>
        <w:snapToGrid w:val="0"/>
        <w:spacing w:line="300" w:lineRule="auto"/>
        <w:contextualSpacing/>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14:paraId="0E098D8B">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1.供应商提交的响应文件中与磋商文件第三部分“项目需求”中的技术部分的要求，如有偏离，应逐条填列在偏离表中。如为空白，则视为无偏离。</w:t>
      </w:r>
    </w:p>
    <w:p w14:paraId="698ED11F">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2. “偏离说明”一栏选择“正偏离”、“无偏离”、“负偏离”进行填写。正偏离、无偏离的确认和负偏离的是否响应磋商文件，由评委认定。</w:t>
      </w:r>
    </w:p>
    <w:p w14:paraId="5FB44A0F">
      <w:pPr>
        <w:shd w:val="clear"/>
        <w:snapToGrid w:val="0"/>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3.供应商如果虚假响应，将被暂停参加采购单位组织的任何采购活动。</w:t>
      </w:r>
    </w:p>
    <w:p w14:paraId="57AD7C8E">
      <w:pPr>
        <w:shd w:val="clear"/>
        <w:snapToGrid w:val="0"/>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4.供应商若提供其他增值服务，可以在表中自行据实填写。</w:t>
      </w:r>
    </w:p>
    <w:p w14:paraId="29211EA0">
      <w:pPr>
        <w:shd w:val="clear"/>
        <w:snapToGrid w:val="0"/>
        <w:spacing w:line="300" w:lineRule="auto"/>
        <w:ind w:firstLine="480" w:firstLineChars="200"/>
        <w:contextualSpacing/>
        <w:rPr>
          <w:rFonts w:ascii="宋体" w:hAnsi="宋体"/>
          <w:color w:val="auto"/>
          <w:sz w:val="24"/>
          <w:szCs w:val="22"/>
          <w:highlight w:val="none"/>
        </w:rPr>
      </w:pPr>
      <w:r>
        <w:rPr>
          <w:rFonts w:hint="eastAsia" w:ascii="宋体" w:hAnsi="宋体"/>
          <w:color w:val="auto"/>
          <w:sz w:val="24"/>
          <w:szCs w:val="22"/>
          <w:highlight w:val="none"/>
        </w:rPr>
        <w:t>5.本项目不接受负偏离。</w:t>
      </w:r>
    </w:p>
    <w:p w14:paraId="1A3B8D6A">
      <w:pPr>
        <w:pStyle w:val="52"/>
        <w:shd w:val="clear"/>
        <w:rPr>
          <w:color w:val="auto"/>
          <w:highlight w:val="none"/>
        </w:rPr>
      </w:pPr>
    </w:p>
    <w:p w14:paraId="7C765F7B">
      <w:pPr>
        <w:shd w:val="clear"/>
        <w:snapToGrid w:val="0"/>
        <w:spacing w:line="360" w:lineRule="auto"/>
        <w:ind w:right="79"/>
        <w:textAlignment w:val="baseline"/>
        <w:rPr>
          <w:rFonts w:ascii="宋体" w:hAnsi="宋体" w:eastAsia="宋体" w:cs="宋体"/>
          <w:color w:val="auto"/>
          <w:sz w:val="24"/>
          <w:highlight w:val="none"/>
        </w:rPr>
      </w:pPr>
    </w:p>
    <w:p w14:paraId="69598EC6">
      <w:pPr>
        <w:shd w:val="clear"/>
        <w:snapToGrid w:val="0"/>
        <w:spacing w:line="360" w:lineRule="auto"/>
        <w:ind w:right="79"/>
        <w:textAlignment w:val="baseline"/>
        <w:rPr>
          <w:rFonts w:ascii="宋体" w:hAnsi="宋体" w:eastAsia="宋体" w:cs="宋体"/>
          <w:color w:val="auto"/>
          <w:sz w:val="24"/>
          <w:highlight w:val="none"/>
        </w:rPr>
      </w:pPr>
    </w:p>
    <w:p w14:paraId="34DD994C">
      <w:pPr>
        <w:shd w:val="clear"/>
        <w:snapToGrid w:val="0"/>
        <w:spacing w:line="360" w:lineRule="auto"/>
        <w:ind w:right="79"/>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（单位盖章）</w:t>
      </w:r>
    </w:p>
    <w:p w14:paraId="373FCD2C">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color="000000"/>
        </w:rPr>
        <w:t xml:space="preserve">　            </w:t>
      </w:r>
    </w:p>
    <w:p w14:paraId="20CE671B">
      <w:pPr>
        <w:shd w:val="clear"/>
        <w:adjustRightInd w:val="0"/>
        <w:snapToGrid w:val="0"/>
        <w:spacing w:line="480" w:lineRule="auto"/>
        <w:jc w:val="left"/>
        <w:rPr>
          <w:color w:val="auto"/>
          <w:highlight w:val="none"/>
        </w:rPr>
      </w:pPr>
      <w:r>
        <w:rPr>
          <w:rFonts w:hint="eastAsia" w:ascii="宋体" w:hAnsi="宋体" w:eastAsia="宋体" w:cs="宋体"/>
          <w:color w:val="auto"/>
          <w:sz w:val="24"/>
          <w:highlight w:val="none"/>
        </w:rPr>
        <w:t>日期：  年  月  日</w:t>
      </w:r>
    </w:p>
    <w:p w14:paraId="79719578">
      <w:pPr>
        <w:shd w:val="clear"/>
        <w:snapToGrid w:val="0"/>
        <w:spacing w:line="520" w:lineRule="exact"/>
        <w:jc w:val="center"/>
        <w:outlineLvl w:val="2"/>
        <w:rPr>
          <w:rFonts w:ascii="宋体"/>
          <w:b/>
          <w:bCs/>
          <w:color w:val="auto"/>
          <w:sz w:val="28"/>
          <w:szCs w:val="28"/>
          <w:highlight w:val="none"/>
        </w:rPr>
      </w:pPr>
      <w:r>
        <w:rPr>
          <w:rFonts w:ascii="宋体" w:hAnsi="宋体" w:cs="宋体"/>
          <w:b/>
          <w:bCs/>
          <w:color w:val="auto"/>
          <w:sz w:val="32"/>
          <w:szCs w:val="32"/>
          <w:highlight w:val="none"/>
        </w:rPr>
        <w:br w:type="page"/>
      </w:r>
    </w:p>
    <w:p w14:paraId="26E3C5D0">
      <w:pPr>
        <w:shd w:val="clear"/>
        <w:spacing w:line="360" w:lineRule="auto"/>
        <w:jc w:val="center"/>
        <w:rPr>
          <w:rFonts w:ascii="宋体"/>
          <w:b/>
          <w:bCs/>
          <w:color w:val="auto"/>
          <w:sz w:val="28"/>
          <w:szCs w:val="28"/>
          <w:highlight w:val="none"/>
        </w:rPr>
      </w:pPr>
      <w:r>
        <w:rPr>
          <w:rFonts w:hint="eastAsia" w:ascii="宋体" w:hAnsi="宋体" w:cs="宋体"/>
          <w:b/>
          <w:bCs/>
          <w:color w:val="auto"/>
          <w:sz w:val="28"/>
          <w:szCs w:val="28"/>
          <w:highlight w:val="none"/>
        </w:rPr>
        <w:t>9、磋商响应报价表</w:t>
      </w:r>
    </w:p>
    <w:p w14:paraId="78F8AF92">
      <w:pPr>
        <w:shd w:val="clear"/>
        <w:spacing w:line="360" w:lineRule="auto"/>
        <w:jc w:val="left"/>
        <w:rPr>
          <w:rFonts w:hint="default"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项目名称：</w:t>
      </w:r>
    </w:p>
    <w:tbl>
      <w:tblPr>
        <w:tblStyle w:val="5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785"/>
        <w:gridCol w:w="1796"/>
        <w:gridCol w:w="1593"/>
        <w:gridCol w:w="1525"/>
      </w:tblGrid>
      <w:tr w14:paraId="5B1A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217DE9A4">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2785" w:type="dxa"/>
            <w:vAlign w:val="center"/>
          </w:tcPr>
          <w:p w14:paraId="1BEA3678">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项目名称</w:t>
            </w:r>
          </w:p>
        </w:tc>
        <w:tc>
          <w:tcPr>
            <w:tcW w:w="1796" w:type="dxa"/>
            <w:vAlign w:val="center"/>
          </w:tcPr>
          <w:p w14:paraId="54054967">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center"/>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招标限价</w:t>
            </w:r>
          </w:p>
        </w:tc>
        <w:tc>
          <w:tcPr>
            <w:tcW w:w="1593" w:type="dxa"/>
            <w:vAlign w:val="center"/>
          </w:tcPr>
          <w:p w14:paraId="147C356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left"/>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磋商响应首次报价（元）</w:t>
            </w:r>
          </w:p>
        </w:tc>
        <w:tc>
          <w:tcPr>
            <w:tcW w:w="1525" w:type="dxa"/>
            <w:vAlign w:val="center"/>
          </w:tcPr>
          <w:p w14:paraId="4503485A">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00" w:lineRule="exact"/>
              <w:jc w:val="left"/>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磋商响应终次报价（元）</w:t>
            </w:r>
          </w:p>
        </w:tc>
      </w:tr>
      <w:tr w14:paraId="123D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193005F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1</w:t>
            </w:r>
          </w:p>
        </w:tc>
        <w:tc>
          <w:tcPr>
            <w:tcW w:w="2785" w:type="dxa"/>
            <w:vAlign w:val="center"/>
          </w:tcPr>
          <w:p w14:paraId="0C06AE5B">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rPr>
              <w:t>南通市行政中心部分会议室会议设备补充更新项</w:t>
            </w:r>
            <w:r>
              <w:rPr>
                <w:rFonts w:hint="eastAsia" w:ascii="宋体" w:hAnsi="宋体" w:cs="宋体"/>
                <w:color w:val="auto"/>
                <w:highlight w:val="none"/>
                <w:vertAlign w:val="baseline"/>
                <w:lang w:val="en-US" w:eastAsia="zh-CN"/>
              </w:rPr>
              <w:t>目</w:t>
            </w:r>
          </w:p>
        </w:tc>
        <w:tc>
          <w:tcPr>
            <w:tcW w:w="1796" w:type="dxa"/>
            <w:shd w:val="clear" w:color="auto" w:fill="auto"/>
            <w:vAlign w:val="center"/>
          </w:tcPr>
          <w:p w14:paraId="53E16FFC">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10958.00</w:t>
            </w:r>
          </w:p>
        </w:tc>
        <w:tc>
          <w:tcPr>
            <w:tcW w:w="1593" w:type="dxa"/>
            <w:vAlign w:val="center"/>
          </w:tcPr>
          <w:p w14:paraId="5D67E03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rPr>
            </w:pPr>
          </w:p>
        </w:tc>
        <w:tc>
          <w:tcPr>
            <w:tcW w:w="1525" w:type="dxa"/>
            <w:vAlign w:val="center"/>
          </w:tcPr>
          <w:p w14:paraId="12A06A1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rPr>
            </w:pPr>
          </w:p>
        </w:tc>
      </w:tr>
      <w:tr w14:paraId="6F18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6E7492E1">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2</w:t>
            </w:r>
          </w:p>
        </w:tc>
        <w:tc>
          <w:tcPr>
            <w:tcW w:w="2785" w:type="dxa"/>
            <w:vAlign w:val="center"/>
          </w:tcPr>
          <w:p w14:paraId="19E29C10">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eastAsia="zh-CN"/>
              </w:rPr>
            </w:pPr>
            <w:r>
              <w:rPr>
                <w:rFonts w:hint="eastAsia" w:ascii="宋体" w:hAnsi="宋体" w:cs="宋体"/>
                <w:color w:val="auto"/>
                <w:highlight w:val="none"/>
                <w:vertAlign w:val="baseline"/>
              </w:rPr>
              <w:t>南通市信访局接待中心房屋整修</w:t>
            </w:r>
            <w:r>
              <w:rPr>
                <w:rFonts w:hint="eastAsia" w:ascii="宋体" w:hAnsi="宋体" w:cs="宋体"/>
                <w:color w:val="auto"/>
                <w:highlight w:val="none"/>
                <w:shd w:val="clear" w:color="FFFFFF" w:fill="D9D9D9"/>
                <w:vertAlign w:val="baseline"/>
                <w:lang w:eastAsia="zh-CN"/>
              </w:rPr>
              <w:t>工程</w:t>
            </w:r>
          </w:p>
        </w:tc>
        <w:tc>
          <w:tcPr>
            <w:tcW w:w="1796" w:type="dxa"/>
            <w:shd w:val="clear" w:color="auto" w:fill="auto"/>
            <w:vAlign w:val="center"/>
          </w:tcPr>
          <w:p w14:paraId="3C92A49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13700.00</w:t>
            </w:r>
          </w:p>
        </w:tc>
        <w:tc>
          <w:tcPr>
            <w:tcW w:w="1593" w:type="dxa"/>
            <w:vAlign w:val="center"/>
          </w:tcPr>
          <w:p w14:paraId="282525DA">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3DC9A516">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66E8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42941E03">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3</w:t>
            </w:r>
          </w:p>
        </w:tc>
        <w:tc>
          <w:tcPr>
            <w:tcW w:w="2785" w:type="dxa"/>
            <w:vAlign w:val="center"/>
          </w:tcPr>
          <w:p w14:paraId="387E2BD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南通市信访接待中心大门车牌及人脸识别道闸采购及安装项目</w:t>
            </w:r>
          </w:p>
        </w:tc>
        <w:tc>
          <w:tcPr>
            <w:tcW w:w="1796" w:type="dxa"/>
            <w:shd w:val="clear" w:color="auto" w:fill="auto"/>
            <w:vAlign w:val="center"/>
          </w:tcPr>
          <w:p w14:paraId="597AFA7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19666.80</w:t>
            </w:r>
          </w:p>
        </w:tc>
        <w:tc>
          <w:tcPr>
            <w:tcW w:w="1593" w:type="dxa"/>
            <w:vAlign w:val="center"/>
          </w:tcPr>
          <w:p w14:paraId="4C9BAC31">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0158885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1F10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51BB3976">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4</w:t>
            </w:r>
          </w:p>
        </w:tc>
        <w:tc>
          <w:tcPr>
            <w:tcW w:w="2785" w:type="dxa"/>
            <w:vAlign w:val="center"/>
          </w:tcPr>
          <w:p w14:paraId="3EBD33CC">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南通市政务中心立体停车设备电机更新项目</w:t>
            </w:r>
          </w:p>
        </w:tc>
        <w:tc>
          <w:tcPr>
            <w:tcW w:w="1796" w:type="dxa"/>
            <w:shd w:val="clear" w:color="auto" w:fill="auto"/>
            <w:vAlign w:val="center"/>
          </w:tcPr>
          <w:p w14:paraId="33D5EB3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13200.00</w:t>
            </w:r>
          </w:p>
        </w:tc>
        <w:tc>
          <w:tcPr>
            <w:tcW w:w="1593" w:type="dxa"/>
            <w:vAlign w:val="center"/>
          </w:tcPr>
          <w:p w14:paraId="2AB72489">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3189979E">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6BCC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5E7206E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5</w:t>
            </w:r>
          </w:p>
        </w:tc>
        <w:tc>
          <w:tcPr>
            <w:tcW w:w="2785" w:type="dxa"/>
            <w:vAlign w:val="center"/>
          </w:tcPr>
          <w:p w14:paraId="7D418FA8">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hint="eastAsia" w:ascii="宋体" w:hAnsi="宋体" w:eastAsia="宋体" w:cs="宋体"/>
                <w:color w:val="auto"/>
                <w:highlight w:val="none"/>
                <w:vertAlign w:val="baseline"/>
                <w:lang w:eastAsia="zh-CN"/>
              </w:rPr>
            </w:pPr>
            <w:r>
              <w:rPr>
                <w:rFonts w:hint="eastAsia" w:ascii="宋体" w:hAnsi="宋体" w:cs="宋体"/>
                <w:color w:val="auto"/>
                <w:highlight w:val="none"/>
                <w:vertAlign w:val="baseline"/>
              </w:rPr>
              <w:t>南通市政务中心应急照明及疏散指示系统更换</w:t>
            </w:r>
            <w:r>
              <w:rPr>
                <w:rFonts w:hint="eastAsia" w:ascii="宋体" w:hAnsi="宋体" w:cs="宋体"/>
                <w:color w:val="auto"/>
                <w:highlight w:val="none"/>
                <w:vertAlign w:val="baseline"/>
                <w:lang w:eastAsia="zh-CN"/>
              </w:rPr>
              <w:t>项目</w:t>
            </w:r>
          </w:p>
        </w:tc>
        <w:tc>
          <w:tcPr>
            <w:tcW w:w="1796" w:type="dxa"/>
            <w:shd w:val="clear" w:color="auto" w:fill="auto"/>
            <w:vAlign w:val="center"/>
          </w:tcPr>
          <w:p w14:paraId="6FC543F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9800.00</w:t>
            </w:r>
          </w:p>
        </w:tc>
        <w:tc>
          <w:tcPr>
            <w:tcW w:w="1593" w:type="dxa"/>
            <w:vAlign w:val="center"/>
          </w:tcPr>
          <w:p w14:paraId="1511C3E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2F7D46E3">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3DB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799F0914">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6</w:t>
            </w:r>
          </w:p>
        </w:tc>
        <w:tc>
          <w:tcPr>
            <w:tcW w:w="2785" w:type="dxa"/>
            <w:vAlign w:val="center"/>
          </w:tcPr>
          <w:p w14:paraId="03F41A3B">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南通市图书馆及综合服务中心档案库房恒温</w:t>
            </w:r>
            <w:r>
              <w:rPr>
                <w:rFonts w:hint="eastAsia" w:ascii="宋体" w:hAnsi="宋体" w:cs="宋体"/>
                <w:color w:val="auto"/>
                <w:highlight w:val="none"/>
                <w:shd w:val="clear" w:color="FFFFFF" w:fill="D9D9D9"/>
                <w:vertAlign w:val="baseline"/>
              </w:rPr>
              <w:t>恒湿</w:t>
            </w:r>
            <w:r>
              <w:rPr>
                <w:rFonts w:hint="eastAsia" w:ascii="宋体" w:hAnsi="宋体" w:cs="宋体"/>
                <w:color w:val="auto"/>
                <w:highlight w:val="none"/>
                <w:shd w:val="clear" w:color="FFFFFF" w:fill="D9D9D9"/>
                <w:vertAlign w:val="baseline"/>
                <w:lang w:eastAsia="zh-CN"/>
              </w:rPr>
              <w:t>机组改造</w:t>
            </w:r>
            <w:r>
              <w:rPr>
                <w:rFonts w:hint="eastAsia" w:ascii="宋体" w:hAnsi="宋体" w:cs="宋体"/>
                <w:color w:val="auto"/>
                <w:highlight w:val="none"/>
                <w:vertAlign w:val="baseline"/>
              </w:rPr>
              <w:t>项目</w:t>
            </w:r>
          </w:p>
        </w:tc>
        <w:tc>
          <w:tcPr>
            <w:tcW w:w="1796" w:type="dxa"/>
            <w:shd w:val="clear" w:color="auto" w:fill="auto"/>
            <w:vAlign w:val="center"/>
          </w:tcPr>
          <w:p w14:paraId="12425FFF">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23800.00</w:t>
            </w:r>
          </w:p>
        </w:tc>
        <w:tc>
          <w:tcPr>
            <w:tcW w:w="1593" w:type="dxa"/>
            <w:vAlign w:val="center"/>
          </w:tcPr>
          <w:p w14:paraId="10F37A95">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0BC5E2C4">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529B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14:paraId="2BFE1633">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7</w:t>
            </w:r>
          </w:p>
        </w:tc>
        <w:tc>
          <w:tcPr>
            <w:tcW w:w="2785" w:type="dxa"/>
            <w:vAlign w:val="center"/>
          </w:tcPr>
          <w:p w14:paraId="5B028889">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both"/>
              <w:textAlignment w:val="auto"/>
              <w:rPr>
                <w:rFonts w:ascii="宋体" w:hAnsi="宋体" w:cs="宋体"/>
                <w:color w:val="auto"/>
                <w:highlight w:val="none"/>
                <w:vertAlign w:val="baseline"/>
              </w:rPr>
            </w:pPr>
            <w:r>
              <w:rPr>
                <w:rFonts w:hint="eastAsia" w:ascii="宋体" w:hAnsi="宋体" w:cs="宋体"/>
                <w:color w:val="auto"/>
                <w:highlight w:val="none"/>
                <w:vertAlign w:val="baseline"/>
              </w:rPr>
              <w:t>南通市图书馆及综合服务中心档案库房整修项目</w:t>
            </w:r>
          </w:p>
        </w:tc>
        <w:tc>
          <w:tcPr>
            <w:tcW w:w="1796" w:type="dxa"/>
            <w:shd w:val="clear" w:color="auto" w:fill="auto"/>
            <w:vAlign w:val="center"/>
          </w:tcPr>
          <w:p w14:paraId="07238EA2">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highlight w:val="none"/>
                <w:vertAlign w:val="baseline"/>
                <w:lang w:val="en-US" w:eastAsia="zh-CN"/>
              </w:rPr>
              <w:t>12400.00</w:t>
            </w:r>
          </w:p>
        </w:tc>
        <w:tc>
          <w:tcPr>
            <w:tcW w:w="1593" w:type="dxa"/>
            <w:vAlign w:val="center"/>
          </w:tcPr>
          <w:p w14:paraId="0C692098">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c>
          <w:tcPr>
            <w:tcW w:w="1525" w:type="dxa"/>
            <w:vAlign w:val="center"/>
          </w:tcPr>
          <w:p w14:paraId="1F6DB9C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eastAsia="宋体" w:cs="宋体"/>
                <w:color w:val="auto"/>
                <w:highlight w:val="none"/>
                <w:vertAlign w:val="baseline"/>
                <w:lang w:val="en-US" w:eastAsia="zh-CN"/>
              </w:rPr>
            </w:pPr>
          </w:p>
        </w:tc>
      </w:tr>
      <w:tr w14:paraId="14A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6" w:type="dxa"/>
            <w:gridSpan w:val="2"/>
            <w:vAlign w:val="center"/>
          </w:tcPr>
          <w:p w14:paraId="48B7A1DC">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eastAsia" w:ascii="宋体" w:hAnsi="宋体" w:eastAsia="宋体" w:cs="宋体"/>
                <w:color w:val="auto"/>
                <w:highlight w:val="none"/>
                <w:vertAlign w:val="baseline"/>
                <w:lang w:val="en-US" w:eastAsia="zh-CN"/>
              </w:rPr>
            </w:pPr>
            <w:r>
              <w:rPr>
                <w:rFonts w:hint="eastAsia" w:ascii="宋体" w:hAnsi="宋体" w:cs="宋体"/>
                <w:color w:val="auto"/>
                <w:highlight w:val="none"/>
                <w:vertAlign w:val="baseline"/>
                <w:lang w:val="en-US" w:eastAsia="zh-CN"/>
              </w:rPr>
              <w:t>合计</w:t>
            </w:r>
          </w:p>
        </w:tc>
        <w:tc>
          <w:tcPr>
            <w:tcW w:w="1796" w:type="dxa"/>
            <w:vAlign w:val="center"/>
          </w:tcPr>
          <w:p w14:paraId="6506128B">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eastAsia="zh-CN"/>
              </w:rPr>
            </w:pPr>
            <w:r>
              <w:rPr>
                <w:rFonts w:hint="eastAsia" w:ascii="宋体" w:hAnsi="宋体" w:cs="宋体"/>
                <w:color w:val="auto"/>
                <w:highlight w:val="none"/>
                <w:vertAlign w:val="baseline"/>
                <w:lang w:val="en-US" w:eastAsia="zh-CN"/>
              </w:rPr>
              <w:t>103524.80</w:t>
            </w:r>
          </w:p>
        </w:tc>
        <w:tc>
          <w:tcPr>
            <w:tcW w:w="1593" w:type="dxa"/>
            <w:shd w:val="clear" w:color="auto" w:fill="auto"/>
            <w:vAlign w:val="center"/>
          </w:tcPr>
          <w:p w14:paraId="2E06C52D">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color w:val="auto"/>
                <w:kern w:val="2"/>
                <w:sz w:val="24"/>
                <w:szCs w:val="24"/>
                <w:highlight w:val="none"/>
                <w:vertAlign w:val="baseline"/>
                <w:lang w:val="en-US" w:eastAsia="zh-CN" w:bidi="ar-SA"/>
              </w:rPr>
            </w:pPr>
          </w:p>
        </w:tc>
        <w:tc>
          <w:tcPr>
            <w:tcW w:w="1525" w:type="dxa"/>
            <w:vAlign w:val="center"/>
          </w:tcPr>
          <w:p w14:paraId="30033F04">
            <w:pPr>
              <w:pStyle w:val="52"/>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jc w:val="center"/>
              <w:textAlignment w:val="auto"/>
              <w:rPr>
                <w:rFonts w:hint="default" w:ascii="宋体" w:hAnsi="宋体" w:cs="宋体"/>
                <w:color w:val="auto"/>
                <w:highlight w:val="none"/>
                <w:vertAlign w:val="baseline"/>
                <w:lang w:val="en-US" w:eastAsia="zh-CN"/>
              </w:rPr>
            </w:pPr>
          </w:p>
        </w:tc>
      </w:tr>
    </w:tbl>
    <w:p w14:paraId="55C7332B">
      <w:pPr>
        <w:shd w:val="clear"/>
        <w:kinsoku w:val="0"/>
        <w:topLinePunct/>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竞争性磋商响应单位：（盖章）</w:t>
      </w:r>
      <w:r>
        <w:rPr>
          <w:rFonts w:ascii="宋体" w:hAnsi="宋体" w:cs="宋体"/>
          <w:color w:val="auto"/>
          <w:sz w:val="24"/>
          <w:szCs w:val="24"/>
          <w:highlight w:val="none"/>
        </w:rPr>
        <w:t xml:space="preserve">             </w:t>
      </w:r>
    </w:p>
    <w:p w14:paraId="66EFC3FB">
      <w:pPr>
        <w:shd w:val="clear"/>
        <w:kinsoku w:val="0"/>
        <w:topLinePunct/>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法定代表人或被授权人（签字或盖章）：</w:t>
      </w:r>
    </w:p>
    <w:p w14:paraId="1E32F01C">
      <w:pPr>
        <w:shd w:val="clear"/>
        <w:kinsoku w:val="0"/>
        <w:topLinePunct/>
        <w:snapToGrid w:val="0"/>
        <w:spacing w:line="520" w:lineRule="exact"/>
        <w:rPr>
          <w:rFonts w:ascii="宋体"/>
          <w:color w:val="auto"/>
          <w:sz w:val="24"/>
          <w:szCs w:val="24"/>
          <w:highlight w:val="none"/>
        </w:rPr>
      </w:pPr>
      <w:r>
        <w:rPr>
          <w:rFonts w:hint="eastAsia" w:ascii="宋体" w:hAnsi="宋体" w:cs="宋体"/>
          <w:color w:val="auto"/>
          <w:sz w:val="24"/>
          <w:szCs w:val="24"/>
          <w:highlight w:val="none"/>
        </w:rPr>
        <w:t>日期：</w:t>
      </w:r>
    </w:p>
    <w:p w14:paraId="39C7EEA9">
      <w:pPr>
        <w:shd w:val="clear"/>
        <w:snapToGrid w:val="0"/>
        <w:spacing w:line="360" w:lineRule="auto"/>
        <w:ind w:firstLine="241" w:firstLineChars="100"/>
        <w:rPr>
          <w:rFonts w:hint="eastAsia" w:hAnsi="宋体" w:eastAsia="宋体"/>
          <w:b/>
          <w:color w:val="FF0000"/>
          <w:sz w:val="24"/>
          <w:highlight w:val="none"/>
          <w:lang w:eastAsia="zh-CN"/>
        </w:rPr>
      </w:pPr>
      <w:r>
        <w:rPr>
          <w:rFonts w:hint="eastAsia" w:hAnsi="宋体"/>
          <w:b/>
          <w:color w:val="auto"/>
          <w:sz w:val="24"/>
          <w:highlight w:val="none"/>
        </w:rPr>
        <w:t>注：1、最终总价</w:t>
      </w:r>
      <w:r>
        <w:rPr>
          <w:rFonts w:hint="eastAsia" w:hAnsi="宋体"/>
          <w:b/>
          <w:color w:val="auto"/>
          <w:sz w:val="24"/>
          <w:highlight w:val="none"/>
          <w:lang w:eastAsia="zh-CN"/>
        </w:rPr>
        <w:t>和</w:t>
      </w:r>
      <w:r>
        <w:rPr>
          <w:rFonts w:hint="eastAsia" w:hAnsi="宋体"/>
          <w:b/>
          <w:color w:val="auto"/>
          <w:sz w:val="24"/>
          <w:highlight w:val="none"/>
          <w:lang w:val="en-US" w:eastAsia="zh-CN"/>
        </w:rPr>
        <w:t>最终</w:t>
      </w:r>
      <w:r>
        <w:rPr>
          <w:rFonts w:hint="eastAsia" w:hAnsi="宋体"/>
          <w:b/>
          <w:color w:val="auto"/>
          <w:sz w:val="24"/>
          <w:highlight w:val="none"/>
          <w:lang w:eastAsia="zh-CN"/>
        </w:rPr>
        <w:t>分项</w:t>
      </w:r>
      <w:r>
        <w:rPr>
          <w:rFonts w:hint="eastAsia" w:hAnsi="宋体"/>
          <w:b/>
          <w:color w:val="auto"/>
          <w:sz w:val="24"/>
          <w:highlight w:val="none"/>
        </w:rPr>
        <w:t>报价将在磋商现场填写，响应文件密封提交时需填写首次磋商总价报价</w:t>
      </w:r>
      <w:r>
        <w:rPr>
          <w:rFonts w:hint="eastAsia" w:hAnsi="宋体"/>
          <w:b/>
          <w:color w:val="auto"/>
          <w:sz w:val="24"/>
          <w:highlight w:val="none"/>
          <w:lang w:val="en-US" w:eastAsia="zh-CN"/>
        </w:rPr>
        <w:t>和</w:t>
      </w:r>
      <w:r>
        <w:rPr>
          <w:rFonts w:hint="eastAsia" w:hAnsi="宋体"/>
          <w:b/>
          <w:color w:val="auto"/>
          <w:sz w:val="24"/>
          <w:highlight w:val="none"/>
          <w:lang w:eastAsia="zh-CN"/>
        </w:rPr>
        <w:t>磋商首次分项</w:t>
      </w:r>
      <w:r>
        <w:rPr>
          <w:rFonts w:hint="eastAsia" w:hAnsi="宋体"/>
          <w:b/>
          <w:color w:val="auto"/>
          <w:sz w:val="24"/>
          <w:highlight w:val="none"/>
        </w:rPr>
        <w:t>报价。</w:t>
      </w:r>
      <w:r>
        <w:rPr>
          <w:rFonts w:hint="eastAsia" w:hAnsi="宋体"/>
          <w:b/>
          <w:color w:val="FF0000"/>
          <w:sz w:val="24"/>
          <w:highlight w:val="none"/>
          <w:lang w:eastAsia="zh-CN"/>
        </w:rPr>
        <w:t>（</w:t>
      </w:r>
      <w:r>
        <w:rPr>
          <w:rFonts w:hint="eastAsia" w:hAnsi="宋体"/>
          <w:b/>
          <w:color w:val="FF0000"/>
          <w:sz w:val="24"/>
          <w:highlight w:val="none"/>
          <w:lang w:val="en-US" w:eastAsia="zh-CN"/>
        </w:rPr>
        <w:t>最终分项报价/</w:t>
      </w:r>
      <w:r>
        <w:rPr>
          <w:rFonts w:hint="eastAsia" w:hAnsi="宋体"/>
          <w:b/>
          <w:color w:val="FF0000"/>
          <w:sz w:val="24"/>
          <w:highlight w:val="none"/>
          <w:lang w:eastAsia="zh-CN"/>
        </w:rPr>
        <w:t>首次分项</w:t>
      </w:r>
      <w:r>
        <w:rPr>
          <w:rFonts w:hint="eastAsia" w:hAnsi="宋体"/>
          <w:b/>
          <w:color w:val="FF0000"/>
          <w:sz w:val="24"/>
          <w:highlight w:val="none"/>
        </w:rPr>
        <w:t>报价</w:t>
      </w:r>
      <w:r>
        <w:rPr>
          <w:rFonts w:hint="eastAsia" w:hAnsi="宋体"/>
          <w:b/>
          <w:color w:val="FF0000"/>
          <w:sz w:val="24"/>
          <w:highlight w:val="none"/>
          <w:lang w:eastAsia="zh-CN"/>
        </w:rPr>
        <w:t>的</w:t>
      </w:r>
      <w:r>
        <w:rPr>
          <w:rFonts w:hint="eastAsia" w:hAnsi="宋体"/>
          <w:b/>
          <w:color w:val="FF0000"/>
          <w:sz w:val="24"/>
          <w:highlight w:val="none"/>
          <w:lang w:val="en-US" w:eastAsia="zh-CN"/>
        </w:rPr>
        <w:t>比例应与</w:t>
      </w:r>
      <w:r>
        <w:rPr>
          <w:rFonts w:hint="eastAsia" w:hAnsi="宋体"/>
          <w:b/>
          <w:color w:val="FF0000"/>
          <w:sz w:val="24"/>
          <w:highlight w:val="none"/>
        </w:rPr>
        <w:t>最终总价</w:t>
      </w:r>
      <w:r>
        <w:rPr>
          <w:rFonts w:hint="eastAsia" w:hAnsi="宋体"/>
          <w:b/>
          <w:color w:val="FF0000"/>
          <w:sz w:val="24"/>
          <w:highlight w:val="none"/>
          <w:lang w:val="en-US" w:eastAsia="zh-CN"/>
        </w:rPr>
        <w:t>/</w:t>
      </w:r>
      <w:r>
        <w:rPr>
          <w:rFonts w:hint="eastAsia" w:hAnsi="宋体"/>
          <w:b/>
          <w:color w:val="FF0000"/>
          <w:sz w:val="24"/>
          <w:highlight w:val="none"/>
        </w:rPr>
        <w:t>首次磋商总价报价</w:t>
      </w:r>
      <w:r>
        <w:rPr>
          <w:rFonts w:hint="eastAsia" w:hAnsi="宋体"/>
          <w:b/>
          <w:color w:val="FF0000"/>
          <w:sz w:val="24"/>
          <w:highlight w:val="none"/>
          <w:lang w:eastAsia="zh-CN"/>
        </w:rPr>
        <w:t>的</w:t>
      </w:r>
      <w:r>
        <w:rPr>
          <w:rFonts w:hint="eastAsia" w:hAnsi="宋体"/>
          <w:b/>
          <w:color w:val="FF0000"/>
          <w:sz w:val="24"/>
          <w:highlight w:val="none"/>
          <w:lang w:val="en-US" w:eastAsia="zh-CN"/>
        </w:rPr>
        <w:t>比例一样。</w:t>
      </w:r>
      <w:r>
        <w:rPr>
          <w:rFonts w:hint="eastAsia" w:hAnsi="宋体"/>
          <w:b/>
          <w:color w:val="FF0000"/>
          <w:sz w:val="24"/>
          <w:highlight w:val="none"/>
          <w:lang w:eastAsia="zh-CN"/>
        </w:rPr>
        <w:t>）</w:t>
      </w:r>
    </w:p>
    <w:p w14:paraId="40A05B90">
      <w:pPr>
        <w:shd w:val="clear"/>
        <w:snapToGrid w:val="0"/>
        <w:spacing w:line="360" w:lineRule="auto"/>
        <w:ind w:firstLine="496" w:firstLineChars="206"/>
        <w:rPr>
          <w:rFonts w:hint="eastAsia" w:hAnsi="宋体"/>
          <w:b/>
          <w:color w:val="auto"/>
          <w:sz w:val="24"/>
          <w:highlight w:val="none"/>
        </w:rPr>
      </w:pPr>
      <w:r>
        <w:rPr>
          <w:rFonts w:hint="eastAsia" w:hAnsi="宋体"/>
          <w:b/>
          <w:color w:val="auto"/>
          <w:sz w:val="24"/>
          <w:highlight w:val="none"/>
        </w:rPr>
        <w:t>2、本表式不得自行改动，必须提供，否则视为未实质性响应采购文件。</w:t>
      </w:r>
    </w:p>
    <w:p w14:paraId="70C338CB">
      <w:pPr>
        <w:shd w:val="clear"/>
        <w:snapToGrid w:val="0"/>
        <w:spacing w:line="360" w:lineRule="auto"/>
        <w:ind w:firstLine="496" w:firstLineChars="206"/>
        <w:rPr>
          <w:rFonts w:hint="eastAsia" w:hAnsi="宋体"/>
          <w:b/>
          <w:color w:val="auto"/>
          <w:sz w:val="24"/>
          <w:highlight w:val="none"/>
        </w:rPr>
      </w:pPr>
      <w:r>
        <w:rPr>
          <w:rFonts w:hint="eastAsia" w:hAnsi="宋体"/>
          <w:b/>
          <w:color w:val="auto"/>
          <w:sz w:val="24"/>
          <w:highlight w:val="none"/>
        </w:rPr>
        <w:t>3、磋商响应总价报价（以人民币计价）包括但不限于以下内容：现场踏勘费、设计费、优化及深化设计费、资料费、上门服务费、人员费（含周末及节假日加班费）、办公设备费、管理费、利润、税金、政策性文件规定及为达到采购单位要求所包含的所有风险、责任等各项费用。各供应商应根据磋商文件要求，并充分考虑市场，自行核算成本报价。</w:t>
      </w:r>
    </w:p>
    <w:p w14:paraId="75F59DC6">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59F3D5F5">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3295BE77">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5C3B78E3">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007B952D">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5478F28B">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0D6D4C29">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1DFF96A3">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17750442">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12D72AAA">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11219041">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583276A1">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2A56DE43">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2F02B069">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0C7F0B2D">
      <w:pPr>
        <w:pStyle w:val="131"/>
        <w:shd w:val="clear"/>
        <w:snapToGrid w:val="0"/>
        <w:spacing w:line="360" w:lineRule="auto"/>
        <w:ind w:firstLine="562"/>
        <w:jc w:val="center"/>
        <w:rPr>
          <w:rFonts w:hint="eastAsia" w:ascii="宋体" w:hAnsi="宋体" w:cs="宋体"/>
          <w:b/>
          <w:bCs/>
          <w:color w:val="auto"/>
          <w:sz w:val="28"/>
          <w:szCs w:val="28"/>
          <w:highlight w:val="none"/>
          <w:lang w:val="en-US" w:eastAsia="zh-CN"/>
        </w:rPr>
      </w:pPr>
    </w:p>
    <w:p w14:paraId="4B0B1671">
      <w:pPr>
        <w:pStyle w:val="131"/>
        <w:shd w:val="clear"/>
        <w:snapToGrid w:val="0"/>
        <w:spacing w:line="360" w:lineRule="auto"/>
        <w:ind w:firstLine="562"/>
        <w:jc w:val="center"/>
        <w:rPr>
          <w:rFonts w:ascii="宋体" w:hAnsi="宋体" w:cs="宋体"/>
          <w:b/>
          <w:color w:val="auto"/>
          <w:highlight w:val="none"/>
        </w:rPr>
      </w:pPr>
      <w:r>
        <w:rPr>
          <w:rFonts w:hint="eastAsia" w:ascii="宋体" w:hAnsi="宋体" w:cs="宋体"/>
          <w:b/>
          <w:bCs/>
          <w:color w:val="auto"/>
          <w:sz w:val="28"/>
          <w:szCs w:val="28"/>
          <w:highlight w:val="none"/>
          <w:lang w:val="en-US" w:eastAsia="zh-CN"/>
        </w:rPr>
        <w:t>10.</w:t>
      </w:r>
      <w:r>
        <w:rPr>
          <w:rFonts w:hint="eastAsia" w:ascii="宋体" w:hAnsi="宋体" w:cs="宋体"/>
          <w:b/>
          <w:bCs/>
          <w:color w:val="auto"/>
          <w:sz w:val="28"/>
          <w:szCs w:val="28"/>
          <w:highlight w:val="none"/>
        </w:rPr>
        <w:t>拟派</w:t>
      </w:r>
      <w:r>
        <w:rPr>
          <w:rFonts w:hint="eastAsia" w:ascii="宋体" w:hAnsi="宋体" w:cs="宋体"/>
          <w:b/>
          <w:bCs/>
          <w:color w:val="auto"/>
          <w:sz w:val="28"/>
          <w:szCs w:val="28"/>
          <w:highlight w:val="none"/>
          <w:lang w:eastAsia="zh-CN"/>
        </w:rPr>
        <w:t>监理</w:t>
      </w:r>
      <w:r>
        <w:rPr>
          <w:rFonts w:hint="eastAsia" w:ascii="宋体" w:hAnsi="宋体" w:cs="宋体"/>
          <w:b/>
          <w:bCs/>
          <w:color w:val="auto"/>
          <w:sz w:val="28"/>
          <w:szCs w:val="28"/>
          <w:highlight w:val="none"/>
        </w:rPr>
        <w:t>项目组成员构成一览表</w:t>
      </w:r>
    </w:p>
    <w:p w14:paraId="5996C656">
      <w:pPr>
        <w:shd w:val="clear"/>
        <w:jc w:val="center"/>
        <w:rPr>
          <w:rFonts w:ascii="宋体" w:hAnsi="宋体"/>
          <w:color w:val="auto"/>
          <w:sz w:val="18"/>
          <w:highlight w:val="none"/>
        </w:rPr>
      </w:pPr>
    </w:p>
    <w:tbl>
      <w:tblPr>
        <w:tblStyle w:val="53"/>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22"/>
        <w:gridCol w:w="779"/>
        <w:gridCol w:w="832"/>
        <w:gridCol w:w="1474"/>
        <w:gridCol w:w="1474"/>
        <w:gridCol w:w="1474"/>
        <w:gridCol w:w="1475"/>
      </w:tblGrid>
      <w:tr w14:paraId="13F2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6990D00D">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22" w:type="dxa"/>
            <w:vAlign w:val="center"/>
          </w:tcPr>
          <w:p w14:paraId="4E392B4F">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姓  名</w:t>
            </w:r>
          </w:p>
        </w:tc>
        <w:tc>
          <w:tcPr>
            <w:tcW w:w="779" w:type="dxa"/>
            <w:vAlign w:val="center"/>
          </w:tcPr>
          <w:p w14:paraId="4087BDCD">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832" w:type="dxa"/>
            <w:vAlign w:val="center"/>
          </w:tcPr>
          <w:p w14:paraId="4D968D1C">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74" w:type="dxa"/>
            <w:vAlign w:val="center"/>
          </w:tcPr>
          <w:p w14:paraId="7265CCD5">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学历及专业</w:t>
            </w:r>
          </w:p>
        </w:tc>
        <w:tc>
          <w:tcPr>
            <w:tcW w:w="1474" w:type="dxa"/>
            <w:vAlign w:val="center"/>
          </w:tcPr>
          <w:p w14:paraId="4CC218CE">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职称及专业</w:t>
            </w:r>
          </w:p>
        </w:tc>
        <w:tc>
          <w:tcPr>
            <w:tcW w:w="1474" w:type="dxa"/>
            <w:vAlign w:val="center"/>
          </w:tcPr>
          <w:p w14:paraId="104D7B2F">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职业证书及</w:t>
            </w:r>
          </w:p>
          <w:p w14:paraId="115630E7">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注册号</w:t>
            </w:r>
          </w:p>
        </w:tc>
        <w:tc>
          <w:tcPr>
            <w:tcW w:w="1475" w:type="dxa"/>
            <w:vAlign w:val="center"/>
          </w:tcPr>
          <w:p w14:paraId="70AA831C">
            <w:pPr>
              <w:shd w:val="clear"/>
              <w:jc w:val="center"/>
              <w:rPr>
                <w:rFonts w:ascii="宋体" w:hAnsi="宋体" w:eastAsia="宋体" w:cs="宋体"/>
                <w:color w:val="auto"/>
                <w:sz w:val="24"/>
                <w:highlight w:val="none"/>
              </w:rPr>
            </w:pPr>
            <w:r>
              <w:rPr>
                <w:rFonts w:hint="eastAsia" w:ascii="宋体" w:hAnsi="宋体" w:eastAsia="宋体" w:cs="宋体"/>
                <w:color w:val="auto"/>
                <w:sz w:val="24"/>
                <w:highlight w:val="none"/>
              </w:rPr>
              <w:t>本项目组中拟任职务</w:t>
            </w:r>
          </w:p>
        </w:tc>
      </w:tr>
      <w:tr w14:paraId="05FF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7204C43B">
            <w:pPr>
              <w:shd w:val="clear"/>
              <w:jc w:val="center"/>
              <w:rPr>
                <w:rFonts w:ascii="宋体" w:hAnsi="宋体" w:eastAsia="宋体" w:cs="宋体"/>
                <w:color w:val="auto"/>
                <w:sz w:val="24"/>
                <w:highlight w:val="none"/>
              </w:rPr>
            </w:pPr>
          </w:p>
        </w:tc>
        <w:tc>
          <w:tcPr>
            <w:tcW w:w="1422" w:type="dxa"/>
            <w:vAlign w:val="center"/>
          </w:tcPr>
          <w:p w14:paraId="420A309E">
            <w:pPr>
              <w:shd w:val="clear"/>
              <w:jc w:val="center"/>
              <w:rPr>
                <w:rFonts w:ascii="宋体" w:hAnsi="宋体" w:eastAsia="宋体" w:cs="宋体"/>
                <w:color w:val="auto"/>
                <w:sz w:val="24"/>
                <w:highlight w:val="none"/>
              </w:rPr>
            </w:pPr>
          </w:p>
        </w:tc>
        <w:tc>
          <w:tcPr>
            <w:tcW w:w="779" w:type="dxa"/>
            <w:vAlign w:val="center"/>
          </w:tcPr>
          <w:p w14:paraId="381A50B6">
            <w:pPr>
              <w:shd w:val="clear"/>
              <w:jc w:val="center"/>
              <w:rPr>
                <w:rFonts w:ascii="宋体" w:hAnsi="宋体" w:eastAsia="宋体" w:cs="宋体"/>
                <w:color w:val="auto"/>
                <w:sz w:val="24"/>
                <w:highlight w:val="none"/>
              </w:rPr>
            </w:pPr>
          </w:p>
        </w:tc>
        <w:tc>
          <w:tcPr>
            <w:tcW w:w="832" w:type="dxa"/>
            <w:vAlign w:val="center"/>
          </w:tcPr>
          <w:p w14:paraId="6A126117">
            <w:pPr>
              <w:shd w:val="clear"/>
              <w:jc w:val="center"/>
              <w:rPr>
                <w:rFonts w:ascii="宋体" w:hAnsi="宋体" w:eastAsia="宋体" w:cs="宋体"/>
                <w:color w:val="auto"/>
                <w:sz w:val="24"/>
                <w:highlight w:val="none"/>
              </w:rPr>
            </w:pPr>
          </w:p>
        </w:tc>
        <w:tc>
          <w:tcPr>
            <w:tcW w:w="1474" w:type="dxa"/>
          </w:tcPr>
          <w:p w14:paraId="094F7D21">
            <w:pPr>
              <w:shd w:val="clear"/>
              <w:jc w:val="center"/>
              <w:rPr>
                <w:rFonts w:ascii="宋体" w:hAnsi="宋体" w:eastAsia="宋体" w:cs="宋体"/>
                <w:color w:val="auto"/>
                <w:sz w:val="24"/>
                <w:highlight w:val="none"/>
              </w:rPr>
            </w:pPr>
          </w:p>
        </w:tc>
        <w:tc>
          <w:tcPr>
            <w:tcW w:w="1474" w:type="dxa"/>
            <w:vAlign w:val="center"/>
          </w:tcPr>
          <w:p w14:paraId="1794E0A1">
            <w:pPr>
              <w:shd w:val="clear"/>
              <w:jc w:val="center"/>
              <w:rPr>
                <w:rFonts w:ascii="宋体" w:hAnsi="宋体" w:eastAsia="宋体" w:cs="宋体"/>
                <w:color w:val="auto"/>
                <w:sz w:val="24"/>
                <w:highlight w:val="none"/>
              </w:rPr>
            </w:pPr>
          </w:p>
        </w:tc>
        <w:tc>
          <w:tcPr>
            <w:tcW w:w="1474" w:type="dxa"/>
            <w:vAlign w:val="center"/>
          </w:tcPr>
          <w:p w14:paraId="5FB42B2F">
            <w:pPr>
              <w:shd w:val="clear"/>
              <w:jc w:val="center"/>
              <w:rPr>
                <w:rFonts w:ascii="宋体" w:hAnsi="宋体" w:eastAsia="宋体" w:cs="宋体"/>
                <w:color w:val="auto"/>
                <w:sz w:val="24"/>
                <w:highlight w:val="none"/>
              </w:rPr>
            </w:pPr>
          </w:p>
        </w:tc>
        <w:tc>
          <w:tcPr>
            <w:tcW w:w="1475" w:type="dxa"/>
            <w:vAlign w:val="center"/>
          </w:tcPr>
          <w:p w14:paraId="372D46BC">
            <w:pPr>
              <w:shd w:val="clear"/>
              <w:jc w:val="center"/>
              <w:rPr>
                <w:rFonts w:ascii="宋体" w:hAnsi="宋体" w:eastAsia="宋体" w:cs="宋体"/>
                <w:color w:val="auto"/>
                <w:sz w:val="24"/>
                <w:highlight w:val="none"/>
              </w:rPr>
            </w:pPr>
          </w:p>
        </w:tc>
      </w:tr>
      <w:tr w14:paraId="4B33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355B5E70">
            <w:pPr>
              <w:shd w:val="clear"/>
              <w:jc w:val="center"/>
              <w:rPr>
                <w:rFonts w:ascii="宋体" w:hAnsi="宋体" w:eastAsia="宋体" w:cs="宋体"/>
                <w:color w:val="auto"/>
                <w:sz w:val="24"/>
                <w:highlight w:val="none"/>
              </w:rPr>
            </w:pPr>
          </w:p>
        </w:tc>
        <w:tc>
          <w:tcPr>
            <w:tcW w:w="1422" w:type="dxa"/>
            <w:vAlign w:val="center"/>
          </w:tcPr>
          <w:p w14:paraId="6CD5912F">
            <w:pPr>
              <w:shd w:val="clear"/>
              <w:jc w:val="center"/>
              <w:rPr>
                <w:rFonts w:ascii="宋体" w:hAnsi="宋体" w:eastAsia="宋体" w:cs="宋体"/>
                <w:color w:val="auto"/>
                <w:sz w:val="24"/>
                <w:highlight w:val="none"/>
              </w:rPr>
            </w:pPr>
          </w:p>
        </w:tc>
        <w:tc>
          <w:tcPr>
            <w:tcW w:w="779" w:type="dxa"/>
            <w:vAlign w:val="center"/>
          </w:tcPr>
          <w:p w14:paraId="7FE9B4A0">
            <w:pPr>
              <w:shd w:val="clear"/>
              <w:jc w:val="center"/>
              <w:rPr>
                <w:rFonts w:ascii="宋体" w:hAnsi="宋体" w:eastAsia="宋体" w:cs="宋体"/>
                <w:color w:val="auto"/>
                <w:sz w:val="24"/>
                <w:highlight w:val="none"/>
              </w:rPr>
            </w:pPr>
          </w:p>
        </w:tc>
        <w:tc>
          <w:tcPr>
            <w:tcW w:w="832" w:type="dxa"/>
            <w:vAlign w:val="center"/>
          </w:tcPr>
          <w:p w14:paraId="699C44FD">
            <w:pPr>
              <w:shd w:val="clear"/>
              <w:jc w:val="center"/>
              <w:rPr>
                <w:rFonts w:ascii="宋体" w:hAnsi="宋体" w:eastAsia="宋体" w:cs="宋体"/>
                <w:color w:val="auto"/>
                <w:sz w:val="24"/>
                <w:highlight w:val="none"/>
              </w:rPr>
            </w:pPr>
          </w:p>
        </w:tc>
        <w:tc>
          <w:tcPr>
            <w:tcW w:w="1474" w:type="dxa"/>
          </w:tcPr>
          <w:p w14:paraId="31DB6B89">
            <w:pPr>
              <w:shd w:val="clear"/>
              <w:jc w:val="center"/>
              <w:rPr>
                <w:rFonts w:ascii="宋体" w:hAnsi="宋体" w:eastAsia="宋体" w:cs="宋体"/>
                <w:color w:val="auto"/>
                <w:sz w:val="24"/>
                <w:highlight w:val="none"/>
              </w:rPr>
            </w:pPr>
          </w:p>
        </w:tc>
        <w:tc>
          <w:tcPr>
            <w:tcW w:w="1474" w:type="dxa"/>
            <w:vAlign w:val="center"/>
          </w:tcPr>
          <w:p w14:paraId="2275D5F8">
            <w:pPr>
              <w:shd w:val="clear"/>
              <w:jc w:val="center"/>
              <w:rPr>
                <w:rFonts w:ascii="宋体" w:hAnsi="宋体" w:eastAsia="宋体" w:cs="宋体"/>
                <w:color w:val="auto"/>
                <w:sz w:val="24"/>
                <w:highlight w:val="none"/>
              </w:rPr>
            </w:pPr>
          </w:p>
        </w:tc>
        <w:tc>
          <w:tcPr>
            <w:tcW w:w="1474" w:type="dxa"/>
            <w:vAlign w:val="center"/>
          </w:tcPr>
          <w:p w14:paraId="632DEBB4">
            <w:pPr>
              <w:shd w:val="clear"/>
              <w:jc w:val="center"/>
              <w:rPr>
                <w:rFonts w:ascii="宋体" w:hAnsi="宋体" w:eastAsia="宋体" w:cs="宋体"/>
                <w:color w:val="auto"/>
                <w:sz w:val="24"/>
                <w:highlight w:val="none"/>
              </w:rPr>
            </w:pPr>
          </w:p>
        </w:tc>
        <w:tc>
          <w:tcPr>
            <w:tcW w:w="1475" w:type="dxa"/>
            <w:vAlign w:val="center"/>
          </w:tcPr>
          <w:p w14:paraId="034AD366">
            <w:pPr>
              <w:shd w:val="clear"/>
              <w:jc w:val="center"/>
              <w:rPr>
                <w:rFonts w:ascii="宋体" w:hAnsi="宋体" w:eastAsia="宋体" w:cs="宋体"/>
                <w:color w:val="auto"/>
                <w:sz w:val="24"/>
                <w:highlight w:val="none"/>
              </w:rPr>
            </w:pPr>
          </w:p>
        </w:tc>
      </w:tr>
      <w:tr w14:paraId="0640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72EE8DE4">
            <w:pPr>
              <w:shd w:val="clear"/>
              <w:jc w:val="center"/>
              <w:rPr>
                <w:rFonts w:ascii="宋体" w:hAnsi="宋体" w:eastAsia="宋体" w:cs="宋体"/>
                <w:color w:val="auto"/>
                <w:sz w:val="24"/>
                <w:highlight w:val="none"/>
              </w:rPr>
            </w:pPr>
          </w:p>
        </w:tc>
        <w:tc>
          <w:tcPr>
            <w:tcW w:w="1422" w:type="dxa"/>
            <w:vAlign w:val="center"/>
          </w:tcPr>
          <w:p w14:paraId="1AADC46F">
            <w:pPr>
              <w:shd w:val="clear"/>
              <w:jc w:val="center"/>
              <w:rPr>
                <w:rFonts w:ascii="宋体" w:hAnsi="宋体" w:eastAsia="宋体" w:cs="宋体"/>
                <w:color w:val="auto"/>
                <w:sz w:val="24"/>
                <w:highlight w:val="none"/>
              </w:rPr>
            </w:pPr>
          </w:p>
        </w:tc>
        <w:tc>
          <w:tcPr>
            <w:tcW w:w="779" w:type="dxa"/>
            <w:vAlign w:val="center"/>
          </w:tcPr>
          <w:p w14:paraId="1E196514">
            <w:pPr>
              <w:shd w:val="clear"/>
              <w:jc w:val="center"/>
              <w:rPr>
                <w:rFonts w:ascii="宋体" w:hAnsi="宋体" w:eastAsia="宋体" w:cs="宋体"/>
                <w:color w:val="auto"/>
                <w:sz w:val="24"/>
                <w:highlight w:val="none"/>
              </w:rPr>
            </w:pPr>
          </w:p>
        </w:tc>
        <w:tc>
          <w:tcPr>
            <w:tcW w:w="832" w:type="dxa"/>
            <w:vAlign w:val="center"/>
          </w:tcPr>
          <w:p w14:paraId="70EE8830">
            <w:pPr>
              <w:shd w:val="clear"/>
              <w:jc w:val="center"/>
              <w:rPr>
                <w:rFonts w:ascii="宋体" w:hAnsi="宋体" w:eastAsia="宋体" w:cs="宋体"/>
                <w:color w:val="auto"/>
                <w:sz w:val="24"/>
                <w:highlight w:val="none"/>
              </w:rPr>
            </w:pPr>
          </w:p>
        </w:tc>
        <w:tc>
          <w:tcPr>
            <w:tcW w:w="1474" w:type="dxa"/>
          </w:tcPr>
          <w:p w14:paraId="4F7ED3A4">
            <w:pPr>
              <w:shd w:val="clear"/>
              <w:jc w:val="center"/>
              <w:rPr>
                <w:rFonts w:ascii="宋体" w:hAnsi="宋体" w:eastAsia="宋体" w:cs="宋体"/>
                <w:color w:val="auto"/>
                <w:sz w:val="24"/>
                <w:highlight w:val="none"/>
              </w:rPr>
            </w:pPr>
          </w:p>
        </w:tc>
        <w:tc>
          <w:tcPr>
            <w:tcW w:w="1474" w:type="dxa"/>
            <w:vAlign w:val="center"/>
          </w:tcPr>
          <w:p w14:paraId="39272CED">
            <w:pPr>
              <w:shd w:val="clear"/>
              <w:jc w:val="center"/>
              <w:rPr>
                <w:rFonts w:ascii="宋体" w:hAnsi="宋体" w:eastAsia="宋体" w:cs="宋体"/>
                <w:color w:val="auto"/>
                <w:sz w:val="24"/>
                <w:highlight w:val="none"/>
              </w:rPr>
            </w:pPr>
          </w:p>
        </w:tc>
        <w:tc>
          <w:tcPr>
            <w:tcW w:w="1474" w:type="dxa"/>
            <w:vAlign w:val="center"/>
          </w:tcPr>
          <w:p w14:paraId="27ED3EEB">
            <w:pPr>
              <w:shd w:val="clear"/>
              <w:jc w:val="center"/>
              <w:rPr>
                <w:rFonts w:ascii="宋体" w:hAnsi="宋体" w:eastAsia="宋体" w:cs="宋体"/>
                <w:color w:val="auto"/>
                <w:sz w:val="24"/>
                <w:highlight w:val="none"/>
              </w:rPr>
            </w:pPr>
          </w:p>
        </w:tc>
        <w:tc>
          <w:tcPr>
            <w:tcW w:w="1475" w:type="dxa"/>
            <w:vAlign w:val="center"/>
          </w:tcPr>
          <w:p w14:paraId="023A9DD2">
            <w:pPr>
              <w:shd w:val="clear"/>
              <w:jc w:val="center"/>
              <w:rPr>
                <w:rFonts w:ascii="宋体" w:hAnsi="宋体" w:eastAsia="宋体" w:cs="宋体"/>
                <w:color w:val="auto"/>
                <w:sz w:val="24"/>
                <w:highlight w:val="none"/>
              </w:rPr>
            </w:pPr>
          </w:p>
        </w:tc>
      </w:tr>
      <w:tr w14:paraId="7B95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117FDECD">
            <w:pPr>
              <w:shd w:val="clear"/>
              <w:jc w:val="center"/>
              <w:rPr>
                <w:rFonts w:ascii="宋体" w:hAnsi="宋体" w:eastAsia="宋体" w:cs="宋体"/>
                <w:color w:val="auto"/>
                <w:sz w:val="24"/>
                <w:highlight w:val="none"/>
              </w:rPr>
            </w:pPr>
          </w:p>
        </w:tc>
        <w:tc>
          <w:tcPr>
            <w:tcW w:w="1422" w:type="dxa"/>
            <w:vAlign w:val="center"/>
          </w:tcPr>
          <w:p w14:paraId="3AA2AEF2">
            <w:pPr>
              <w:shd w:val="clear"/>
              <w:jc w:val="center"/>
              <w:rPr>
                <w:rFonts w:ascii="宋体" w:hAnsi="宋体" w:eastAsia="宋体" w:cs="宋体"/>
                <w:color w:val="auto"/>
                <w:sz w:val="24"/>
                <w:highlight w:val="none"/>
              </w:rPr>
            </w:pPr>
          </w:p>
        </w:tc>
        <w:tc>
          <w:tcPr>
            <w:tcW w:w="779" w:type="dxa"/>
            <w:vAlign w:val="center"/>
          </w:tcPr>
          <w:p w14:paraId="6B27DB75">
            <w:pPr>
              <w:shd w:val="clear"/>
              <w:jc w:val="center"/>
              <w:rPr>
                <w:rFonts w:ascii="宋体" w:hAnsi="宋体" w:eastAsia="宋体" w:cs="宋体"/>
                <w:color w:val="auto"/>
                <w:sz w:val="24"/>
                <w:highlight w:val="none"/>
              </w:rPr>
            </w:pPr>
          </w:p>
        </w:tc>
        <w:tc>
          <w:tcPr>
            <w:tcW w:w="832" w:type="dxa"/>
            <w:vAlign w:val="center"/>
          </w:tcPr>
          <w:p w14:paraId="2FF92F22">
            <w:pPr>
              <w:shd w:val="clear"/>
              <w:jc w:val="center"/>
              <w:rPr>
                <w:rFonts w:ascii="宋体" w:hAnsi="宋体" w:eastAsia="宋体" w:cs="宋体"/>
                <w:color w:val="auto"/>
                <w:sz w:val="24"/>
                <w:highlight w:val="none"/>
              </w:rPr>
            </w:pPr>
          </w:p>
        </w:tc>
        <w:tc>
          <w:tcPr>
            <w:tcW w:w="1474" w:type="dxa"/>
          </w:tcPr>
          <w:p w14:paraId="6CF95622">
            <w:pPr>
              <w:shd w:val="clear"/>
              <w:jc w:val="center"/>
              <w:rPr>
                <w:rFonts w:ascii="宋体" w:hAnsi="宋体" w:eastAsia="宋体" w:cs="宋体"/>
                <w:color w:val="auto"/>
                <w:sz w:val="24"/>
                <w:highlight w:val="none"/>
              </w:rPr>
            </w:pPr>
          </w:p>
        </w:tc>
        <w:tc>
          <w:tcPr>
            <w:tcW w:w="1474" w:type="dxa"/>
            <w:vAlign w:val="center"/>
          </w:tcPr>
          <w:p w14:paraId="15CB5177">
            <w:pPr>
              <w:shd w:val="clear"/>
              <w:jc w:val="center"/>
              <w:rPr>
                <w:rFonts w:ascii="宋体" w:hAnsi="宋体" w:eastAsia="宋体" w:cs="宋体"/>
                <w:color w:val="auto"/>
                <w:sz w:val="24"/>
                <w:highlight w:val="none"/>
              </w:rPr>
            </w:pPr>
          </w:p>
        </w:tc>
        <w:tc>
          <w:tcPr>
            <w:tcW w:w="1474" w:type="dxa"/>
            <w:vAlign w:val="center"/>
          </w:tcPr>
          <w:p w14:paraId="03FEDBAD">
            <w:pPr>
              <w:shd w:val="clear"/>
              <w:jc w:val="center"/>
              <w:rPr>
                <w:rFonts w:ascii="宋体" w:hAnsi="宋体" w:eastAsia="宋体" w:cs="宋体"/>
                <w:color w:val="auto"/>
                <w:sz w:val="24"/>
                <w:highlight w:val="none"/>
              </w:rPr>
            </w:pPr>
          </w:p>
        </w:tc>
        <w:tc>
          <w:tcPr>
            <w:tcW w:w="1475" w:type="dxa"/>
            <w:vAlign w:val="center"/>
          </w:tcPr>
          <w:p w14:paraId="380EB9F5">
            <w:pPr>
              <w:shd w:val="clear"/>
              <w:jc w:val="center"/>
              <w:rPr>
                <w:rFonts w:ascii="宋体" w:hAnsi="宋体" w:eastAsia="宋体" w:cs="宋体"/>
                <w:color w:val="auto"/>
                <w:sz w:val="24"/>
                <w:highlight w:val="none"/>
              </w:rPr>
            </w:pPr>
          </w:p>
        </w:tc>
      </w:tr>
      <w:tr w14:paraId="559B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0D6B224B">
            <w:pPr>
              <w:shd w:val="clear"/>
              <w:jc w:val="center"/>
              <w:rPr>
                <w:rFonts w:ascii="宋体" w:hAnsi="宋体" w:eastAsia="宋体" w:cs="宋体"/>
                <w:color w:val="auto"/>
                <w:sz w:val="24"/>
                <w:highlight w:val="none"/>
              </w:rPr>
            </w:pPr>
          </w:p>
        </w:tc>
        <w:tc>
          <w:tcPr>
            <w:tcW w:w="1422" w:type="dxa"/>
            <w:vAlign w:val="center"/>
          </w:tcPr>
          <w:p w14:paraId="27D8D75C">
            <w:pPr>
              <w:shd w:val="clear"/>
              <w:jc w:val="center"/>
              <w:rPr>
                <w:rFonts w:ascii="宋体" w:hAnsi="宋体" w:eastAsia="宋体" w:cs="宋体"/>
                <w:color w:val="auto"/>
                <w:sz w:val="24"/>
                <w:highlight w:val="none"/>
              </w:rPr>
            </w:pPr>
          </w:p>
        </w:tc>
        <w:tc>
          <w:tcPr>
            <w:tcW w:w="779" w:type="dxa"/>
            <w:vAlign w:val="center"/>
          </w:tcPr>
          <w:p w14:paraId="25EC21D1">
            <w:pPr>
              <w:shd w:val="clear"/>
              <w:jc w:val="center"/>
              <w:rPr>
                <w:rFonts w:ascii="宋体" w:hAnsi="宋体" w:eastAsia="宋体" w:cs="宋体"/>
                <w:color w:val="auto"/>
                <w:sz w:val="24"/>
                <w:highlight w:val="none"/>
              </w:rPr>
            </w:pPr>
          </w:p>
        </w:tc>
        <w:tc>
          <w:tcPr>
            <w:tcW w:w="832" w:type="dxa"/>
            <w:vAlign w:val="center"/>
          </w:tcPr>
          <w:p w14:paraId="36CF33DA">
            <w:pPr>
              <w:shd w:val="clear"/>
              <w:jc w:val="center"/>
              <w:rPr>
                <w:rFonts w:ascii="宋体" w:hAnsi="宋体" w:eastAsia="宋体" w:cs="宋体"/>
                <w:color w:val="auto"/>
                <w:sz w:val="24"/>
                <w:highlight w:val="none"/>
              </w:rPr>
            </w:pPr>
          </w:p>
        </w:tc>
        <w:tc>
          <w:tcPr>
            <w:tcW w:w="1474" w:type="dxa"/>
          </w:tcPr>
          <w:p w14:paraId="10470429">
            <w:pPr>
              <w:shd w:val="clear"/>
              <w:jc w:val="center"/>
              <w:rPr>
                <w:rFonts w:ascii="宋体" w:hAnsi="宋体" w:eastAsia="宋体" w:cs="宋体"/>
                <w:color w:val="auto"/>
                <w:sz w:val="24"/>
                <w:highlight w:val="none"/>
              </w:rPr>
            </w:pPr>
          </w:p>
        </w:tc>
        <w:tc>
          <w:tcPr>
            <w:tcW w:w="1474" w:type="dxa"/>
            <w:vAlign w:val="center"/>
          </w:tcPr>
          <w:p w14:paraId="3D430830">
            <w:pPr>
              <w:shd w:val="clear"/>
              <w:jc w:val="center"/>
              <w:rPr>
                <w:rFonts w:ascii="宋体" w:hAnsi="宋体" w:eastAsia="宋体" w:cs="宋体"/>
                <w:color w:val="auto"/>
                <w:sz w:val="24"/>
                <w:highlight w:val="none"/>
              </w:rPr>
            </w:pPr>
          </w:p>
        </w:tc>
        <w:tc>
          <w:tcPr>
            <w:tcW w:w="1474" w:type="dxa"/>
            <w:vAlign w:val="center"/>
          </w:tcPr>
          <w:p w14:paraId="5E9AE2C7">
            <w:pPr>
              <w:shd w:val="clear"/>
              <w:jc w:val="center"/>
              <w:rPr>
                <w:rFonts w:ascii="宋体" w:hAnsi="宋体" w:eastAsia="宋体" w:cs="宋体"/>
                <w:color w:val="auto"/>
                <w:sz w:val="24"/>
                <w:highlight w:val="none"/>
              </w:rPr>
            </w:pPr>
          </w:p>
        </w:tc>
        <w:tc>
          <w:tcPr>
            <w:tcW w:w="1475" w:type="dxa"/>
            <w:vAlign w:val="center"/>
          </w:tcPr>
          <w:p w14:paraId="586F1DD3">
            <w:pPr>
              <w:shd w:val="clear"/>
              <w:jc w:val="center"/>
              <w:rPr>
                <w:rFonts w:ascii="宋体" w:hAnsi="宋体" w:eastAsia="宋体" w:cs="宋体"/>
                <w:color w:val="auto"/>
                <w:sz w:val="24"/>
                <w:highlight w:val="none"/>
              </w:rPr>
            </w:pPr>
          </w:p>
        </w:tc>
      </w:tr>
      <w:tr w14:paraId="4D45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07D3FE3F">
            <w:pPr>
              <w:shd w:val="clear"/>
              <w:jc w:val="center"/>
              <w:rPr>
                <w:rFonts w:ascii="宋体" w:hAnsi="宋体" w:eastAsia="宋体" w:cs="宋体"/>
                <w:color w:val="auto"/>
                <w:sz w:val="24"/>
                <w:highlight w:val="none"/>
              </w:rPr>
            </w:pPr>
          </w:p>
        </w:tc>
        <w:tc>
          <w:tcPr>
            <w:tcW w:w="1422" w:type="dxa"/>
            <w:vAlign w:val="center"/>
          </w:tcPr>
          <w:p w14:paraId="67807FAC">
            <w:pPr>
              <w:shd w:val="clear"/>
              <w:jc w:val="center"/>
              <w:rPr>
                <w:rFonts w:ascii="宋体" w:hAnsi="宋体" w:eastAsia="宋体" w:cs="宋体"/>
                <w:color w:val="auto"/>
                <w:sz w:val="24"/>
                <w:highlight w:val="none"/>
              </w:rPr>
            </w:pPr>
          </w:p>
        </w:tc>
        <w:tc>
          <w:tcPr>
            <w:tcW w:w="779" w:type="dxa"/>
            <w:vAlign w:val="center"/>
          </w:tcPr>
          <w:p w14:paraId="4E105459">
            <w:pPr>
              <w:shd w:val="clear"/>
              <w:jc w:val="center"/>
              <w:rPr>
                <w:rFonts w:ascii="宋体" w:hAnsi="宋体" w:eastAsia="宋体" w:cs="宋体"/>
                <w:color w:val="auto"/>
                <w:sz w:val="24"/>
                <w:highlight w:val="none"/>
              </w:rPr>
            </w:pPr>
          </w:p>
        </w:tc>
        <w:tc>
          <w:tcPr>
            <w:tcW w:w="832" w:type="dxa"/>
            <w:vAlign w:val="center"/>
          </w:tcPr>
          <w:p w14:paraId="4AE2B3F2">
            <w:pPr>
              <w:shd w:val="clear"/>
              <w:jc w:val="center"/>
              <w:rPr>
                <w:rFonts w:ascii="宋体" w:hAnsi="宋体" w:eastAsia="宋体" w:cs="宋体"/>
                <w:color w:val="auto"/>
                <w:sz w:val="24"/>
                <w:highlight w:val="none"/>
              </w:rPr>
            </w:pPr>
          </w:p>
        </w:tc>
        <w:tc>
          <w:tcPr>
            <w:tcW w:w="1474" w:type="dxa"/>
          </w:tcPr>
          <w:p w14:paraId="5B47D93D">
            <w:pPr>
              <w:shd w:val="clear"/>
              <w:jc w:val="center"/>
              <w:rPr>
                <w:rFonts w:ascii="宋体" w:hAnsi="宋体" w:eastAsia="宋体" w:cs="宋体"/>
                <w:color w:val="auto"/>
                <w:sz w:val="24"/>
                <w:highlight w:val="none"/>
              </w:rPr>
            </w:pPr>
          </w:p>
        </w:tc>
        <w:tc>
          <w:tcPr>
            <w:tcW w:w="1474" w:type="dxa"/>
            <w:vAlign w:val="center"/>
          </w:tcPr>
          <w:p w14:paraId="4A29AFD5">
            <w:pPr>
              <w:shd w:val="clear"/>
              <w:jc w:val="center"/>
              <w:rPr>
                <w:rFonts w:ascii="宋体" w:hAnsi="宋体" w:eastAsia="宋体" w:cs="宋体"/>
                <w:color w:val="auto"/>
                <w:sz w:val="24"/>
                <w:highlight w:val="none"/>
              </w:rPr>
            </w:pPr>
          </w:p>
        </w:tc>
        <w:tc>
          <w:tcPr>
            <w:tcW w:w="1474" w:type="dxa"/>
            <w:vAlign w:val="center"/>
          </w:tcPr>
          <w:p w14:paraId="1DF430D5">
            <w:pPr>
              <w:shd w:val="clear"/>
              <w:jc w:val="center"/>
              <w:rPr>
                <w:rFonts w:ascii="宋体" w:hAnsi="宋体" w:eastAsia="宋体" w:cs="宋体"/>
                <w:color w:val="auto"/>
                <w:sz w:val="24"/>
                <w:highlight w:val="none"/>
              </w:rPr>
            </w:pPr>
          </w:p>
        </w:tc>
        <w:tc>
          <w:tcPr>
            <w:tcW w:w="1475" w:type="dxa"/>
            <w:vAlign w:val="center"/>
          </w:tcPr>
          <w:p w14:paraId="2299553A">
            <w:pPr>
              <w:shd w:val="clear"/>
              <w:jc w:val="center"/>
              <w:rPr>
                <w:rFonts w:ascii="宋体" w:hAnsi="宋体" w:eastAsia="宋体" w:cs="宋体"/>
                <w:color w:val="auto"/>
                <w:sz w:val="24"/>
                <w:highlight w:val="none"/>
              </w:rPr>
            </w:pPr>
          </w:p>
        </w:tc>
      </w:tr>
      <w:tr w14:paraId="169E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3B89EE50">
            <w:pPr>
              <w:shd w:val="clear"/>
              <w:jc w:val="center"/>
              <w:rPr>
                <w:rFonts w:ascii="宋体" w:hAnsi="宋体" w:eastAsia="宋体" w:cs="宋体"/>
                <w:color w:val="auto"/>
                <w:sz w:val="28"/>
                <w:highlight w:val="none"/>
              </w:rPr>
            </w:pPr>
          </w:p>
        </w:tc>
        <w:tc>
          <w:tcPr>
            <w:tcW w:w="1422" w:type="dxa"/>
            <w:vAlign w:val="center"/>
          </w:tcPr>
          <w:p w14:paraId="13614466">
            <w:pPr>
              <w:shd w:val="clear"/>
              <w:jc w:val="center"/>
              <w:rPr>
                <w:rFonts w:ascii="宋体" w:hAnsi="宋体" w:eastAsia="宋体" w:cs="宋体"/>
                <w:color w:val="auto"/>
                <w:sz w:val="24"/>
                <w:highlight w:val="none"/>
              </w:rPr>
            </w:pPr>
          </w:p>
        </w:tc>
        <w:tc>
          <w:tcPr>
            <w:tcW w:w="779" w:type="dxa"/>
            <w:vAlign w:val="center"/>
          </w:tcPr>
          <w:p w14:paraId="23A828BC">
            <w:pPr>
              <w:shd w:val="clear"/>
              <w:jc w:val="center"/>
              <w:rPr>
                <w:rFonts w:ascii="宋体" w:hAnsi="宋体" w:eastAsia="宋体" w:cs="宋体"/>
                <w:color w:val="auto"/>
                <w:sz w:val="24"/>
                <w:highlight w:val="none"/>
              </w:rPr>
            </w:pPr>
          </w:p>
        </w:tc>
        <w:tc>
          <w:tcPr>
            <w:tcW w:w="832" w:type="dxa"/>
            <w:vAlign w:val="center"/>
          </w:tcPr>
          <w:p w14:paraId="1BA257DE">
            <w:pPr>
              <w:shd w:val="clear"/>
              <w:jc w:val="center"/>
              <w:rPr>
                <w:rFonts w:ascii="宋体" w:hAnsi="宋体" w:eastAsia="宋体" w:cs="宋体"/>
                <w:color w:val="auto"/>
                <w:sz w:val="24"/>
                <w:highlight w:val="none"/>
              </w:rPr>
            </w:pPr>
          </w:p>
        </w:tc>
        <w:tc>
          <w:tcPr>
            <w:tcW w:w="1474" w:type="dxa"/>
          </w:tcPr>
          <w:p w14:paraId="39DC61B4">
            <w:pPr>
              <w:shd w:val="clear"/>
              <w:jc w:val="center"/>
              <w:rPr>
                <w:rFonts w:ascii="宋体" w:hAnsi="宋体" w:eastAsia="宋体" w:cs="宋体"/>
                <w:color w:val="auto"/>
                <w:sz w:val="24"/>
                <w:highlight w:val="none"/>
              </w:rPr>
            </w:pPr>
          </w:p>
        </w:tc>
        <w:tc>
          <w:tcPr>
            <w:tcW w:w="1474" w:type="dxa"/>
            <w:vAlign w:val="center"/>
          </w:tcPr>
          <w:p w14:paraId="11241527">
            <w:pPr>
              <w:shd w:val="clear"/>
              <w:jc w:val="center"/>
              <w:rPr>
                <w:rFonts w:ascii="宋体" w:hAnsi="宋体" w:eastAsia="宋体" w:cs="宋体"/>
                <w:color w:val="auto"/>
                <w:sz w:val="24"/>
                <w:highlight w:val="none"/>
              </w:rPr>
            </w:pPr>
          </w:p>
        </w:tc>
        <w:tc>
          <w:tcPr>
            <w:tcW w:w="1474" w:type="dxa"/>
            <w:vAlign w:val="center"/>
          </w:tcPr>
          <w:p w14:paraId="24F77898">
            <w:pPr>
              <w:shd w:val="clear"/>
              <w:jc w:val="center"/>
              <w:rPr>
                <w:rFonts w:ascii="宋体" w:hAnsi="宋体" w:eastAsia="宋体" w:cs="宋体"/>
                <w:color w:val="auto"/>
                <w:sz w:val="24"/>
                <w:highlight w:val="none"/>
              </w:rPr>
            </w:pPr>
          </w:p>
        </w:tc>
        <w:tc>
          <w:tcPr>
            <w:tcW w:w="1475" w:type="dxa"/>
            <w:vAlign w:val="center"/>
          </w:tcPr>
          <w:p w14:paraId="558BFF9D">
            <w:pPr>
              <w:shd w:val="clear"/>
              <w:jc w:val="center"/>
              <w:rPr>
                <w:rFonts w:ascii="宋体" w:hAnsi="宋体" w:eastAsia="宋体" w:cs="宋体"/>
                <w:color w:val="auto"/>
                <w:sz w:val="24"/>
                <w:highlight w:val="none"/>
              </w:rPr>
            </w:pPr>
          </w:p>
        </w:tc>
      </w:tr>
      <w:tr w14:paraId="4BD32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45B970BE">
            <w:pPr>
              <w:shd w:val="clear"/>
              <w:jc w:val="center"/>
              <w:rPr>
                <w:rFonts w:ascii="宋体" w:hAnsi="宋体" w:eastAsia="宋体" w:cs="宋体"/>
                <w:color w:val="auto"/>
                <w:sz w:val="28"/>
                <w:highlight w:val="none"/>
              </w:rPr>
            </w:pPr>
          </w:p>
        </w:tc>
        <w:tc>
          <w:tcPr>
            <w:tcW w:w="1422" w:type="dxa"/>
            <w:vAlign w:val="center"/>
          </w:tcPr>
          <w:p w14:paraId="724BAE1B">
            <w:pPr>
              <w:shd w:val="clear"/>
              <w:jc w:val="center"/>
              <w:rPr>
                <w:rFonts w:ascii="宋体" w:hAnsi="宋体" w:eastAsia="宋体" w:cs="宋体"/>
                <w:color w:val="auto"/>
                <w:sz w:val="24"/>
                <w:highlight w:val="none"/>
              </w:rPr>
            </w:pPr>
          </w:p>
        </w:tc>
        <w:tc>
          <w:tcPr>
            <w:tcW w:w="779" w:type="dxa"/>
            <w:vAlign w:val="center"/>
          </w:tcPr>
          <w:p w14:paraId="55D92CFE">
            <w:pPr>
              <w:shd w:val="clear"/>
              <w:jc w:val="center"/>
              <w:rPr>
                <w:rFonts w:ascii="宋体" w:hAnsi="宋体" w:eastAsia="宋体" w:cs="宋体"/>
                <w:color w:val="auto"/>
                <w:sz w:val="24"/>
                <w:highlight w:val="none"/>
              </w:rPr>
            </w:pPr>
          </w:p>
        </w:tc>
        <w:tc>
          <w:tcPr>
            <w:tcW w:w="832" w:type="dxa"/>
            <w:vAlign w:val="center"/>
          </w:tcPr>
          <w:p w14:paraId="46339C99">
            <w:pPr>
              <w:shd w:val="clear"/>
              <w:jc w:val="center"/>
              <w:rPr>
                <w:rFonts w:ascii="宋体" w:hAnsi="宋体" w:eastAsia="宋体" w:cs="宋体"/>
                <w:color w:val="auto"/>
                <w:sz w:val="24"/>
                <w:highlight w:val="none"/>
              </w:rPr>
            </w:pPr>
          </w:p>
        </w:tc>
        <w:tc>
          <w:tcPr>
            <w:tcW w:w="1474" w:type="dxa"/>
          </w:tcPr>
          <w:p w14:paraId="684FD2D5">
            <w:pPr>
              <w:shd w:val="clear"/>
              <w:jc w:val="center"/>
              <w:rPr>
                <w:rFonts w:ascii="宋体" w:hAnsi="宋体" w:eastAsia="宋体" w:cs="宋体"/>
                <w:color w:val="auto"/>
                <w:sz w:val="24"/>
                <w:highlight w:val="none"/>
              </w:rPr>
            </w:pPr>
          </w:p>
        </w:tc>
        <w:tc>
          <w:tcPr>
            <w:tcW w:w="1474" w:type="dxa"/>
            <w:vAlign w:val="center"/>
          </w:tcPr>
          <w:p w14:paraId="6994F8C1">
            <w:pPr>
              <w:shd w:val="clear"/>
              <w:jc w:val="center"/>
              <w:rPr>
                <w:rFonts w:ascii="宋体" w:hAnsi="宋体" w:eastAsia="宋体" w:cs="宋体"/>
                <w:color w:val="auto"/>
                <w:sz w:val="24"/>
                <w:highlight w:val="none"/>
              </w:rPr>
            </w:pPr>
          </w:p>
        </w:tc>
        <w:tc>
          <w:tcPr>
            <w:tcW w:w="1474" w:type="dxa"/>
            <w:vAlign w:val="center"/>
          </w:tcPr>
          <w:p w14:paraId="0E3D34D6">
            <w:pPr>
              <w:shd w:val="clear"/>
              <w:jc w:val="center"/>
              <w:rPr>
                <w:rFonts w:ascii="宋体" w:hAnsi="宋体" w:eastAsia="宋体" w:cs="宋体"/>
                <w:color w:val="auto"/>
                <w:sz w:val="24"/>
                <w:highlight w:val="none"/>
              </w:rPr>
            </w:pPr>
          </w:p>
        </w:tc>
        <w:tc>
          <w:tcPr>
            <w:tcW w:w="1475" w:type="dxa"/>
            <w:vAlign w:val="center"/>
          </w:tcPr>
          <w:p w14:paraId="0678DC04">
            <w:pPr>
              <w:shd w:val="clear"/>
              <w:jc w:val="center"/>
              <w:rPr>
                <w:rFonts w:ascii="宋体" w:hAnsi="宋体" w:eastAsia="宋体" w:cs="宋体"/>
                <w:color w:val="auto"/>
                <w:sz w:val="24"/>
                <w:highlight w:val="none"/>
              </w:rPr>
            </w:pPr>
          </w:p>
        </w:tc>
      </w:tr>
      <w:tr w14:paraId="60BF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4D9E8A68">
            <w:pPr>
              <w:shd w:val="clear"/>
              <w:jc w:val="center"/>
              <w:rPr>
                <w:rFonts w:ascii="宋体" w:hAnsi="宋体" w:eastAsia="宋体" w:cs="宋体"/>
                <w:color w:val="auto"/>
                <w:sz w:val="28"/>
                <w:highlight w:val="none"/>
              </w:rPr>
            </w:pPr>
          </w:p>
        </w:tc>
        <w:tc>
          <w:tcPr>
            <w:tcW w:w="1422" w:type="dxa"/>
            <w:vAlign w:val="center"/>
          </w:tcPr>
          <w:p w14:paraId="4872B0AA">
            <w:pPr>
              <w:shd w:val="clear"/>
              <w:jc w:val="center"/>
              <w:rPr>
                <w:rFonts w:ascii="宋体" w:hAnsi="宋体" w:eastAsia="宋体" w:cs="宋体"/>
                <w:color w:val="auto"/>
                <w:sz w:val="24"/>
                <w:highlight w:val="none"/>
              </w:rPr>
            </w:pPr>
          </w:p>
        </w:tc>
        <w:tc>
          <w:tcPr>
            <w:tcW w:w="779" w:type="dxa"/>
            <w:vAlign w:val="center"/>
          </w:tcPr>
          <w:p w14:paraId="05611F6A">
            <w:pPr>
              <w:shd w:val="clear"/>
              <w:jc w:val="center"/>
              <w:rPr>
                <w:rFonts w:ascii="宋体" w:hAnsi="宋体" w:eastAsia="宋体" w:cs="宋体"/>
                <w:color w:val="auto"/>
                <w:sz w:val="24"/>
                <w:highlight w:val="none"/>
              </w:rPr>
            </w:pPr>
          </w:p>
        </w:tc>
        <w:tc>
          <w:tcPr>
            <w:tcW w:w="832" w:type="dxa"/>
            <w:vAlign w:val="center"/>
          </w:tcPr>
          <w:p w14:paraId="4419AE3D">
            <w:pPr>
              <w:shd w:val="clear"/>
              <w:jc w:val="center"/>
              <w:rPr>
                <w:rFonts w:ascii="宋体" w:hAnsi="宋体" w:eastAsia="宋体" w:cs="宋体"/>
                <w:color w:val="auto"/>
                <w:sz w:val="24"/>
                <w:highlight w:val="none"/>
              </w:rPr>
            </w:pPr>
          </w:p>
        </w:tc>
        <w:tc>
          <w:tcPr>
            <w:tcW w:w="1474" w:type="dxa"/>
          </w:tcPr>
          <w:p w14:paraId="23D2F781">
            <w:pPr>
              <w:shd w:val="clear"/>
              <w:jc w:val="center"/>
              <w:rPr>
                <w:rFonts w:ascii="宋体" w:hAnsi="宋体" w:eastAsia="宋体" w:cs="宋体"/>
                <w:color w:val="auto"/>
                <w:sz w:val="24"/>
                <w:highlight w:val="none"/>
              </w:rPr>
            </w:pPr>
          </w:p>
        </w:tc>
        <w:tc>
          <w:tcPr>
            <w:tcW w:w="1474" w:type="dxa"/>
            <w:vAlign w:val="center"/>
          </w:tcPr>
          <w:p w14:paraId="621089D0">
            <w:pPr>
              <w:shd w:val="clear"/>
              <w:jc w:val="center"/>
              <w:rPr>
                <w:rFonts w:ascii="宋体" w:hAnsi="宋体" w:eastAsia="宋体" w:cs="宋体"/>
                <w:color w:val="auto"/>
                <w:sz w:val="24"/>
                <w:highlight w:val="none"/>
              </w:rPr>
            </w:pPr>
          </w:p>
        </w:tc>
        <w:tc>
          <w:tcPr>
            <w:tcW w:w="1474" w:type="dxa"/>
            <w:vAlign w:val="center"/>
          </w:tcPr>
          <w:p w14:paraId="2552285C">
            <w:pPr>
              <w:shd w:val="clear"/>
              <w:jc w:val="center"/>
              <w:rPr>
                <w:rFonts w:ascii="宋体" w:hAnsi="宋体" w:eastAsia="宋体" w:cs="宋体"/>
                <w:color w:val="auto"/>
                <w:sz w:val="24"/>
                <w:highlight w:val="none"/>
              </w:rPr>
            </w:pPr>
          </w:p>
        </w:tc>
        <w:tc>
          <w:tcPr>
            <w:tcW w:w="1475" w:type="dxa"/>
            <w:vAlign w:val="center"/>
          </w:tcPr>
          <w:p w14:paraId="44DCEA84">
            <w:pPr>
              <w:shd w:val="clear"/>
              <w:jc w:val="center"/>
              <w:rPr>
                <w:rFonts w:ascii="宋体" w:hAnsi="宋体" w:eastAsia="宋体" w:cs="宋体"/>
                <w:color w:val="auto"/>
                <w:sz w:val="24"/>
                <w:highlight w:val="none"/>
              </w:rPr>
            </w:pPr>
          </w:p>
        </w:tc>
      </w:tr>
      <w:tr w14:paraId="74EC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92" w:type="dxa"/>
            <w:vAlign w:val="center"/>
          </w:tcPr>
          <w:p w14:paraId="64002657">
            <w:pPr>
              <w:shd w:val="clear"/>
              <w:jc w:val="center"/>
              <w:rPr>
                <w:rFonts w:ascii="宋体" w:hAnsi="宋体" w:eastAsia="宋体" w:cs="宋体"/>
                <w:color w:val="auto"/>
                <w:sz w:val="28"/>
                <w:highlight w:val="none"/>
              </w:rPr>
            </w:pPr>
          </w:p>
        </w:tc>
        <w:tc>
          <w:tcPr>
            <w:tcW w:w="1422" w:type="dxa"/>
            <w:vAlign w:val="center"/>
          </w:tcPr>
          <w:p w14:paraId="74F76FAD">
            <w:pPr>
              <w:shd w:val="clear"/>
              <w:jc w:val="center"/>
              <w:rPr>
                <w:rFonts w:ascii="宋体" w:hAnsi="宋体" w:eastAsia="宋体" w:cs="宋体"/>
                <w:color w:val="auto"/>
                <w:sz w:val="24"/>
                <w:highlight w:val="none"/>
              </w:rPr>
            </w:pPr>
          </w:p>
        </w:tc>
        <w:tc>
          <w:tcPr>
            <w:tcW w:w="779" w:type="dxa"/>
            <w:vAlign w:val="center"/>
          </w:tcPr>
          <w:p w14:paraId="4C713824">
            <w:pPr>
              <w:shd w:val="clear"/>
              <w:jc w:val="center"/>
              <w:rPr>
                <w:rFonts w:ascii="宋体" w:hAnsi="宋体" w:eastAsia="宋体" w:cs="宋体"/>
                <w:color w:val="auto"/>
                <w:sz w:val="24"/>
                <w:highlight w:val="none"/>
              </w:rPr>
            </w:pPr>
          </w:p>
        </w:tc>
        <w:tc>
          <w:tcPr>
            <w:tcW w:w="832" w:type="dxa"/>
            <w:vAlign w:val="center"/>
          </w:tcPr>
          <w:p w14:paraId="6BE412A2">
            <w:pPr>
              <w:shd w:val="clear"/>
              <w:jc w:val="center"/>
              <w:rPr>
                <w:rFonts w:ascii="宋体" w:hAnsi="宋体" w:eastAsia="宋体" w:cs="宋体"/>
                <w:color w:val="auto"/>
                <w:sz w:val="24"/>
                <w:highlight w:val="none"/>
              </w:rPr>
            </w:pPr>
          </w:p>
        </w:tc>
        <w:tc>
          <w:tcPr>
            <w:tcW w:w="1474" w:type="dxa"/>
          </w:tcPr>
          <w:p w14:paraId="3D344B3E">
            <w:pPr>
              <w:shd w:val="clear"/>
              <w:jc w:val="center"/>
              <w:rPr>
                <w:rFonts w:ascii="宋体" w:hAnsi="宋体" w:eastAsia="宋体" w:cs="宋体"/>
                <w:color w:val="auto"/>
                <w:sz w:val="24"/>
                <w:highlight w:val="none"/>
              </w:rPr>
            </w:pPr>
          </w:p>
        </w:tc>
        <w:tc>
          <w:tcPr>
            <w:tcW w:w="1474" w:type="dxa"/>
            <w:vAlign w:val="center"/>
          </w:tcPr>
          <w:p w14:paraId="368910D5">
            <w:pPr>
              <w:shd w:val="clear"/>
              <w:jc w:val="center"/>
              <w:rPr>
                <w:rFonts w:ascii="宋体" w:hAnsi="宋体" w:eastAsia="宋体" w:cs="宋体"/>
                <w:color w:val="auto"/>
                <w:sz w:val="24"/>
                <w:highlight w:val="none"/>
              </w:rPr>
            </w:pPr>
          </w:p>
        </w:tc>
        <w:tc>
          <w:tcPr>
            <w:tcW w:w="1474" w:type="dxa"/>
            <w:vAlign w:val="center"/>
          </w:tcPr>
          <w:p w14:paraId="39A9E1FB">
            <w:pPr>
              <w:shd w:val="clear"/>
              <w:jc w:val="center"/>
              <w:rPr>
                <w:rFonts w:ascii="宋体" w:hAnsi="宋体" w:eastAsia="宋体" w:cs="宋体"/>
                <w:color w:val="auto"/>
                <w:sz w:val="24"/>
                <w:highlight w:val="none"/>
              </w:rPr>
            </w:pPr>
          </w:p>
        </w:tc>
        <w:tc>
          <w:tcPr>
            <w:tcW w:w="1475" w:type="dxa"/>
            <w:vAlign w:val="center"/>
          </w:tcPr>
          <w:p w14:paraId="23E5C072">
            <w:pPr>
              <w:shd w:val="clear"/>
              <w:jc w:val="center"/>
              <w:rPr>
                <w:rFonts w:ascii="宋体" w:hAnsi="宋体" w:eastAsia="宋体" w:cs="宋体"/>
                <w:color w:val="auto"/>
                <w:sz w:val="24"/>
                <w:highlight w:val="none"/>
              </w:rPr>
            </w:pPr>
          </w:p>
        </w:tc>
      </w:tr>
    </w:tbl>
    <w:p w14:paraId="210E8590">
      <w:pPr>
        <w:shd w:val="clear"/>
        <w:snapToGrid w:val="0"/>
        <w:spacing w:line="360" w:lineRule="auto"/>
        <w:contextualSpacing/>
        <w:jc w:val="center"/>
        <w:rPr>
          <w:rFonts w:ascii="宋体" w:hAnsi="宋体" w:eastAsia="宋体" w:cs="宋体"/>
          <w:b/>
          <w:bCs/>
          <w:snapToGrid/>
          <w:color w:val="auto"/>
          <w:kern w:val="2"/>
          <w:sz w:val="28"/>
          <w:szCs w:val="28"/>
          <w:highlight w:val="none"/>
        </w:rPr>
      </w:pPr>
    </w:p>
    <w:p w14:paraId="79B2BD73">
      <w:pPr>
        <w:shd w:val="clear"/>
        <w:snapToGrid w:val="0"/>
        <w:spacing w:line="360" w:lineRule="auto"/>
        <w:ind w:right="79"/>
        <w:textAlignment w:val="baseline"/>
        <w:rPr>
          <w:rFonts w:ascii="宋体" w:hAnsi="宋体" w:eastAsia="宋体" w:cs="宋体"/>
          <w:color w:val="auto"/>
          <w:sz w:val="24"/>
          <w:highlight w:val="none"/>
        </w:rPr>
      </w:pPr>
      <w:r>
        <w:rPr>
          <w:rFonts w:hint="eastAsia" w:ascii="宋体" w:hAnsi="宋体" w:cs="宋体"/>
          <w:color w:val="auto"/>
          <w:sz w:val="24"/>
          <w:szCs w:val="24"/>
          <w:highlight w:val="none"/>
        </w:rPr>
        <w:t>竞争性磋商响应单位</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（单位盖章）</w:t>
      </w:r>
    </w:p>
    <w:p w14:paraId="6993D82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color="000000"/>
        </w:rPr>
        <w:t xml:space="preserve">　            </w:t>
      </w:r>
    </w:p>
    <w:p w14:paraId="5C5051AC">
      <w:pPr>
        <w:shd w:val="clear"/>
        <w:adjustRightInd w:val="0"/>
        <w:snapToGrid w:val="0"/>
        <w:spacing w:line="480" w:lineRule="auto"/>
        <w:jc w:val="left"/>
        <w:rPr>
          <w:color w:val="auto"/>
          <w:highlight w:val="none"/>
        </w:rPr>
      </w:pPr>
      <w:r>
        <w:rPr>
          <w:rFonts w:hint="eastAsia" w:ascii="宋体" w:hAnsi="宋体" w:eastAsia="宋体" w:cs="宋体"/>
          <w:color w:val="auto"/>
          <w:sz w:val="24"/>
          <w:highlight w:val="none"/>
        </w:rPr>
        <w:t>日期：  年  月  日</w:t>
      </w:r>
    </w:p>
    <w:p w14:paraId="5DF13BE5">
      <w:pPr>
        <w:pStyle w:val="52"/>
        <w:shd w:val="clear"/>
        <w:rPr>
          <w:rFonts w:hint="eastAsia"/>
          <w:color w:val="auto"/>
          <w:highlight w:val="none"/>
          <w:lang w:val="en-US" w:eastAsia="zh-CN"/>
        </w:rPr>
      </w:pPr>
    </w:p>
    <w:p w14:paraId="785D8670">
      <w:pPr>
        <w:pStyle w:val="42"/>
        <w:shd w:val="clear"/>
        <w:rPr>
          <w:rFonts w:hint="eastAsia"/>
          <w:color w:val="auto"/>
          <w:highlight w:val="none"/>
          <w:lang w:val="en-US" w:eastAsia="zh-CN"/>
        </w:rPr>
      </w:pPr>
    </w:p>
    <w:p w14:paraId="14096153">
      <w:pPr>
        <w:pStyle w:val="17"/>
        <w:shd w:val="clear"/>
        <w:rPr>
          <w:rFonts w:hint="eastAsia"/>
          <w:color w:val="auto"/>
          <w:highlight w:val="none"/>
          <w:lang w:val="en-US" w:eastAsia="zh-CN"/>
        </w:rPr>
      </w:pPr>
    </w:p>
    <w:p w14:paraId="0B554A32">
      <w:pPr>
        <w:shd w:val="clear"/>
        <w:rPr>
          <w:rFonts w:hint="eastAsia"/>
          <w:color w:val="auto"/>
          <w:highlight w:val="none"/>
          <w:lang w:val="en-US" w:eastAsia="zh-CN"/>
        </w:rPr>
      </w:pPr>
    </w:p>
    <w:p w14:paraId="7ADD9B00">
      <w:pPr>
        <w:pStyle w:val="2"/>
        <w:shd w:val="clear"/>
        <w:rPr>
          <w:rFonts w:hint="eastAsia"/>
          <w:color w:val="auto"/>
          <w:highlight w:val="none"/>
          <w:lang w:val="en-US" w:eastAsia="zh-CN"/>
        </w:rPr>
      </w:pPr>
    </w:p>
    <w:p w14:paraId="576EE5EB">
      <w:pPr>
        <w:pStyle w:val="3"/>
        <w:shd w:val="clear"/>
        <w:rPr>
          <w:rFonts w:hint="eastAsia"/>
          <w:color w:val="auto"/>
          <w:highlight w:val="none"/>
          <w:lang w:val="en-US" w:eastAsia="zh-CN"/>
        </w:rPr>
      </w:pPr>
    </w:p>
    <w:p w14:paraId="0E09FCAC">
      <w:pPr>
        <w:shd w:val="clear"/>
        <w:rPr>
          <w:rFonts w:hint="eastAsia"/>
          <w:color w:val="auto"/>
          <w:highlight w:val="none"/>
          <w:lang w:val="en-US" w:eastAsia="zh-CN"/>
        </w:rPr>
      </w:pPr>
    </w:p>
    <w:p w14:paraId="07D6C6FA">
      <w:pPr>
        <w:pStyle w:val="2"/>
        <w:shd w:val="clear"/>
        <w:rPr>
          <w:rFonts w:hint="eastAsia"/>
          <w:color w:val="auto"/>
          <w:highlight w:val="none"/>
          <w:lang w:val="en-US" w:eastAsia="zh-CN"/>
        </w:rPr>
      </w:pPr>
    </w:p>
    <w:p w14:paraId="1FBA56F4">
      <w:pPr>
        <w:pStyle w:val="3"/>
        <w:shd w:val="clear"/>
        <w:rPr>
          <w:rFonts w:hint="eastAsia"/>
          <w:color w:val="auto"/>
          <w:highlight w:val="none"/>
          <w:lang w:val="en-US" w:eastAsia="zh-CN"/>
        </w:rPr>
      </w:pPr>
    </w:p>
    <w:p w14:paraId="5946011B">
      <w:pPr>
        <w:shd w:val="clear"/>
        <w:rPr>
          <w:rFonts w:hint="eastAsia"/>
          <w:color w:val="auto"/>
          <w:highlight w:val="none"/>
          <w:lang w:val="en-US" w:eastAsia="zh-CN"/>
        </w:rPr>
      </w:pPr>
    </w:p>
    <w:p w14:paraId="64294FE1">
      <w:pPr>
        <w:pStyle w:val="2"/>
        <w:shd w:val="clear"/>
        <w:rPr>
          <w:rFonts w:hint="eastAsia"/>
          <w:color w:val="auto"/>
          <w:highlight w:val="none"/>
          <w:lang w:val="en-US" w:eastAsia="zh-CN"/>
        </w:rPr>
      </w:pPr>
    </w:p>
    <w:p w14:paraId="3D70CFC2">
      <w:pPr>
        <w:pStyle w:val="3"/>
        <w:shd w:val="clear"/>
        <w:rPr>
          <w:rFonts w:hint="eastAsia"/>
          <w:color w:val="auto"/>
          <w:highlight w:val="none"/>
          <w:lang w:val="en-US" w:eastAsia="zh-CN"/>
        </w:rPr>
      </w:pPr>
    </w:p>
    <w:p w14:paraId="56AFCCDE">
      <w:pPr>
        <w:shd w:val="clear"/>
        <w:rPr>
          <w:rFonts w:hint="eastAsia"/>
          <w:color w:val="auto"/>
          <w:highlight w:val="none"/>
          <w:lang w:val="en-US" w:eastAsia="zh-CN"/>
        </w:rPr>
      </w:pPr>
    </w:p>
    <w:p w14:paraId="05E587B0">
      <w:pPr>
        <w:shd w:val="clear"/>
        <w:snapToGrid w:val="0"/>
        <w:spacing w:line="520" w:lineRule="exact"/>
        <w:ind w:firstLine="562" w:firstLineChars="200"/>
        <w:jc w:val="center"/>
        <w:outlineLvl w:val="3"/>
        <w:rPr>
          <w:rFonts w:ascii="宋体" w:hAnsi="宋体" w:eastAsia="宋体" w:cs="宋体"/>
          <w:b/>
          <w:bCs/>
          <w:color w:val="auto"/>
          <w:sz w:val="28"/>
          <w:szCs w:val="28"/>
          <w:highlight w:val="none"/>
        </w:rPr>
      </w:pPr>
      <w:r>
        <w:rPr>
          <w:rFonts w:hint="eastAsia" w:ascii="宋体" w:hAnsi="宋体" w:eastAsia="宋体" w:cs="宋体"/>
          <w:b/>
          <w:bCs/>
          <w:snapToGrid/>
          <w:color w:val="auto"/>
          <w:kern w:val="2"/>
          <w:sz w:val="28"/>
          <w:szCs w:val="28"/>
          <w:highlight w:val="none"/>
          <w:lang w:val="en-US" w:eastAsia="zh-CN"/>
        </w:rPr>
        <w:t>11</w:t>
      </w:r>
      <w:r>
        <w:rPr>
          <w:rFonts w:hint="eastAsia" w:ascii="宋体" w:hAnsi="宋体" w:eastAsia="宋体" w:cs="宋体"/>
          <w:b/>
          <w:bCs/>
          <w:snapToGrid/>
          <w:color w:val="auto"/>
          <w:kern w:val="2"/>
          <w:sz w:val="28"/>
          <w:szCs w:val="28"/>
          <w:highlight w:val="none"/>
        </w:rPr>
        <w:t>、</w:t>
      </w:r>
      <w:r>
        <w:rPr>
          <w:rFonts w:hint="eastAsia" w:ascii="宋体" w:hAnsi="宋体" w:eastAsia="宋体" w:cs="宋体"/>
          <w:b/>
          <w:bCs/>
          <w:color w:val="auto"/>
          <w:sz w:val="28"/>
          <w:szCs w:val="28"/>
          <w:highlight w:val="none"/>
        </w:rPr>
        <w:t>中小企业声明函</w:t>
      </w:r>
    </w:p>
    <w:p w14:paraId="36D42088">
      <w:pPr>
        <w:shd w:val="clear"/>
        <w:snapToGrid w:val="0"/>
        <w:spacing w:before="240"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 号）的规定，本公司参加</w:t>
      </w:r>
      <w:r>
        <w:rPr>
          <w:rFonts w:hint="eastAsia" w:ascii="宋体" w:hAnsi="宋体" w:eastAsia="宋体" w:cs="宋体"/>
          <w:color w:val="auto"/>
          <w:sz w:val="24"/>
          <w:highlight w:val="none"/>
          <w:u w:val="single"/>
          <w:lang w:val="zh-CN"/>
        </w:rPr>
        <w:t>南通市机关事务管理局</w:t>
      </w:r>
      <w:r>
        <w:rPr>
          <w:rFonts w:hint="eastAsia" w:ascii="宋体" w:hAnsi="宋体" w:eastAsia="宋体" w:cs="宋体"/>
          <w:color w:val="auto"/>
          <w:sz w:val="24"/>
          <w:highlight w:val="none"/>
        </w:rPr>
        <w:t>的</w:t>
      </w:r>
      <w:r>
        <w:rPr>
          <w:rFonts w:hint="eastAsia" w:ascii="宋体" w:hAnsi="宋体" w:eastAsia="宋体" w:cs="宋体"/>
          <w:snapToGrid/>
          <w:color w:val="auto"/>
          <w:kern w:val="2"/>
          <w:sz w:val="24"/>
          <w:highlight w:val="none"/>
          <w:u w:val="single"/>
          <w:lang w:eastAsia="zh-CN"/>
        </w:rPr>
        <w:t>南通市机关事务管理局2025年度（第一批）监理项目</w:t>
      </w:r>
      <w:r>
        <w:rPr>
          <w:rFonts w:hint="eastAsia" w:ascii="宋体" w:hAnsi="宋体" w:cs="宋体"/>
          <w:snapToGrid/>
          <w:color w:val="auto"/>
          <w:kern w:val="2"/>
          <w:sz w:val="24"/>
          <w:highlight w:val="none"/>
          <w:u w:val="single"/>
          <w:lang w:eastAsia="zh-CN"/>
        </w:rPr>
        <w:t>（</w:t>
      </w:r>
      <w:r>
        <w:rPr>
          <w:rFonts w:hint="eastAsia" w:ascii="宋体" w:hAnsi="宋体" w:eastAsia="宋体" w:cs="宋体"/>
          <w:snapToGrid/>
          <w:color w:val="auto"/>
          <w:kern w:val="2"/>
          <w:sz w:val="24"/>
          <w:highlight w:val="none"/>
          <w:u w:val="single"/>
        </w:rPr>
        <w:t>编号：</w:t>
      </w:r>
      <w:r>
        <w:rPr>
          <w:rFonts w:hint="eastAsia" w:ascii="宋体" w:hAnsi="宋体" w:cs="宋体"/>
          <w:snapToGrid/>
          <w:color w:val="auto"/>
          <w:kern w:val="2"/>
          <w:sz w:val="24"/>
          <w:highlight w:val="none"/>
          <w:u w:val="single"/>
          <w:lang w:val="en-US" w:eastAsia="zh-CN"/>
        </w:rPr>
        <w:t xml:space="preserve"> </w:t>
      </w:r>
      <w:r>
        <w:rPr>
          <w:rFonts w:hint="eastAsia" w:ascii="宋体" w:hAnsi="宋体" w:eastAsia="宋体" w:cs="宋体"/>
          <w:snapToGrid/>
          <w:color w:val="auto"/>
          <w:kern w:val="2"/>
          <w:sz w:val="24"/>
          <w:highlight w:val="none"/>
          <w:u w:val="single"/>
        </w:rPr>
        <w:t>)</w:t>
      </w:r>
      <w:r>
        <w:rPr>
          <w:rFonts w:hint="eastAsia" w:ascii="宋体" w:hAnsi="宋体" w:eastAsia="宋体" w:cs="宋体"/>
          <w:color w:val="auto"/>
          <w:sz w:val="24"/>
          <w:highlight w:val="none"/>
        </w:rPr>
        <w:t xml:space="preserve">采购活动，该项目服务全部由符合政策要求的中小企业提供。具体情况如下： </w:t>
      </w:r>
    </w:p>
    <w:p w14:paraId="74194E56">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snapToGrid/>
          <w:color w:val="auto"/>
          <w:kern w:val="2"/>
          <w:sz w:val="24"/>
          <w:highlight w:val="none"/>
          <w:u w:val="single"/>
        </w:rPr>
        <w:t>南通市机关事务管理局2025年度（第一批）监理项目</w:t>
      </w:r>
      <w:r>
        <w:rPr>
          <w:rFonts w:hint="eastAsia" w:ascii="宋体" w:hAnsi="宋体" w:eastAsia="宋体" w:cs="宋体"/>
          <w:color w:val="auto"/>
          <w:sz w:val="24"/>
          <w:highlight w:val="none"/>
        </w:rPr>
        <w:t>，属于</w:t>
      </w:r>
      <w:r>
        <w:rPr>
          <w:rFonts w:hint="eastAsia" w:ascii="宋体" w:hAnsi="宋体" w:eastAsia="宋体" w:cs="宋体"/>
          <w:snapToGrid/>
          <w:color w:val="auto"/>
          <w:kern w:val="2"/>
          <w:sz w:val="24"/>
          <w:highlight w:val="none"/>
          <w:u w:val="single"/>
          <w:lang w:val="zh-CN"/>
        </w:rPr>
        <w:t>其他未列明</w:t>
      </w:r>
      <w:r>
        <w:rPr>
          <w:rFonts w:hint="eastAsia" w:ascii="宋体" w:hAnsi="宋体" w:eastAsia="宋体" w:cs="宋体"/>
          <w:snapToGrid/>
          <w:color w:val="auto"/>
          <w:kern w:val="2"/>
          <w:sz w:val="24"/>
          <w:highlight w:val="none"/>
          <w:u w:val="single"/>
        </w:rPr>
        <w:t>行业-专业技术服务业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vertAlign w:val="superscript"/>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（填写：中型企业、小型企业、微型企业）</w:t>
      </w:r>
      <w:r>
        <w:rPr>
          <w:rFonts w:hint="eastAsia" w:ascii="宋体" w:hAnsi="宋体" w:eastAsia="宋体" w:cs="宋体"/>
          <w:color w:val="auto"/>
          <w:sz w:val="24"/>
          <w:highlight w:val="none"/>
        </w:rPr>
        <w:t>；</w:t>
      </w:r>
    </w:p>
    <w:p w14:paraId="77582742">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以上企业，不属于大企业的分支机构，不存在控股股东为大企业的情形，也不存在与大企业的负责人为同一人的情形。 </w:t>
      </w:r>
    </w:p>
    <w:p w14:paraId="01C1D709">
      <w:pPr>
        <w:shd w:val="clea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D97325">
      <w:pPr>
        <w:shd w:val="clear"/>
        <w:snapToGrid w:val="0"/>
        <w:spacing w:line="360" w:lineRule="auto"/>
        <w:ind w:firstLine="480" w:firstLineChars="200"/>
        <w:rPr>
          <w:rFonts w:ascii="宋体" w:hAnsi="宋体" w:eastAsia="宋体" w:cs="宋体"/>
          <w:color w:val="auto"/>
          <w:sz w:val="24"/>
          <w:highlight w:val="none"/>
        </w:rPr>
      </w:pPr>
    </w:p>
    <w:p w14:paraId="20732913">
      <w:pPr>
        <w:shd w:val="clear"/>
        <w:snapToGrid w:val="0"/>
        <w:spacing w:line="360" w:lineRule="auto"/>
        <w:ind w:right="79"/>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（单位盖章）</w:t>
      </w:r>
    </w:p>
    <w:p w14:paraId="72CB826C">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color="000000"/>
        </w:rPr>
        <w:t xml:space="preserve">　            </w:t>
      </w:r>
    </w:p>
    <w:p w14:paraId="08F2036C">
      <w:pPr>
        <w:shd w:val="clear"/>
        <w:adjustRightInd w:val="0"/>
        <w:snapToGrid w:val="0"/>
        <w:spacing w:line="480" w:lineRule="auto"/>
        <w:jc w:val="left"/>
        <w:rPr>
          <w:color w:val="auto"/>
          <w:highlight w:val="none"/>
        </w:rPr>
      </w:pPr>
      <w:r>
        <w:rPr>
          <w:rFonts w:hint="eastAsia" w:ascii="宋体" w:hAnsi="宋体" w:eastAsia="宋体" w:cs="宋体"/>
          <w:color w:val="auto"/>
          <w:sz w:val="24"/>
          <w:highlight w:val="none"/>
        </w:rPr>
        <w:t>日期：  年  月  日</w:t>
      </w:r>
    </w:p>
    <w:p w14:paraId="7CB3048F">
      <w:pPr>
        <w:shd w:val="clear"/>
        <w:tabs>
          <w:tab w:val="left" w:pos="2040"/>
        </w:tabs>
        <w:ind w:left="2040" w:hanging="360"/>
        <w:rPr>
          <w:rFonts w:ascii="宋体" w:hAnsi="宋体" w:eastAsia="宋体" w:cs="宋体"/>
          <w:color w:val="auto"/>
          <w:szCs w:val="21"/>
          <w:highlight w:val="none"/>
        </w:rPr>
      </w:pPr>
    </w:p>
    <w:p w14:paraId="5D01D4DD">
      <w:pPr>
        <w:shd w:val="clear"/>
        <w:snapToGrid w:val="0"/>
        <w:ind w:firstLine="480" w:firstLineChars="200"/>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注：（1）本次采购的项目，其响应供应商提供的</w:t>
      </w:r>
      <w:r>
        <w:rPr>
          <w:rFonts w:hint="eastAsia" w:ascii="宋体" w:hAnsi="宋体" w:eastAsia="宋体" w:cs="宋体"/>
          <w:color w:val="auto"/>
          <w:sz w:val="24"/>
          <w:highlight w:val="none"/>
          <w:u w:val="single"/>
        </w:rPr>
        <w:t xml:space="preserve"> 服务 </w:t>
      </w:r>
      <w:r>
        <w:rPr>
          <w:rFonts w:hint="eastAsia" w:ascii="宋体" w:hAnsi="宋体" w:eastAsia="宋体" w:cs="宋体"/>
          <w:color w:val="auto"/>
          <w:sz w:val="24"/>
          <w:highlight w:val="none"/>
        </w:rPr>
        <w:t>符合：工信部联企业〔2011〕300号《关于印发中小企业划型标准规定的通知》中的中小企业</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类的划型标准规定的，将享受中小企业扶持政策。</w:t>
      </w:r>
      <w:r>
        <w:rPr>
          <w:rFonts w:hint="eastAsia" w:ascii="宋体" w:hAnsi="宋体" w:eastAsia="宋体" w:cs="宋体"/>
          <w:color w:val="auto"/>
          <w:sz w:val="24"/>
          <w:highlight w:val="none"/>
          <w:u w:val="single"/>
        </w:rPr>
        <w:t>“其他未列明行业”</w:t>
      </w:r>
      <w:r>
        <w:rPr>
          <w:rFonts w:hint="eastAsia" w:ascii="宋体" w:hAnsi="宋体" w:eastAsia="宋体" w:cs="宋体"/>
          <w:color w:val="auto"/>
          <w:sz w:val="24"/>
          <w:highlight w:val="none"/>
        </w:rPr>
        <w:t>类中小企业划型标准：</w:t>
      </w:r>
      <w:r>
        <w:rPr>
          <w:rFonts w:hint="eastAsia" w:ascii="宋体" w:hAnsi="宋体" w:eastAsia="宋体" w:cs="宋体"/>
          <w:color w:val="auto"/>
          <w:sz w:val="24"/>
          <w:highlight w:val="none"/>
          <w:u w:val="single"/>
        </w:rPr>
        <w:t>从业人员300人以下的为中小微型企业。其中，从业人员100人及以上的为中型企业；从业人员10人及以上的为小型企业；从业人员10人以下的为微型企业。</w:t>
      </w:r>
    </w:p>
    <w:p w14:paraId="28B7B749">
      <w:pPr>
        <w:shd w:val="clear"/>
        <w:snapToGrid w:val="0"/>
        <w:ind w:firstLine="480" w:firstLineChars="200"/>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43FDFE4D">
      <w:pPr>
        <w:shd w:val="clear"/>
        <w:snapToGrid w:val="0"/>
        <w:ind w:firstLine="480" w:firstLineChars="200"/>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（3）若响应供应商提供的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7FE9E5B1">
      <w:pPr>
        <w:shd w:val="clear"/>
        <w:snapToGrid w:val="0"/>
        <w:ind w:firstLine="480" w:firstLineChars="200"/>
        <w:textAlignment w:val="baseline"/>
        <w:rPr>
          <w:rFonts w:ascii="宋体" w:hAnsi="宋体" w:eastAsia="宋体"/>
          <w:color w:val="auto"/>
          <w:sz w:val="24"/>
          <w:highlight w:val="none"/>
        </w:rPr>
      </w:pPr>
      <w:r>
        <w:rPr>
          <w:rFonts w:hint="eastAsia" w:ascii="宋体" w:hAnsi="宋体" w:eastAsia="宋体" w:cs="宋体"/>
          <w:color w:val="auto"/>
          <w:sz w:val="24"/>
          <w:highlight w:val="none"/>
        </w:rPr>
        <w:t>（4）从业人员、营业收入、资产总额填报上一年度数据，无上一年度数据的新成立企业可不填报。</w:t>
      </w:r>
    </w:p>
    <w:p w14:paraId="274A53A8">
      <w:pPr>
        <w:widowControl/>
        <w:shd w:val="clear"/>
        <w:jc w:val="center"/>
        <w:rPr>
          <w:rFonts w:ascii="宋体" w:hAnsi="宋体" w:eastAsia="宋体" w:cs="宋体"/>
          <w:b/>
          <w:bCs/>
          <w:color w:val="auto"/>
          <w:sz w:val="28"/>
          <w:highlight w:val="none"/>
        </w:rPr>
      </w:pPr>
      <w:r>
        <w:rPr>
          <w:rFonts w:ascii="宋体" w:hAnsi="Times New Roman" w:eastAsia="宋体"/>
          <w:b/>
          <w:bCs/>
          <w:snapToGrid/>
          <w:color w:val="auto"/>
          <w:kern w:val="2"/>
          <w:sz w:val="28"/>
          <w:szCs w:val="28"/>
          <w:highlight w:val="none"/>
        </w:rPr>
        <w:br w:type="page"/>
      </w:r>
      <w:r>
        <w:rPr>
          <w:rFonts w:hint="eastAsia" w:ascii="宋体" w:hAnsi="Times New Roman" w:eastAsia="宋体"/>
          <w:b/>
          <w:bCs/>
          <w:snapToGrid/>
          <w:color w:val="auto"/>
          <w:kern w:val="2"/>
          <w:sz w:val="28"/>
          <w:szCs w:val="28"/>
          <w:highlight w:val="none"/>
          <w:lang w:val="en-US" w:eastAsia="zh-CN"/>
        </w:rPr>
        <w:t>12</w:t>
      </w:r>
      <w:r>
        <w:rPr>
          <w:rFonts w:hint="eastAsia" w:ascii="宋体" w:hAnsi="Times New Roman" w:eastAsia="宋体"/>
          <w:b/>
          <w:bCs/>
          <w:snapToGrid/>
          <w:color w:val="auto"/>
          <w:kern w:val="2"/>
          <w:sz w:val="28"/>
          <w:szCs w:val="28"/>
          <w:highlight w:val="none"/>
        </w:rPr>
        <w:t>、</w:t>
      </w:r>
      <w:r>
        <w:rPr>
          <w:rFonts w:hint="eastAsia" w:ascii="宋体" w:hAnsi="宋体" w:eastAsia="宋体" w:cs="宋体"/>
          <w:b/>
          <w:bCs/>
          <w:color w:val="auto"/>
          <w:sz w:val="28"/>
          <w:highlight w:val="none"/>
        </w:rPr>
        <w:t>残疾人福利性单位声明函</w:t>
      </w:r>
    </w:p>
    <w:p w14:paraId="190B759D">
      <w:pPr>
        <w:shd w:val="clear"/>
        <w:spacing w:before="240" w:line="588"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color w:val="auto"/>
          <w:kern w:val="2"/>
          <w:sz w:val="24"/>
          <w:highlight w:val="none"/>
          <w:u w:val="single"/>
        </w:rPr>
        <w:t>南通市机关事务管理局2025年度（第一批）监理项目（项目编号：</w:t>
      </w:r>
      <w:r>
        <w:rPr>
          <w:rFonts w:hint="eastAsia" w:ascii="宋体" w:hAnsi="宋体" w:cs="宋体"/>
          <w:snapToGrid/>
          <w:color w:val="auto"/>
          <w:kern w:val="2"/>
          <w:sz w:val="24"/>
          <w:highlight w:val="none"/>
          <w:u w:val="single"/>
          <w:lang w:val="en-US" w:eastAsia="zh-CN"/>
        </w:rPr>
        <w:t xml:space="preserve">  </w:t>
      </w:r>
      <w:r>
        <w:rPr>
          <w:rFonts w:hint="eastAsia" w:ascii="宋体" w:hAnsi="宋体" w:eastAsia="宋体" w:cs="宋体"/>
          <w:snapToGrid/>
          <w:color w:val="auto"/>
          <w:kern w:val="2"/>
          <w:sz w:val="24"/>
          <w:highlight w:val="none"/>
          <w:u w:val="single"/>
        </w:rPr>
        <w:t>)</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4BAC7AD8">
      <w:pPr>
        <w:shd w:val="clear"/>
        <w:spacing w:line="588"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C1EA5C0">
      <w:pPr>
        <w:shd w:val="clear"/>
        <w:spacing w:line="588" w:lineRule="exact"/>
        <w:ind w:firstLine="420" w:firstLineChars="200"/>
        <w:rPr>
          <w:rFonts w:ascii="宋体" w:hAnsi="宋体" w:eastAsia="宋体" w:cs="宋体"/>
          <w:color w:val="auto"/>
          <w:highlight w:val="none"/>
        </w:rPr>
      </w:pPr>
    </w:p>
    <w:p w14:paraId="2D99BB8F">
      <w:pPr>
        <w:shd w:val="clear"/>
        <w:spacing w:line="588" w:lineRule="exact"/>
        <w:ind w:firstLine="444" w:firstLineChars="200"/>
        <w:rPr>
          <w:rFonts w:ascii="宋体" w:hAnsi="宋体" w:eastAsia="宋体" w:cs="宋体"/>
          <w:color w:val="auto"/>
          <w:spacing w:val="6"/>
          <w:highlight w:val="none"/>
        </w:rPr>
      </w:pPr>
    </w:p>
    <w:p w14:paraId="75313497">
      <w:pPr>
        <w:shd w:val="clear"/>
        <w:spacing w:line="588" w:lineRule="exact"/>
        <w:ind w:firstLine="444" w:firstLineChars="200"/>
        <w:rPr>
          <w:rFonts w:ascii="宋体" w:hAnsi="宋体" w:eastAsia="宋体" w:cs="宋体"/>
          <w:color w:val="auto"/>
          <w:spacing w:val="6"/>
          <w:highlight w:val="none"/>
        </w:rPr>
      </w:pPr>
    </w:p>
    <w:p w14:paraId="49D4A42D">
      <w:pPr>
        <w:shd w:val="clear"/>
        <w:snapToGrid w:val="0"/>
        <w:spacing w:line="360" w:lineRule="auto"/>
        <w:ind w:right="79"/>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color="000000"/>
        </w:rPr>
        <w:t xml:space="preserve">　            </w:t>
      </w:r>
      <w:r>
        <w:rPr>
          <w:rFonts w:hint="eastAsia" w:ascii="宋体" w:hAnsi="宋体" w:eastAsia="宋体" w:cs="宋体"/>
          <w:color w:val="auto"/>
          <w:sz w:val="24"/>
          <w:highlight w:val="none"/>
        </w:rPr>
        <w:t>（单位盖章）</w:t>
      </w:r>
    </w:p>
    <w:p w14:paraId="7B09F31F">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color="000000"/>
        </w:rPr>
        <w:t xml:space="preserve">　            </w:t>
      </w:r>
    </w:p>
    <w:p w14:paraId="332CC888">
      <w:pPr>
        <w:shd w:val="clear"/>
        <w:adjustRightInd w:val="0"/>
        <w:snapToGrid w:val="0"/>
        <w:spacing w:line="480" w:lineRule="auto"/>
        <w:jc w:val="left"/>
        <w:rPr>
          <w:color w:val="auto"/>
          <w:highlight w:val="none"/>
        </w:rPr>
      </w:pPr>
      <w:r>
        <w:rPr>
          <w:rFonts w:hint="eastAsia" w:ascii="宋体" w:hAnsi="宋体" w:eastAsia="宋体" w:cs="宋体"/>
          <w:color w:val="auto"/>
          <w:sz w:val="24"/>
          <w:highlight w:val="none"/>
        </w:rPr>
        <w:t>日期：  年  月  日</w:t>
      </w:r>
    </w:p>
    <w:p w14:paraId="6E7C466E">
      <w:pPr>
        <w:shd w:val="clear"/>
        <w:snapToGrid w:val="0"/>
        <w:spacing w:line="360" w:lineRule="auto"/>
        <w:ind w:firstLine="4536" w:firstLineChars="1800"/>
        <w:rPr>
          <w:rFonts w:ascii="宋体" w:hAnsi="宋体" w:eastAsia="宋体" w:cs="宋体"/>
          <w:color w:val="auto"/>
          <w:sz w:val="28"/>
          <w:szCs w:val="28"/>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 xml:space="preserve">          </w:t>
      </w:r>
    </w:p>
    <w:p w14:paraId="474A0507">
      <w:pPr>
        <w:shd w:val="clear"/>
        <w:snapToGrid w:val="0"/>
        <w:spacing w:line="300" w:lineRule="auto"/>
        <w:outlineLvl w:val="0"/>
        <w:rPr>
          <w:rFonts w:ascii="宋体" w:hAnsi="宋体" w:eastAsia="宋体" w:cs="宋体"/>
          <w:color w:val="auto"/>
          <w:sz w:val="28"/>
          <w:szCs w:val="28"/>
          <w:highlight w:val="none"/>
        </w:rPr>
      </w:pPr>
    </w:p>
    <w:p w14:paraId="0CDD4F66">
      <w:pPr>
        <w:shd w:val="clear"/>
        <w:snapToGrid w:val="0"/>
        <w:spacing w:line="300" w:lineRule="auto"/>
        <w:outlineLvl w:val="0"/>
        <w:rPr>
          <w:rFonts w:ascii="宋体" w:hAnsi="宋体" w:eastAsia="宋体" w:cs="宋体"/>
          <w:color w:val="auto"/>
          <w:sz w:val="28"/>
          <w:szCs w:val="28"/>
          <w:highlight w:val="none"/>
        </w:rPr>
      </w:pPr>
    </w:p>
    <w:p w14:paraId="15F45647">
      <w:pPr>
        <w:shd w:val="clear"/>
        <w:snapToGrid w:val="0"/>
        <w:spacing w:line="300" w:lineRule="auto"/>
        <w:outlineLvl w:val="0"/>
        <w:rPr>
          <w:rFonts w:ascii="宋体" w:hAnsi="宋体" w:eastAsia="宋体" w:cs="宋体"/>
          <w:color w:val="auto"/>
          <w:sz w:val="28"/>
          <w:szCs w:val="28"/>
          <w:highlight w:val="none"/>
        </w:rPr>
      </w:pPr>
    </w:p>
    <w:p w14:paraId="7E5D3D94">
      <w:pPr>
        <w:shd w:val="clear"/>
        <w:snapToGrid w:val="0"/>
        <w:spacing w:line="300" w:lineRule="auto"/>
        <w:outlineLvl w:val="0"/>
        <w:rPr>
          <w:rFonts w:ascii="宋体" w:hAnsi="宋体" w:eastAsia="宋体" w:cs="宋体"/>
          <w:color w:val="auto"/>
          <w:sz w:val="28"/>
          <w:szCs w:val="28"/>
          <w:highlight w:val="none"/>
        </w:rPr>
      </w:pPr>
    </w:p>
    <w:p w14:paraId="329386AA">
      <w:pPr>
        <w:shd w:val="clear"/>
        <w:snapToGrid w:val="0"/>
        <w:spacing w:line="300" w:lineRule="auto"/>
        <w:outlineLvl w:val="0"/>
        <w:rPr>
          <w:rFonts w:ascii="宋体" w:hAnsi="宋体" w:eastAsia="宋体" w:cs="宋体"/>
          <w:color w:val="auto"/>
          <w:sz w:val="28"/>
          <w:szCs w:val="28"/>
          <w:highlight w:val="none"/>
        </w:rPr>
      </w:pPr>
    </w:p>
    <w:p w14:paraId="67EF6D6C">
      <w:pPr>
        <w:widowControl/>
        <w:shd w:val="clear"/>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3634D13">
      <w:pPr>
        <w:shd w:val="clear"/>
        <w:snapToGrid w:val="0"/>
        <w:spacing w:line="420" w:lineRule="exact"/>
        <w:jc w:val="center"/>
        <w:outlineLvl w:val="3"/>
        <w:rPr>
          <w:rFonts w:ascii="宋体" w:hAnsi="宋体" w:eastAsia="宋体" w:cs="宋体"/>
          <w:b/>
          <w:bCs/>
          <w:color w:val="auto"/>
          <w:sz w:val="28"/>
          <w:highlight w:val="none"/>
        </w:rPr>
      </w:pPr>
      <w:r>
        <w:rPr>
          <w:rFonts w:hint="eastAsia" w:ascii="宋体" w:hAnsi="宋体" w:eastAsia="宋体" w:cs="宋体"/>
          <w:b/>
          <w:bCs/>
          <w:color w:val="auto"/>
          <w:sz w:val="28"/>
          <w:highlight w:val="none"/>
          <w:lang w:val="en-US" w:eastAsia="zh-CN"/>
        </w:rPr>
        <w:t>13</w:t>
      </w:r>
      <w:r>
        <w:rPr>
          <w:rFonts w:hint="eastAsia" w:ascii="宋体" w:hAnsi="宋体" w:eastAsia="宋体" w:cs="宋体"/>
          <w:b/>
          <w:bCs/>
          <w:color w:val="auto"/>
          <w:sz w:val="28"/>
          <w:highlight w:val="none"/>
        </w:rPr>
        <w:t>、监狱和戒毒企业证明材料</w:t>
      </w:r>
    </w:p>
    <w:p w14:paraId="0087D49F">
      <w:pPr>
        <w:shd w:val="clear"/>
        <w:snapToGrid w:val="0"/>
        <w:spacing w:line="420" w:lineRule="exact"/>
        <w:ind w:firstLine="371" w:firstLineChars="177"/>
        <w:rPr>
          <w:rFonts w:ascii="宋体" w:hAnsi="宋体" w:eastAsia="宋体" w:cs="宋体"/>
          <w:color w:val="auto"/>
          <w:highlight w:val="none"/>
        </w:rPr>
      </w:pPr>
    </w:p>
    <w:p w14:paraId="71B1B318">
      <w:pPr>
        <w:shd w:val="clear"/>
        <w:snapToGrid w:val="0"/>
        <w:spacing w:line="420" w:lineRule="exact"/>
        <w:ind w:firstLine="373" w:firstLineChars="177"/>
        <w:jc w:val="center"/>
        <w:rPr>
          <w:rFonts w:ascii="宋体" w:hAnsi="宋体" w:eastAsia="宋体" w:cs="宋体"/>
          <w:b/>
          <w:color w:val="auto"/>
          <w:highlight w:val="none"/>
        </w:rPr>
      </w:pPr>
      <w:r>
        <w:rPr>
          <w:rFonts w:hint="eastAsia" w:ascii="宋体" w:hAnsi="宋体" w:eastAsia="宋体" w:cs="宋体"/>
          <w:b/>
          <w:color w:val="auto"/>
          <w:highlight w:val="none"/>
        </w:rPr>
        <w:t>（格式自拟）</w:t>
      </w:r>
    </w:p>
    <w:p w14:paraId="3AE078BB">
      <w:pPr>
        <w:shd w:val="clear"/>
        <w:tabs>
          <w:tab w:val="left" w:pos="1260"/>
        </w:tabs>
        <w:snapToGrid w:val="0"/>
        <w:spacing w:line="300" w:lineRule="auto"/>
        <w:contextualSpacing/>
        <w:rPr>
          <w:rFonts w:ascii="宋体" w:hAnsi="宋体" w:eastAsia="宋体" w:cs="宋体"/>
          <w:color w:val="auto"/>
          <w:sz w:val="24"/>
          <w:highlight w:val="none"/>
        </w:rPr>
      </w:pPr>
    </w:p>
    <w:p w14:paraId="6EB3415D">
      <w:pPr>
        <w:shd w:val="clear"/>
        <w:tabs>
          <w:tab w:val="left" w:pos="1260"/>
        </w:tabs>
        <w:snapToGrid w:val="0"/>
        <w:spacing w:line="360" w:lineRule="auto"/>
        <w:ind w:firstLine="480" w:firstLineChars="200"/>
        <w:contextualSpacing/>
        <w:rPr>
          <w:rFonts w:ascii="宋体" w:hAnsi="Times New Roman" w:eastAsia="宋体"/>
          <w:b/>
          <w:bCs/>
          <w:snapToGrid/>
          <w:color w:val="auto"/>
          <w:kern w:val="2"/>
          <w:sz w:val="28"/>
          <w:szCs w:val="28"/>
          <w:highlight w:val="none"/>
        </w:rPr>
      </w:pPr>
      <w:r>
        <w:rPr>
          <w:rFonts w:hint="eastAsia" w:ascii="宋体" w:hAnsi="宋体" w:eastAsia="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C9447D8">
      <w:pPr>
        <w:shd w:val="clear"/>
        <w:rPr>
          <w:rFonts w:hint="eastAsia"/>
          <w:color w:val="auto"/>
          <w:highlight w:val="none"/>
          <w:lang w:val="en-US" w:eastAsia="zh-CN"/>
        </w:rPr>
      </w:pPr>
    </w:p>
    <w:p w14:paraId="1EEC3EB6">
      <w:pPr>
        <w:pStyle w:val="2"/>
        <w:shd w:val="clear"/>
        <w:rPr>
          <w:rFonts w:hint="eastAsia"/>
          <w:color w:val="auto"/>
          <w:highlight w:val="none"/>
          <w:lang w:val="en-US" w:eastAsia="zh-CN"/>
        </w:rPr>
      </w:pPr>
    </w:p>
    <w:p w14:paraId="69CFA421">
      <w:pPr>
        <w:pStyle w:val="3"/>
        <w:shd w:val="clear"/>
        <w:rPr>
          <w:rFonts w:hint="eastAsia"/>
          <w:color w:val="auto"/>
          <w:highlight w:val="none"/>
          <w:lang w:val="en-US" w:eastAsia="zh-CN"/>
        </w:rPr>
      </w:pPr>
    </w:p>
    <w:p w14:paraId="0698C054">
      <w:pPr>
        <w:shd w:val="clear"/>
        <w:rPr>
          <w:rFonts w:hint="eastAsia"/>
          <w:color w:val="auto"/>
          <w:highlight w:val="none"/>
          <w:lang w:val="en-US" w:eastAsia="zh-CN"/>
        </w:rPr>
      </w:pPr>
    </w:p>
    <w:p w14:paraId="5DA51201">
      <w:pPr>
        <w:pStyle w:val="2"/>
        <w:shd w:val="clear"/>
        <w:rPr>
          <w:rFonts w:hint="eastAsia"/>
          <w:color w:val="auto"/>
          <w:highlight w:val="none"/>
          <w:lang w:val="en-US" w:eastAsia="zh-CN"/>
        </w:rPr>
      </w:pPr>
    </w:p>
    <w:p w14:paraId="40DA9BAB">
      <w:pPr>
        <w:pStyle w:val="3"/>
        <w:shd w:val="clear"/>
        <w:rPr>
          <w:rFonts w:hint="eastAsia"/>
          <w:color w:val="auto"/>
          <w:highlight w:val="none"/>
          <w:lang w:val="en-US" w:eastAsia="zh-CN"/>
        </w:rPr>
      </w:pPr>
    </w:p>
    <w:p w14:paraId="5C0AC8CF">
      <w:pPr>
        <w:shd w:val="clear"/>
        <w:rPr>
          <w:rFonts w:hint="eastAsia"/>
          <w:color w:val="auto"/>
          <w:highlight w:val="none"/>
          <w:lang w:val="en-US" w:eastAsia="zh-CN"/>
        </w:rPr>
      </w:pPr>
    </w:p>
    <w:p w14:paraId="027ED563">
      <w:pPr>
        <w:pStyle w:val="2"/>
        <w:shd w:val="clear"/>
        <w:rPr>
          <w:rFonts w:hint="eastAsia"/>
          <w:color w:val="auto"/>
          <w:highlight w:val="none"/>
          <w:lang w:val="en-US" w:eastAsia="zh-CN"/>
        </w:rPr>
      </w:pPr>
    </w:p>
    <w:p w14:paraId="4E1958B9">
      <w:pPr>
        <w:pStyle w:val="3"/>
        <w:shd w:val="clear"/>
        <w:rPr>
          <w:rFonts w:hint="eastAsia"/>
          <w:color w:val="auto"/>
          <w:highlight w:val="none"/>
          <w:lang w:val="en-US" w:eastAsia="zh-CN"/>
        </w:rPr>
      </w:pPr>
    </w:p>
    <w:p w14:paraId="2D182705">
      <w:pPr>
        <w:shd w:val="clear"/>
        <w:rPr>
          <w:rFonts w:hint="eastAsia"/>
          <w:color w:val="auto"/>
          <w:highlight w:val="none"/>
          <w:lang w:val="en-US" w:eastAsia="zh-CN"/>
        </w:rPr>
      </w:pPr>
    </w:p>
    <w:p w14:paraId="1A61284E">
      <w:pPr>
        <w:pStyle w:val="2"/>
        <w:shd w:val="clear"/>
        <w:rPr>
          <w:rFonts w:hint="eastAsia"/>
          <w:color w:val="auto"/>
          <w:highlight w:val="none"/>
          <w:lang w:val="en-US" w:eastAsia="zh-CN"/>
        </w:rPr>
      </w:pPr>
    </w:p>
    <w:p w14:paraId="19345F6F">
      <w:pPr>
        <w:pStyle w:val="3"/>
        <w:shd w:val="clear"/>
        <w:rPr>
          <w:rFonts w:hint="eastAsia"/>
          <w:color w:val="auto"/>
          <w:highlight w:val="none"/>
          <w:lang w:val="en-US" w:eastAsia="zh-CN"/>
        </w:rPr>
      </w:pPr>
    </w:p>
    <w:p w14:paraId="19EB4A58">
      <w:pPr>
        <w:shd w:val="clear"/>
        <w:rPr>
          <w:rFonts w:hint="eastAsia"/>
          <w:color w:val="auto"/>
          <w:highlight w:val="none"/>
          <w:lang w:val="en-US" w:eastAsia="zh-CN"/>
        </w:rPr>
      </w:pPr>
    </w:p>
    <w:p w14:paraId="3C6EEEB3">
      <w:pPr>
        <w:pStyle w:val="2"/>
        <w:shd w:val="clear"/>
        <w:rPr>
          <w:rFonts w:hint="eastAsia"/>
          <w:color w:val="auto"/>
          <w:highlight w:val="none"/>
          <w:lang w:val="en-US" w:eastAsia="zh-CN"/>
        </w:rPr>
      </w:pPr>
    </w:p>
    <w:p w14:paraId="7F54BF26">
      <w:pPr>
        <w:pStyle w:val="3"/>
        <w:shd w:val="clear"/>
        <w:rPr>
          <w:rFonts w:hint="eastAsia"/>
          <w:color w:val="auto"/>
          <w:highlight w:val="none"/>
          <w:lang w:val="en-US" w:eastAsia="zh-CN"/>
        </w:rPr>
      </w:pPr>
    </w:p>
    <w:p w14:paraId="616452F1">
      <w:pPr>
        <w:shd w:val="clear"/>
        <w:rPr>
          <w:rFonts w:hint="eastAsia"/>
          <w:color w:val="auto"/>
          <w:highlight w:val="none"/>
          <w:lang w:val="en-US" w:eastAsia="zh-CN"/>
        </w:rPr>
      </w:pPr>
    </w:p>
    <w:p w14:paraId="53F76B78">
      <w:pPr>
        <w:pStyle w:val="2"/>
        <w:shd w:val="clear"/>
        <w:rPr>
          <w:rFonts w:hint="eastAsia"/>
          <w:color w:val="auto"/>
          <w:highlight w:val="none"/>
          <w:lang w:val="en-US" w:eastAsia="zh-CN"/>
        </w:rPr>
      </w:pPr>
    </w:p>
    <w:p w14:paraId="477D8662">
      <w:pPr>
        <w:pStyle w:val="3"/>
        <w:shd w:val="clear"/>
        <w:rPr>
          <w:rFonts w:hint="eastAsia"/>
          <w:color w:val="auto"/>
          <w:highlight w:val="none"/>
          <w:lang w:val="en-US" w:eastAsia="zh-CN"/>
        </w:rPr>
      </w:pPr>
    </w:p>
    <w:p w14:paraId="116BB89A">
      <w:pPr>
        <w:shd w:val="clear"/>
        <w:rPr>
          <w:rFonts w:hint="eastAsia"/>
          <w:color w:val="auto"/>
          <w:highlight w:val="none"/>
          <w:lang w:val="en-US" w:eastAsia="zh-CN"/>
        </w:rPr>
      </w:pPr>
    </w:p>
    <w:p w14:paraId="7DEA4DB4">
      <w:pPr>
        <w:pStyle w:val="2"/>
        <w:shd w:val="clear"/>
        <w:rPr>
          <w:rFonts w:hint="eastAsia"/>
          <w:color w:val="auto"/>
          <w:highlight w:val="none"/>
          <w:lang w:val="en-US" w:eastAsia="zh-CN"/>
        </w:rPr>
      </w:pPr>
    </w:p>
    <w:p w14:paraId="1447F791">
      <w:pPr>
        <w:pStyle w:val="3"/>
        <w:shd w:val="clear"/>
        <w:rPr>
          <w:rFonts w:hint="eastAsia"/>
          <w:color w:val="auto"/>
          <w:highlight w:val="none"/>
          <w:lang w:val="en-US" w:eastAsia="zh-CN"/>
        </w:rPr>
      </w:pPr>
    </w:p>
    <w:p w14:paraId="16665158">
      <w:pPr>
        <w:shd w:val="clear"/>
        <w:rPr>
          <w:rFonts w:hint="eastAsia"/>
          <w:color w:val="auto"/>
          <w:highlight w:val="none"/>
          <w:lang w:val="en-US" w:eastAsia="zh-CN"/>
        </w:rPr>
      </w:pPr>
    </w:p>
    <w:p w14:paraId="42EB1F9A">
      <w:pPr>
        <w:pStyle w:val="2"/>
        <w:shd w:val="clear"/>
        <w:rPr>
          <w:rFonts w:hint="eastAsia"/>
          <w:color w:val="auto"/>
          <w:highlight w:val="none"/>
          <w:lang w:val="en-US" w:eastAsia="zh-CN"/>
        </w:rPr>
      </w:pPr>
    </w:p>
    <w:p w14:paraId="04B625EC">
      <w:pPr>
        <w:pStyle w:val="3"/>
        <w:shd w:val="clear"/>
        <w:rPr>
          <w:rFonts w:hint="eastAsia"/>
          <w:color w:val="auto"/>
          <w:highlight w:val="none"/>
          <w:lang w:val="en-US" w:eastAsia="zh-CN"/>
        </w:rPr>
      </w:pPr>
    </w:p>
    <w:p w14:paraId="5CD6E685">
      <w:pPr>
        <w:shd w:val="clear"/>
        <w:rPr>
          <w:rFonts w:hint="eastAsia"/>
          <w:color w:val="auto"/>
          <w:highlight w:val="none"/>
          <w:lang w:val="en-US" w:eastAsia="zh-CN"/>
        </w:rPr>
      </w:pPr>
    </w:p>
    <w:p w14:paraId="6D61DD56">
      <w:pPr>
        <w:pStyle w:val="2"/>
        <w:shd w:val="clear"/>
        <w:rPr>
          <w:rFonts w:hint="eastAsia"/>
          <w:color w:val="auto"/>
          <w:highlight w:val="none"/>
          <w:lang w:val="en-US" w:eastAsia="zh-CN"/>
        </w:rPr>
      </w:pPr>
    </w:p>
    <w:p w14:paraId="0D832D48">
      <w:pPr>
        <w:pStyle w:val="3"/>
        <w:shd w:val="clear"/>
        <w:rPr>
          <w:rFonts w:hint="eastAsia"/>
          <w:color w:val="auto"/>
          <w:highlight w:val="none"/>
          <w:lang w:val="en-US" w:eastAsia="zh-CN"/>
        </w:rPr>
      </w:pPr>
    </w:p>
    <w:p w14:paraId="4F9AA47C">
      <w:pPr>
        <w:shd w:val="clear"/>
        <w:rPr>
          <w:rFonts w:hint="eastAsia"/>
          <w:color w:val="auto"/>
          <w:highlight w:val="none"/>
          <w:lang w:val="en-US" w:eastAsia="zh-CN"/>
        </w:rPr>
      </w:pPr>
    </w:p>
    <w:p w14:paraId="705DE1C9">
      <w:pPr>
        <w:pStyle w:val="2"/>
        <w:shd w:val="clear"/>
        <w:rPr>
          <w:rFonts w:hint="eastAsia"/>
          <w:color w:val="auto"/>
          <w:highlight w:val="none"/>
          <w:lang w:val="en-US" w:eastAsia="zh-CN"/>
        </w:rPr>
      </w:pPr>
    </w:p>
    <w:p w14:paraId="35BA6338">
      <w:pPr>
        <w:pStyle w:val="3"/>
        <w:shd w:val="clear"/>
        <w:rPr>
          <w:rFonts w:hint="eastAsia"/>
          <w:color w:val="auto"/>
          <w:highlight w:val="none"/>
          <w:lang w:val="en-US" w:eastAsia="zh-CN"/>
        </w:rPr>
      </w:pPr>
    </w:p>
    <w:p w14:paraId="37C906A8">
      <w:pPr>
        <w:shd w:val="clear"/>
        <w:rPr>
          <w:rFonts w:hint="eastAsia"/>
          <w:color w:val="auto"/>
          <w:highlight w:val="none"/>
          <w:lang w:val="en-US" w:eastAsia="zh-CN"/>
        </w:rPr>
      </w:pPr>
    </w:p>
    <w:p w14:paraId="53BA1894">
      <w:pPr>
        <w:pStyle w:val="2"/>
        <w:shd w:val="clear"/>
        <w:rPr>
          <w:rFonts w:hint="eastAsia"/>
          <w:color w:val="auto"/>
          <w:highlight w:val="none"/>
          <w:lang w:val="en-US" w:eastAsia="zh-CN"/>
        </w:rPr>
      </w:pPr>
    </w:p>
    <w:p w14:paraId="24F96AB3">
      <w:pPr>
        <w:pStyle w:val="3"/>
        <w:shd w:val="clear"/>
        <w:rPr>
          <w:rFonts w:hint="eastAsia"/>
          <w:color w:val="auto"/>
          <w:highlight w:val="none"/>
          <w:lang w:val="en-US" w:eastAsia="zh-CN"/>
        </w:rPr>
      </w:pPr>
    </w:p>
    <w:p w14:paraId="057CC840">
      <w:pPr>
        <w:shd w:val="clear"/>
        <w:rPr>
          <w:rFonts w:hint="eastAsia"/>
          <w:color w:val="auto"/>
          <w:highlight w:val="none"/>
          <w:lang w:val="en-US" w:eastAsia="zh-CN"/>
        </w:rPr>
      </w:pPr>
    </w:p>
    <w:p w14:paraId="092DFC3B">
      <w:pPr>
        <w:pStyle w:val="2"/>
        <w:shd w:val="clear"/>
        <w:rPr>
          <w:rFonts w:hint="eastAsia"/>
          <w:color w:val="auto"/>
          <w:highlight w:val="none"/>
          <w:lang w:val="en-US" w:eastAsia="zh-CN"/>
        </w:rPr>
      </w:pPr>
    </w:p>
    <w:p w14:paraId="334D4A0B">
      <w:pPr>
        <w:pStyle w:val="3"/>
        <w:shd w:val="clear"/>
        <w:rPr>
          <w:rFonts w:hint="eastAsia"/>
          <w:color w:val="auto"/>
          <w:highlight w:val="none"/>
          <w:lang w:val="en-US" w:eastAsia="zh-CN"/>
        </w:rPr>
      </w:pPr>
    </w:p>
    <w:p w14:paraId="1A9830FE">
      <w:pPr>
        <w:shd w:val="clear"/>
        <w:rPr>
          <w:rFonts w:hint="eastAsia"/>
          <w:color w:val="auto"/>
          <w:highlight w:val="none"/>
          <w:lang w:val="en-US" w:eastAsia="zh-CN"/>
        </w:rPr>
      </w:pPr>
    </w:p>
    <w:p w14:paraId="0AD7045A">
      <w:pPr>
        <w:shd w:val="clear"/>
        <w:jc w:val="center"/>
        <w:rPr>
          <w:rFonts w:ascii="黑体" w:hAnsi="黑体" w:eastAsia="黑体" w:cs="仿宋"/>
          <w:bCs/>
          <w:color w:val="auto"/>
          <w:sz w:val="44"/>
          <w:szCs w:val="44"/>
          <w:highlight w:val="none"/>
        </w:rPr>
      </w:pPr>
      <w:r>
        <w:rPr>
          <w:rFonts w:hint="eastAsia" w:ascii="宋体" w:hAnsi="宋体" w:eastAsia="宋体" w:cs="宋体"/>
          <w:b/>
          <w:bCs/>
          <w:color w:val="auto"/>
          <w:sz w:val="28"/>
          <w:szCs w:val="28"/>
          <w:highlight w:val="none"/>
        </w:rPr>
        <w:t>1</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、质疑函范本</w:t>
      </w:r>
    </w:p>
    <w:p w14:paraId="246A159B">
      <w:pPr>
        <w:shd w:val="clea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EAEFBDE">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3F16F80B">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0CD29681">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联系人：                                联系电话：</w:t>
      </w:r>
    </w:p>
    <w:p w14:paraId="7EFDB91C">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1FBCEDA5">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p w14:paraId="3670331B">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                                   邮编：</w:t>
      </w:r>
    </w:p>
    <w:p w14:paraId="2453B4C4">
      <w:pPr>
        <w:shd w:val="clea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322DD3E">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4F2BCA86">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质疑项目的编号：                         包号：</w:t>
      </w:r>
    </w:p>
    <w:p w14:paraId="791EDDE7">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7A228B5D">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14:paraId="279E280E">
      <w:pPr>
        <w:shd w:val="clea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19CB962">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77576160">
      <w:pPr>
        <w:shd w:val="clear"/>
        <w:adjustRightInd w:val="0"/>
        <w:snapToGrid w:val="0"/>
        <w:spacing w:line="360" w:lineRule="auto"/>
        <w:rPr>
          <w:rFonts w:ascii="宋体" w:hAnsi="宋体" w:eastAsia="宋体" w:cs="宋体"/>
          <w:color w:val="auto"/>
          <w:sz w:val="24"/>
          <w:highlight w:val="none"/>
        </w:rPr>
      </w:pPr>
    </w:p>
    <w:p w14:paraId="6A1196DA">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282E78A8">
      <w:pPr>
        <w:shd w:val="clear"/>
        <w:adjustRightInd w:val="0"/>
        <w:snapToGrid w:val="0"/>
        <w:spacing w:line="360" w:lineRule="auto"/>
        <w:rPr>
          <w:rFonts w:ascii="宋体" w:hAnsi="宋体" w:eastAsia="宋体" w:cs="宋体"/>
          <w:color w:val="auto"/>
          <w:sz w:val="24"/>
          <w:highlight w:val="none"/>
        </w:rPr>
      </w:pPr>
    </w:p>
    <w:p w14:paraId="2D40A2DC">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7E379CC0">
      <w:pPr>
        <w:shd w:val="clear"/>
        <w:adjustRightInd w:val="0"/>
        <w:snapToGrid w:val="0"/>
        <w:spacing w:line="360" w:lineRule="auto"/>
        <w:rPr>
          <w:rFonts w:ascii="宋体" w:hAnsi="宋体" w:eastAsia="宋体" w:cs="宋体"/>
          <w:color w:val="auto"/>
          <w:sz w:val="24"/>
          <w:highlight w:val="none"/>
          <w:u w:val="dotted"/>
        </w:rPr>
      </w:pPr>
    </w:p>
    <w:p w14:paraId="6A47D0EE">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BD8083D">
      <w:pPr>
        <w:shd w:val="clea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4277484F">
      <w:pPr>
        <w:shd w:val="clear"/>
        <w:adjustRightInd w:val="0"/>
        <w:snapToGrid w:val="0"/>
        <w:spacing w:line="36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A7FAF1D">
      <w:pPr>
        <w:shd w:val="clear"/>
        <w:adjustRightInd w:val="0"/>
        <w:snapToGrid w:val="0"/>
        <w:spacing w:line="360" w:lineRule="auto"/>
        <w:rPr>
          <w:rFonts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219CD129">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C5F3DCB">
      <w:pPr>
        <w:shd w:val="clea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38CD14B">
      <w:pPr>
        <w:shd w:val="clear"/>
        <w:adjustRightInd w:val="0"/>
        <w:snapToGrid w:val="0"/>
        <w:spacing w:line="360" w:lineRule="auto"/>
        <w:rPr>
          <w:rFonts w:ascii="宋体" w:hAnsi="宋体" w:eastAsia="宋体" w:cs="宋体"/>
          <w:color w:val="auto"/>
          <w:sz w:val="24"/>
          <w:highlight w:val="none"/>
        </w:rPr>
      </w:pPr>
    </w:p>
    <w:p w14:paraId="1BEC46B8">
      <w:pPr>
        <w:shd w:val="clear"/>
        <w:snapToGrid w:val="0"/>
        <w:spacing w:line="360" w:lineRule="auto"/>
        <w:rPr>
          <w:rFonts w:ascii="宋体" w:hAnsi="宋体" w:eastAsia="宋体" w:cs="宋体"/>
          <w:b/>
          <w:color w:val="auto"/>
          <w:sz w:val="24"/>
          <w:highlight w:val="none"/>
        </w:rPr>
      </w:pPr>
    </w:p>
    <w:p w14:paraId="69CA8667">
      <w:pPr>
        <w:shd w:val="clear"/>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63184FE">
      <w:pPr>
        <w:widowControl/>
        <w:shd w:val="clea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8756CFF">
      <w:pPr>
        <w:widowControl/>
        <w:shd w:val="clea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55614C7">
      <w:pPr>
        <w:widowControl/>
        <w:shd w:val="clea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D410C79">
      <w:pPr>
        <w:widowControl/>
        <w:shd w:val="clea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85712FB">
      <w:pPr>
        <w:widowControl/>
        <w:shd w:val="clear"/>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363D119B">
      <w:pPr>
        <w:widowControl/>
        <w:shd w:val="clear"/>
        <w:snapToGrid w:val="0"/>
        <w:spacing w:line="360" w:lineRule="auto"/>
        <w:ind w:firstLine="480" w:firstLineChars="200"/>
        <w:jc w:val="left"/>
        <w:rPr>
          <w:rFonts w:ascii="宋体" w:hAnsi="宋体" w:eastAsia="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9CCE3A3">
      <w:pPr>
        <w:pStyle w:val="42"/>
        <w:shd w:val="clear"/>
        <w:ind w:left="0"/>
        <w:jc w:val="center"/>
        <w:rPr>
          <w:rFonts w:ascii="宋体" w:hAnsi="宋体" w:cs="宋体"/>
          <w:color w:val="auto"/>
          <w:sz w:val="24"/>
          <w:szCs w:val="24"/>
          <w:highlight w:val="none"/>
        </w:rPr>
      </w:pPr>
    </w:p>
    <w:p w14:paraId="4C303FED">
      <w:pPr>
        <w:pStyle w:val="17"/>
        <w:shd w:val="clear"/>
        <w:rPr>
          <w:rFonts w:ascii="宋体" w:hAnsi="宋体" w:cs="宋体"/>
          <w:color w:val="auto"/>
          <w:sz w:val="24"/>
          <w:szCs w:val="24"/>
          <w:highlight w:val="none"/>
        </w:rPr>
      </w:pPr>
    </w:p>
    <w:p w14:paraId="4608F6F9">
      <w:pPr>
        <w:shd w:val="clear"/>
        <w:rPr>
          <w:rFonts w:ascii="宋体" w:hAnsi="宋体" w:cs="宋体"/>
          <w:color w:val="auto"/>
          <w:sz w:val="24"/>
          <w:highlight w:val="none"/>
        </w:rPr>
      </w:pPr>
    </w:p>
    <w:p w14:paraId="5C0552DD">
      <w:pPr>
        <w:pStyle w:val="6"/>
        <w:shd w:val="clear"/>
        <w:jc w:val="center"/>
        <w:rPr>
          <w:color w:val="auto"/>
          <w:sz w:val="24"/>
          <w:szCs w:val="24"/>
          <w:highlight w:val="none"/>
        </w:rPr>
      </w:pPr>
      <w:r>
        <w:rPr>
          <w:rFonts w:hint="eastAsia" w:ascii="宋体" w:hAnsi="宋体" w:eastAsia="宋体" w:cs="宋体"/>
          <w:color w:val="auto"/>
          <w:sz w:val="24"/>
          <w:szCs w:val="24"/>
          <w:highlight w:val="none"/>
        </w:rPr>
        <w:t>……全文结束……</w:t>
      </w:r>
    </w:p>
    <w:p w14:paraId="538B912D">
      <w:pPr>
        <w:pStyle w:val="2"/>
        <w:shd w:val="clear"/>
        <w:rPr>
          <w:rFonts w:hint="eastAsia"/>
          <w:color w:val="auto"/>
          <w:highlight w:val="none"/>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D667E">
    <w:pPr>
      <w:pStyle w:val="34"/>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4" name="文本框 1025"/>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14:paraId="15CBC403">
                          <w:pPr>
                            <w:pStyle w:val="34"/>
                            <w:jc w:val="center"/>
                            <w:rPr>
                              <w:rFonts w:cs="Times New Roman"/>
                            </w:rPr>
                          </w:pPr>
                          <w:r>
                            <w:rPr>
                              <w:b/>
                              <w:bCs/>
                            </w:rPr>
                            <w:fldChar w:fldCharType="begin"/>
                          </w:r>
                          <w:r>
                            <w:rPr>
                              <w:b/>
                              <w:bCs/>
                            </w:rPr>
                            <w:instrText xml:space="preserve">PAGE</w:instrText>
                          </w:r>
                          <w:r>
                            <w:rPr>
                              <w:b/>
                              <w:bCs/>
                            </w:rPr>
                            <w:fldChar w:fldCharType="separate"/>
                          </w:r>
                          <w:r>
                            <w:rPr>
                              <w:b/>
                              <w:bCs/>
                            </w:rPr>
                            <w:t>- 4 -</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&#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kqE+tUBAACpAwAADgAAAAAAAAABACAAAAAf&#10;AQAAZHJzL2Uyb0RvYy54bWxQSwUGAAAAAAYABgBZAQAAZgUAAAAA&#10;">
              <v:fill on="f" focussize="0,0"/>
              <v:stroke on="f"/>
              <v:imagedata o:title=""/>
              <o:lock v:ext="edit" aspectratio="f"/>
              <v:textbox inset="0mm,0mm,0mm,0mm" style="mso-fit-shape-to-text:t;">
                <w:txbxContent>
                  <w:p w14:paraId="15CBC403">
                    <w:pPr>
                      <w:pStyle w:val="34"/>
                      <w:jc w:val="center"/>
                      <w:rPr>
                        <w:rFonts w:cs="Times New Roman"/>
                      </w:rPr>
                    </w:pPr>
                    <w:r>
                      <w:rPr>
                        <w:b/>
                        <w:bCs/>
                      </w:rPr>
                      <w:fldChar w:fldCharType="begin"/>
                    </w:r>
                    <w:r>
                      <w:rPr>
                        <w:b/>
                        <w:bCs/>
                      </w:rPr>
                      <w:instrText xml:space="preserve">PAGE</w:instrText>
                    </w:r>
                    <w:r>
                      <w:rPr>
                        <w:b/>
                        <w:bCs/>
                      </w:rPr>
                      <w:fldChar w:fldCharType="separate"/>
                    </w:r>
                    <w:r>
                      <w:rPr>
                        <w:b/>
                        <w:bCs/>
                      </w:rPr>
                      <w:t>- 4 -</w:t>
                    </w:r>
                    <w:r>
                      <w:rPr>
                        <w:b/>
                        <w:bCs/>
                      </w:rPr>
                      <w:fldChar w:fldCharType="end"/>
                    </w:r>
                  </w:p>
                </w:txbxContent>
              </v:textbox>
            </v:shape>
          </w:pict>
        </mc:Fallback>
      </mc:AlternateContent>
    </w:r>
  </w:p>
  <w:p w14:paraId="592D07AB">
    <w:pPr>
      <w:pStyle w:val="3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6748">
    <w:pPr>
      <w:pStyle w:val="34"/>
      <w:jc w:val="center"/>
    </w:pPr>
    <w:r>
      <w:rPr>
        <w:b/>
        <w:bCs/>
      </w:rPr>
      <w:fldChar w:fldCharType="begin"/>
    </w:r>
    <w:r>
      <w:rPr>
        <w:b/>
        <w:bCs/>
      </w:rPr>
      <w:instrText xml:space="preserve">PAGE</w:instrText>
    </w:r>
    <w:r>
      <w:rPr>
        <w:b/>
        <w:bCs/>
      </w:rPr>
      <w:fldChar w:fldCharType="separate"/>
    </w:r>
    <w:r>
      <w:rPr>
        <w:b/>
        <w:bCs/>
      </w:rPr>
      <w:t>- 52 -</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180C">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B2FBD"/>
    <w:multiLevelType w:val="singleLevel"/>
    <w:tmpl w:val="A6AB2FBD"/>
    <w:lvl w:ilvl="0" w:tentative="0">
      <w:start w:val="1"/>
      <w:numFmt w:val="chineseCounting"/>
      <w:suff w:val="nothing"/>
      <w:lvlText w:val="%1、"/>
      <w:lvlJc w:val="left"/>
      <w:rPr>
        <w:rFonts w:hint="eastAsia"/>
      </w:rPr>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3D"/>
    <w:multiLevelType w:val="multilevel"/>
    <w:tmpl w:val="0000003D"/>
    <w:lvl w:ilvl="0" w:tentative="0">
      <w:start w:val="1"/>
      <w:numFmt w:val="chineseCountingThousand"/>
      <w:pStyle w:val="4"/>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35F81A04"/>
    <w:multiLevelType w:val="singleLevel"/>
    <w:tmpl w:val="35F81A04"/>
    <w:lvl w:ilvl="0" w:tentative="0">
      <w:start w:val="3"/>
      <w:numFmt w:val="chineseCounting"/>
      <w:suff w:val="nothing"/>
      <w:lvlText w:val="（%1）"/>
      <w:lvlJc w:val="left"/>
      <w:rPr>
        <w:rFonts w:hint="eastAsia"/>
      </w:rPr>
    </w:lvl>
  </w:abstractNum>
  <w:abstractNum w:abstractNumId="4">
    <w:nsid w:val="572AE91F"/>
    <w:multiLevelType w:val="singleLevel"/>
    <w:tmpl w:val="572AE91F"/>
    <w:lvl w:ilvl="0" w:tentative="0">
      <w:start w:val="5"/>
      <w:numFmt w:val="chineseCounting"/>
      <w:suff w:val="space"/>
      <w:lvlText w:val="第%1章"/>
      <w:lvlJc w:val="left"/>
    </w:lvl>
  </w:abstractNum>
  <w:abstractNum w:abstractNumId="5">
    <w:nsid w:val="798F6DA9"/>
    <w:multiLevelType w:val="singleLevel"/>
    <w:tmpl w:val="798F6DA9"/>
    <w:lvl w:ilvl="0" w:tentative="0">
      <w:start w:val="3"/>
      <w:numFmt w:val="chineseCounting"/>
      <w:suff w:val="space"/>
      <w:lvlText w:val="第%1章"/>
      <w:lvlJc w:val="left"/>
      <w:rPr>
        <w:rFonts w:hint="eastAsi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ZjYyYmEwMTIyY2Y2OTRlYmIwZjRiMWFhOTkyZTAifQ=="/>
  </w:docVars>
  <w:rsids>
    <w:rsidRoot w:val="00172A27"/>
    <w:rsid w:val="000058C1"/>
    <w:rsid w:val="00005F7A"/>
    <w:rsid w:val="00007F59"/>
    <w:rsid w:val="0001029F"/>
    <w:rsid w:val="000102D4"/>
    <w:rsid w:val="00016294"/>
    <w:rsid w:val="00016442"/>
    <w:rsid w:val="00021EFF"/>
    <w:rsid w:val="00021FC4"/>
    <w:rsid w:val="00023C53"/>
    <w:rsid w:val="00023F8C"/>
    <w:rsid w:val="0002545F"/>
    <w:rsid w:val="00026B68"/>
    <w:rsid w:val="00034047"/>
    <w:rsid w:val="0003602F"/>
    <w:rsid w:val="0003610F"/>
    <w:rsid w:val="000361E7"/>
    <w:rsid w:val="00037B25"/>
    <w:rsid w:val="00037B3B"/>
    <w:rsid w:val="00040B2E"/>
    <w:rsid w:val="0004117F"/>
    <w:rsid w:val="0004431A"/>
    <w:rsid w:val="00047EFE"/>
    <w:rsid w:val="00050BBD"/>
    <w:rsid w:val="00054028"/>
    <w:rsid w:val="000547FF"/>
    <w:rsid w:val="00054A74"/>
    <w:rsid w:val="00055047"/>
    <w:rsid w:val="00056E5D"/>
    <w:rsid w:val="0005762B"/>
    <w:rsid w:val="00060607"/>
    <w:rsid w:val="000606F5"/>
    <w:rsid w:val="00062482"/>
    <w:rsid w:val="00063304"/>
    <w:rsid w:val="000643A3"/>
    <w:rsid w:val="000655FD"/>
    <w:rsid w:val="00065E68"/>
    <w:rsid w:val="00066618"/>
    <w:rsid w:val="00067C03"/>
    <w:rsid w:val="00071345"/>
    <w:rsid w:val="00071716"/>
    <w:rsid w:val="00074B89"/>
    <w:rsid w:val="00080D8B"/>
    <w:rsid w:val="00083910"/>
    <w:rsid w:val="00084E31"/>
    <w:rsid w:val="00085F8A"/>
    <w:rsid w:val="00090781"/>
    <w:rsid w:val="000939C5"/>
    <w:rsid w:val="00094062"/>
    <w:rsid w:val="000966CD"/>
    <w:rsid w:val="000978C3"/>
    <w:rsid w:val="00097CA4"/>
    <w:rsid w:val="000A0D09"/>
    <w:rsid w:val="000A2C95"/>
    <w:rsid w:val="000A2F79"/>
    <w:rsid w:val="000A710B"/>
    <w:rsid w:val="000B2047"/>
    <w:rsid w:val="000B2591"/>
    <w:rsid w:val="000B2801"/>
    <w:rsid w:val="000B38FB"/>
    <w:rsid w:val="000B4A07"/>
    <w:rsid w:val="000B6BAD"/>
    <w:rsid w:val="000C2A0A"/>
    <w:rsid w:val="000C2F3B"/>
    <w:rsid w:val="000C3E5E"/>
    <w:rsid w:val="000C4679"/>
    <w:rsid w:val="000C54E6"/>
    <w:rsid w:val="000D121D"/>
    <w:rsid w:val="000D13D8"/>
    <w:rsid w:val="000D204D"/>
    <w:rsid w:val="000D2353"/>
    <w:rsid w:val="000D2C01"/>
    <w:rsid w:val="000D4C32"/>
    <w:rsid w:val="000D694F"/>
    <w:rsid w:val="000D6E50"/>
    <w:rsid w:val="000E1395"/>
    <w:rsid w:val="000E6009"/>
    <w:rsid w:val="000E66F3"/>
    <w:rsid w:val="00100AF9"/>
    <w:rsid w:val="00100FE7"/>
    <w:rsid w:val="001020F7"/>
    <w:rsid w:val="00103D77"/>
    <w:rsid w:val="00104CF7"/>
    <w:rsid w:val="00105BBC"/>
    <w:rsid w:val="001062B6"/>
    <w:rsid w:val="0010657A"/>
    <w:rsid w:val="001070E2"/>
    <w:rsid w:val="00110BA5"/>
    <w:rsid w:val="0011354B"/>
    <w:rsid w:val="00113EAD"/>
    <w:rsid w:val="001144E0"/>
    <w:rsid w:val="0011474C"/>
    <w:rsid w:val="001161CF"/>
    <w:rsid w:val="00120CE9"/>
    <w:rsid w:val="001218C6"/>
    <w:rsid w:val="00122BFD"/>
    <w:rsid w:val="00123072"/>
    <w:rsid w:val="00123BD5"/>
    <w:rsid w:val="00125073"/>
    <w:rsid w:val="00127592"/>
    <w:rsid w:val="0013050F"/>
    <w:rsid w:val="00130CA2"/>
    <w:rsid w:val="0013239E"/>
    <w:rsid w:val="00132A4A"/>
    <w:rsid w:val="00133CBD"/>
    <w:rsid w:val="00135173"/>
    <w:rsid w:val="00136FE5"/>
    <w:rsid w:val="001419C0"/>
    <w:rsid w:val="00141EA3"/>
    <w:rsid w:val="0014374E"/>
    <w:rsid w:val="001505CF"/>
    <w:rsid w:val="00150875"/>
    <w:rsid w:val="00150D75"/>
    <w:rsid w:val="001528E4"/>
    <w:rsid w:val="00157327"/>
    <w:rsid w:val="00157F05"/>
    <w:rsid w:val="00162A73"/>
    <w:rsid w:val="001663EB"/>
    <w:rsid w:val="00172A27"/>
    <w:rsid w:val="00181ECB"/>
    <w:rsid w:val="00182C8F"/>
    <w:rsid w:val="001830E6"/>
    <w:rsid w:val="0018394A"/>
    <w:rsid w:val="00186A58"/>
    <w:rsid w:val="00192AB4"/>
    <w:rsid w:val="001976BE"/>
    <w:rsid w:val="001A0983"/>
    <w:rsid w:val="001A10B1"/>
    <w:rsid w:val="001A3F86"/>
    <w:rsid w:val="001B0894"/>
    <w:rsid w:val="001B271D"/>
    <w:rsid w:val="001B4D1C"/>
    <w:rsid w:val="001B4E47"/>
    <w:rsid w:val="001B56E3"/>
    <w:rsid w:val="001B5775"/>
    <w:rsid w:val="001B6B02"/>
    <w:rsid w:val="001B6C9A"/>
    <w:rsid w:val="001C08A6"/>
    <w:rsid w:val="001C2231"/>
    <w:rsid w:val="001C279C"/>
    <w:rsid w:val="001C47D0"/>
    <w:rsid w:val="001C6469"/>
    <w:rsid w:val="001D0AEE"/>
    <w:rsid w:val="001D12A2"/>
    <w:rsid w:val="001D1E4A"/>
    <w:rsid w:val="001D60DD"/>
    <w:rsid w:val="001E3534"/>
    <w:rsid w:val="001E48AB"/>
    <w:rsid w:val="001F4880"/>
    <w:rsid w:val="001F5A4B"/>
    <w:rsid w:val="001F650B"/>
    <w:rsid w:val="00200061"/>
    <w:rsid w:val="00201B85"/>
    <w:rsid w:val="00204C21"/>
    <w:rsid w:val="00206117"/>
    <w:rsid w:val="00206420"/>
    <w:rsid w:val="00206AF1"/>
    <w:rsid w:val="00206B5F"/>
    <w:rsid w:val="00207784"/>
    <w:rsid w:val="002078EC"/>
    <w:rsid w:val="00207F85"/>
    <w:rsid w:val="00211E09"/>
    <w:rsid w:val="00223466"/>
    <w:rsid w:val="00224F5F"/>
    <w:rsid w:val="0022542D"/>
    <w:rsid w:val="00225670"/>
    <w:rsid w:val="002257D7"/>
    <w:rsid w:val="00225DFC"/>
    <w:rsid w:val="00231148"/>
    <w:rsid w:val="002315E8"/>
    <w:rsid w:val="00234CC1"/>
    <w:rsid w:val="00235015"/>
    <w:rsid w:val="00235D2F"/>
    <w:rsid w:val="00236425"/>
    <w:rsid w:val="00237122"/>
    <w:rsid w:val="00240EF7"/>
    <w:rsid w:val="002416D0"/>
    <w:rsid w:val="00245B72"/>
    <w:rsid w:val="002465F4"/>
    <w:rsid w:val="00247445"/>
    <w:rsid w:val="002509ED"/>
    <w:rsid w:val="00253F6B"/>
    <w:rsid w:val="00255B0B"/>
    <w:rsid w:val="00260193"/>
    <w:rsid w:val="00260CD4"/>
    <w:rsid w:val="002611FD"/>
    <w:rsid w:val="00261BC6"/>
    <w:rsid w:val="002656FE"/>
    <w:rsid w:val="00266DB4"/>
    <w:rsid w:val="0026722D"/>
    <w:rsid w:val="00271E05"/>
    <w:rsid w:val="002743B2"/>
    <w:rsid w:val="00275DE2"/>
    <w:rsid w:val="002760D6"/>
    <w:rsid w:val="002818BB"/>
    <w:rsid w:val="00282642"/>
    <w:rsid w:val="00291332"/>
    <w:rsid w:val="00291738"/>
    <w:rsid w:val="0029380D"/>
    <w:rsid w:val="0029796E"/>
    <w:rsid w:val="002A08A4"/>
    <w:rsid w:val="002A09EE"/>
    <w:rsid w:val="002A159F"/>
    <w:rsid w:val="002A1F8F"/>
    <w:rsid w:val="002A2D12"/>
    <w:rsid w:val="002A2F7D"/>
    <w:rsid w:val="002A4962"/>
    <w:rsid w:val="002A7980"/>
    <w:rsid w:val="002B1ECE"/>
    <w:rsid w:val="002B7251"/>
    <w:rsid w:val="002B77A5"/>
    <w:rsid w:val="002B7CFD"/>
    <w:rsid w:val="002C167E"/>
    <w:rsid w:val="002C2290"/>
    <w:rsid w:val="002C3237"/>
    <w:rsid w:val="002C5470"/>
    <w:rsid w:val="002C71C8"/>
    <w:rsid w:val="002D0B2B"/>
    <w:rsid w:val="002D7709"/>
    <w:rsid w:val="002D7C8B"/>
    <w:rsid w:val="002E0741"/>
    <w:rsid w:val="002E0797"/>
    <w:rsid w:val="002E1128"/>
    <w:rsid w:val="002E214B"/>
    <w:rsid w:val="002E2541"/>
    <w:rsid w:val="002E2978"/>
    <w:rsid w:val="002E385C"/>
    <w:rsid w:val="002E5876"/>
    <w:rsid w:val="002E5B21"/>
    <w:rsid w:val="002E62B0"/>
    <w:rsid w:val="002E6C56"/>
    <w:rsid w:val="002F0814"/>
    <w:rsid w:val="002F2C1A"/>
    <w:rsid w:val="002F2F03"/>
    <w:rsid w:val="002F677F"/>
    <w:rsid w:val="0030187C"/>
    <w:rsid w:val="00302B60"/>
    <w:rsid w:val="00303A7A"/>
    <w:rsid w:val="00305B2D"/>
    <w:rsid w:val="00307ADC"/>
    <w:rsid w:val="00307C0A"/>
    <w:rsid w:val="003101C1"/>
    <w:rsid w:val="00314EA0"/>
    <w:rsid w:val="003175A8"/>
    <w:rsid w:val="0032064F"/>
    <w:rsid w:val="00320DB6"/>
    <w:rsid w:val="003223D2"/>
    <w:rsid w:val="003311BA"/>
    <w:rsid w:val="00331BE9"/>
    <w:rsid w:val="00332927"/>
    <w:rsid w:val="003339B0"/>
    <w:rsid w:val="003348A4"/>
    <w:rsid w:val="00335723"/>
    <w:rsid w:val="003358D8"/>
    <w:rsid w:val="00337F4B"/>
    <w:rsid w:val="003400F8"/>
    <w:rsid w:val="003427C3"/>
    <w:rsid w:val="003428D6"/>
    <w:rsid w:val="00343431"/>
    <w:rsid w:val="00343F86"/>
    <w:rsid w:val="00344705"/>
    <w:rsid w:val="003450E5"/>
    <w:rsid w:val="00346C42"/>
    <w:rsid w:val="00346FA1"/>
    <w:rsid w:val="00347DEF"/>
    <w:rsid w:val="00350C1C"/>
    <w:rsid w:val="003525AD"/>
    <w:rsid w:val="00355DBE"/>
    <w:rsid w:val="00356CA9"/>
    <w:rsid w:val="003643E9"/>
    <w:rsid w:val="00367C2B"/>
    <w:rsid w:val="00370706"/>
    <w:rsid w:val="00372BAE"/>
    <w:rsid w:val="00373661"/>
    <w:rsid w:val="003740F9"/>
    <w:rsid w:val="00374DDC"/>
    <w:rsid w:val="0037506D"/>
    <w:rsid w:val="00381340"/>
    <w:rsid w:val="003817E3"/>
    <w:rsid w:val="00381EBE"/>
    <w:rsid w:val="0038506A"/>
    <w:rsid w:val="003858EF"/>
    <w:rsid w:val="0038623A"/>
    <w:rsid w:val="00396574"/>
    <w:rsid w:val="003967B3"/>
    <w:rsid w:val="0039700A"/>
    <w:rsid w:val="00397129"/>
    <w:rsid w:val="003975A5"/>
    <w:rsid w:val="0039790E"/>
    <w:rsid w:val="00397C9B"/>
    <w:rsid w:val="003A01C6"/>
    <w:rsid w:val="003A3BAC"/>
    <w:rsid w:val="003A3FC8"/>
    <w:rsid w:val="003A5164"/>
    <w:rsid w:val="003A5379"/>
    <w:rsid w:val="003A57BD"/>
    <w:rsid w:val="003B5138"/>
    <w:rsid w:val="003C1DC6"/>
    <w:rsid w:val="003C286E"/>
    <w:rsid w:val="003D0354"/>
    <w:rsid w:val="003D0A3A"/>
    <w:rsid w:val="003D58F8"/>
    <w:rsid w:val="003D5966"/>
    <w:rsid w:val="003D6CB7"/>
    <w:rsid w:val="003D77DF"/>
    <w:rsid w:val="003E0C69"/>
    <w:rsid w:val="003E40AE"/>
    <w:rsid w:val="003E5F57"/>
    <w:rsid w:val="003E6CA3"/>
    <w:rsid w:val="003E7713"/>
    <w:rsid w:val="003F4B46"/>
    <w:rsid w:val="00403824"/>
    <w:rsid w:val="004050BB"/>
    <w:rsid w:val="004059F8"/>
    <w:rsid w:val="004064B2"/>
    <w:rsid w:val="00407BBF"/>
    <w:rsid w:val="00407C91"/>
    <w:rsid w:val="00411773"/>
    <w:rsid w:val="004161DA"/>
    <w:rsid w:val="00416484"/>
    <w:rsid w:val="00417B98"/>
    <w:rsid w:val="00420773"/>
    <w:rsid w:val="004228E9"/>
    <w:rsid w:val="00425FD6"/>
    <w:rsid w:val="004279C7"/>
    <w:rsid w:val="00427DE5"/>
    <w:rsid w:val="0043369C"/>
    <w:rsid w:val="00433D36"/>
    <w:rsid w:val="00433F89"/>
    <w:rsid w:val="004343B8"/>
    <w:rsid w:val="0043477C"/>
    <w:rsid w:val="00434E35"/>
    <w:rsid w:val="00437C76"/>
    <w:rsid w:val="00441E23"/>
    <w:rsid w:val="00444F5B"/>
    <w:rsid w:val="004478A3"/>
    <w:rsid w:val="00447C56"/>
    <w:rsid w:val="00451E6C"/>
    <w:rsid w:val="00452DB0"/>
    <w:rsid w:val="00453C4A"/>
    <w:rsid w:val="00453E65"/>
    <w:rsid w:val="004561B2"/>
    <w:rsid w:val="0045785B"/>
    <w:rsid w:val="00462384"/>
    <w:rsid w:val="004623F7"/>
    <w:rsid w:val="0046356E"/>
    <w:rsid w:val="00470107"/>
    <w:rsid w:val="00471432"/>
    <w:rsid w:val="004719DC"/>
    <w:rsid w:val="004721E5"/>
    <w:rsid w:val="0047436E"/>
    <w:rsid w:val="0048159E"/>
    <w:rsid w:val="004817D8"/>
    <w:rsid w:val="004820DF"/>
    <w:rsid w:val="00482A61"/>
    <w:rsid w:val="00486DF8"/>
    <w:rsid w:val="00490AC6"/>
    <w:rsid w:val="00491943"/>
    <w:rsid w:val="00493E82"/>
    <w:rsid w:val="00496D73"/>
    <w:rsid w:val="004A377D"/>
    <w:rsid w:val="004A405A"/>
    <w:rsid w:val="004A56DD"/>
    <w:rsid w:val="004A5934"/>
    <w:rsid w:val="004A7F32"/>
    <w:rsid w:val="004B1233"/>
    <w:rsid w:val="004B208A"/>
    <w:rsid w:val="004B4553"/>
    <w:rsid w:val="004B67DE"/>
    <w:rsid w:val="004B7D94"/>
    <w:rsid w:val="004C05C3"/>
    <w:rsid w:val="004C06BA"/>
    <w:rsid w:val="004C2A62"/>
    <w:rsid w:val="004C420A"/>
    <w:rsid w:val="004C434E"/>
    <w:rsid w:val="004D00F8"/>
    <w:rsid w:val="004D097D"/>
    <w:rsid w:val="004D09AE"/>
    <w:rsid w:val="004D110E"/>
    <w:rsid w:val="004D2A64"/>
    <w:rsid w:val="004D5D8F"/>
    <w:rsid w:val="004E21F1"/>
    <w:rsid w:val="004E3190"/>
    <w:rsid w:val="004E704E"/>
    <w:rsid w:val="004F364D"/>
    <w:rsid w:val="004F534F"/>
    <w:rsid w:val="004F6D64"/>
    <w:rsid w:val="004F7AFA"/>
    <w:rsid w:val="00503D7B"/>
    <w:rsid w:val="00503EBC"/>
    <w:rsid w:val="00503FB5"/>
    <w:rsid w:val="00504311"/>
    <w:rsid w:val="005060AC"/>
    <w:rsid w:val="00510574"/>
    <w:rsid w:val="00510919"/>
    <w:rsid w:val="005129D6"/>
    <w:rsid w:val="00513F04"/>
    <w:rsid w:val="00514849"/>
    <w:rsid w:val="00514F19"/>
    <w:rsid w:val="005164FD"/>
    <w:rsid w:val="0051662D"/>
    <w:rsid w:val="005177C6"/>
    <w:rsid w:val="005204C2"/>
    <w:rsid w:val="005212FD"/>
    <w:rsid w:val="00521EE7"/>
    <w:rsid w:val="00522EBC"/>
    <w:rsid w:val="00524448"/>
    <w:rsid w:val="00526435"/>
    <w:rsid w:val="00526CD7"/>
    <w:rsid w:val="005300E8"/>
    <w:rsid w:val="00531DCB"/>
    <w:rsid w:val="00532531"/>
    <w:rsid w:val="00532C54"/>
    <w:rsid w:val="0053522F"/>
    <w:rsid w:val="00535461"/>
    <w:rsid w:val="00535924"/>
    <w:rsid w:val="0053747E"/>
    <w:rsid w:val="0053785D"/>
    <w:rsid w:val="00537AF6"/>
    <w:rsid w:val="00537B00"/>
    <w:rsid w:val="00537DF0"/>
    <w:rsid w:val="00540647"/>
    <w:rsid w:val="00540E45"/>
    <w:rsid w:val="00547813"/>
    <w:rsid w:val="005478BE"/>
    <w:rsid w:val="005506EF"/>
    <w:rsid w:val="00551D57"/>
    <w:rsid w:val="005520FF"/>
    <w:rsid w:val="005542D7"/>
    <w:rsid w:val="00555558"/>
    <w:rsid w:val="00556AF7"/>
    <w:rsid w:val="00556C0B"/>
    <w:rsid w:val="00560E05"/>
    <w:rsid w:val="0056421D"/>
    <w:rsid w:val="00565752"/>
    <w:rsid w:val="005658DD"/>
    <w:rsid w:val="00567762"/>
    <w:rsid w:val="0057020B"/>
    <w:rsid w:val="00570C05"/>
    <w:rsid w:val="00573D1A"/>
    <w:rsid w:val="00574C7B"/>
    <w:rsid w:val="00575CC1"/>
    <w:rsid w:val="00575F45"/>
    <w:rsid w:val="00576BA1"/>
    <w:rsid w:val="005804A2"/>
    <w:rsid w:val="00580A48"/>
    <w:rsid w:val="00581E67"/>
    <w:rsid w:val="005823FB"/>
    <w:rsid w:val="00583AB3"/>
    <w:rsid w:val="005843B8"/>
    <w:rsid w:val="00585154"/>
    <w:rsid w:val="00591060"/>
    <w:rsid w:val="0059320F"/>
    <w:rsid w:val="00594010"/>
    <w:rsid w:val="00594BBE"/>
    <w:rsid w:val="005955DC"/>
    <w:rsid w:val="00595FA9"/>
    <w:rsid w:val="005964FF"/>
    <w:rsid w:val="005972C3"/>
    <w:rsid w:val="005A52A9"/>
    <w:rsid w:val="005A673F"/>
    <w:rsid w:val="005A68E8"/>
    <w:rsid w:val="005B1057"/>
    <w:rsid w:val="005B21DF"/>
    <w:rsid w:val="005B308C"/>
    <w:rsid w:val="005C0614"/>
    <w:rsid w:val="005C0967"/>
    <w:rsid w:val="005C1622"/>
    <w:rsid w:val="005C176A"/>
    <w:rsid w:val="005C2B69"/>
    <w:rsid w:val="005C7AF2"/>
    <w:rsid w:val="005D4622"/>
    <w:rsid w:val="005D60C9"/>
    <w:rsid w:val="005E5729"/>
    <w:rsid w:val="005E5EDB"/>
    <w:rsid w:val="005E70E4"/>
    <w:rsid w:val="005E7AE6"/>
    <w:rsid w:val="005F1327"/>
    <w:rsid w:val="005F44E9"/>
    <w:rsid w:val="00600D08"/>
    <w:rsid w:val="00603887"/>
    <w:rsid w:val="0060566C"/>
    <w:rsid w:val="00612E25"/>
    <w:rsid w:val="00622E32"/>
    <w:rsid w:val="006231DE"/>
    <w:rsid w:val="00624133"/>
    <w:rsid w:val="00624E4B"/>
    <w:rsid w:val="00626C16"/>
    <w:rsid w:val="00627EC6"/>
    <w:rsid w:val="00630B33"/>
    <w:rsid w:val="00634DA5"/>
    <w:rsid w:val="00635629"/>
    <w:rsid w:val="00636961"/>
    <w:rsid w:val="0063762A"/>
    <w:rsid w:val="00640343"/>
    <w:rsid w:val="0064036E"/>
    <w:rsid w:val="00640665"/>
    <w:rsid w:val="00646663"/>
    <w:rsid w:val="006466E8"/>
    <w:rsid w:val="0065025F"/>
    <w:rsid w:val="0065063B"/>
    <w:rsid w:val="0065066E"/>
    <w:rsid w:val="006532BB"/>
    <w:rsid w:val="006533D1"/>
    <w:rsid w:val="00655901"/>
    <w:rsid w:val="00660B18"/>
    <w:rsid w:val="00662669"/>
    <w:rsid w:val="00662D7B"/>
    <w:rsid w:val="0066442C"/>
    <w:rsid w:val="006724B4"/>
    <w:rsid w:val="00674238"/>
    <w:rsid w:val="00681817"/>
    <w:rsid w:val="00681D5B"/>
    <w:rsid w:val="00681F0C"/>
    <w:rsid w:val="0068305C"/>
    <w:rsid w:val="006857B3"/>
    <w:rsid w:val="00685AC6"/>
    <w:rsid w:val="00685DB2"/>
    <w:rsid w:val="006869E9"/>
    <w:rsid w:val="00691A51"/>
    <w:rsid w:val="00691E68"/>
    <w:rsid w:val="00695F5C"/>
    <w:rsid w:val="006A01B3"/>
    <w:rsid w:val="006A0A67"/>
    <w:rsid w:val="006A2399"/>
    <w:rsid w:val="006A3276"/>
    <w:rsid w:val="006A3C44"/>
    <w:rsid w:val="006A454F"/>
    <w:rsid w:val="006A4FF1"/>
    <w:rsid w:val="006B137D"/>
    <w:rsid w:val="006B2FCE"/>
    <w:rsid w:val="006B5A48"/>
    <w:rsid w:val="006B7296"/>
    <w:rsid w:val="006C0AE2"/>
    <w:rsid w:val="006C1F42"/>
    <w:rsid w:val="006C2924"/>
    <w:rsid w:val="006C4232"/>
    <w:rsid w:val="006D2963"/>
    <w:rsid w:val="006D485E"/>
    <w:rsid w:val="006D4923"/>
    <w:rsid w:val="006D69F6"/>
    <w:rsid w:val="006E0C07"/>
    <w:rsid w:val="006E7C39"/>
    <w:rsid w:val="006F005C"/>
    <w:rsid w:val="006F1BC8"/>
    <w:rsid w:val="006F27A5"/>
    <w:rsid w:val="006F5BC1"/>
    <w:rsid w:val="006F7D2C"/>
    <w:rsid w:val="00700877"/>
    <w:rsid w:val="00707BF4"/>
    <w:rsid w:val="00710FDC"/>
    <w:rsid w:val="00711087"/>
    <w:rsid w:val="00711337"/>
    <w:rsid w:val="00711C49"/>
    <w:rsid w:val="00714F75"/>
    <w:rsid w:val="00715679"/>
    <w:rsid w:val="00722246"/>
    <w:rsid w:val="007236FD"/>
    <w:rsid w:val="007243DF"/>
    <w:rsid w:val="00730BEA"/>
    <w:rsid w:val="0073114F"/>
    <w:rsid w:val="00731507"/>
    <w:rsid w:val="007319A3"/>
    <w:rsid w:val="0073343E"/>
    <w:rsid w:val="00737082"/>
    <w:rsid w:val="00751575"/>
    <w:rsid w:val="00752A41"/>
    <w:rsid w:val="00753B5F"/>
    <w:rsid w:val="00754434"/>
    <w:rsid w:val="00755BF0"/>
    <w:rsid w:val="007565FF"/>
    <w:rsid w:val="00756C6B"/>
    <w:rsid w:val="0075776E"/>
    <w:rsid w:val="0076084E"/>
    <w:rsid w:val="00763D48"/>
    <w:rsid w:val="007643DF"/>
    <w:rsid w:val="00766DBF"/>
    <w:rsid w:val="007707B5"/>
    <w:rsid w:val="0077135A"/>
    <w:rsid w:val="0077231F"/>
    <w:rsid w:val="0077585D"/>
    <w:rsid w:val="0077728B"/>
    <w:rsid w:val="007801C6"/>
    <w:rsid w:val="0078159F"/>
    <w:rsid w:val="00782093"/>
    <w:rsid w:val="00783C72"/>
    <w:rsid w:val="00787753"/>
    <w:rsid w:val="00787FF9"/>
    <w:rsid w:val="0079111A"/>
    <w:rsid w:val="007912A4"/>
    <w:rsid w:val="00791ABB"/>
    <w:rsid w:val="00793083"/>
    <w:rsid w:val="00795CE4"/>
    <w:rsid w:val="00795E3E"/>
    <w:rsid w:val="007978F4"/>
    <w:rsid w:val="007A29CA"/>
    <w:rsid w:val="007A3F59"/>
    <w:rsid w:val="007A40A5"/>
    <w:rsid w:val="007A46CB"/>
    <w:rsid w:val="007A4F32"/>
    <w:rsid w:val="007A5123"/>
    <w:rsid w:val="007A57DE"/>
    <w:rsid w:val="007A775F"/>
    <w:rsid w:val="007B032D"/>
    <w:rsid w:val="007B52DA"/>
    <w:rsid w:val="007B606D"/>
    <w:rsid w:val="007C195A"/>
    <w:rsid w:val="007C3D17"/>
    <w:rsid w:val="007C49FB"/>
    <w:rsid w:val="007C7791"/>
    <w:rsid w:val="007C7845"/>
    <w:rsid w:val="007D017C"/>
    <w:rsid w:val="007D2325"/>
    <w:rsid w:val="007D288E"/>
    <w:rsid w:val="007D3C19"/>
    <w:rsid w:val="007D6568"/>
    <w:rsid w:val="007D75C7"/>
    <w:rsid w:val="007D7E47"/>
    <w:rsid w:val="007D7EAD"/>
    <w:rsid w:val="007E538F"/>
    <w:rsid w:val="007E5AE8"/>
    <w:rsid w:val="007F08B4"/>
    <w:rsid w:val="007F5D32"/>
    <w:rsid w:val="007F621E"/>
    <w:rsid w:val="007F6B3A"/>
    <w:rsid w:val="007F7318"/>
    <w:rsid w:val="00803D57"/>
    <w:rsid w:val="0080404F"/>
    <w:rsid w:val="0080429F"/>
    <w:rsid w:val="00813985"/>
    <w:rsid w:val="00821F15"/>
    <w:rsid w:val="00822664"/>
    <w:rsid w:val="00822B5D"/>
    <w:rsid w:val="00824DCB"/>
    <w:rsid w:val="0082509F"/>
    <w:rsid w:val="00833A03"/>
    <w:rsid w:val="00834A43"/>
    <w:rsid w:val="008364E9"/>
    <w:rsid w:val="00840E23"/>
    <w:rsid w:val="0084159C"/>
    <w:rsid w:val="0084163C"/>
    <w:rsid w:val="00845707"/>
    <w:rsid w:val="0084730D"/>
    <w:rsid w:val="00850986"/>
    <w:rsid w:val="00851DD2"/>
    <w:rsid w:val="00856C37"/>
    <w:rsid w:val="008614A0"/>
    <w:rsid w:val="00861850"/>
    <w:rsid w:val="008619E5"/>
    <w:rsid w:val="008673FE"/>
    <w:rsid w:val="00873C20"/>
    <w:rsid w:val="008745DB"/>
    <w:rsid w:val="0087464C"/>
    <w:rsid w:val="00874679"/>
    <w:rsid w:val="008779E6"/>
    <w:rsid w:val="00881374"/>
    <w:rsid w:val="00881ADC"/>
    <w:rsid w:val="008836C9"/>
    <w:rsid w:val="00885115"/>
    <w:rsid w:val="00885A37"/>
    <w:rsid w:val="00886A80"/>
    <w:rsid w:val="00886E32"/>
    <w:rsid w:val="00896233"/>
    <w:rsid w:val="008A1DDD"/>
    <w:rsid w:val="008A1F9B"/>
    <w:rsid w:val="008A5FAC"/>
    <w:rsid w:val="008A671F"/>
    <w:rsid w:val="008A7716"/>
    <w:rsid w:val="008A77DF"/>
    <w:rsid w:val="008B198C"/>
    <w:rsid w:val="008B51B0"/>
    <w:rsid w:val="008B5E27"/>
    <w:rsid w:val="008B6147"/>
    <w:rsid w:val="008C0A97"/>
    <w:rsid w:val="008C27C3"/>
    <w:rsid w:val="008C49C4"/>
    <w:rsid w:val="008C69DF"/>
    <w:rsid w:val="008C69E4"/>
    <w:rsid w:val="008C6B0A"/>
    <w:rsid w:val="008D1214"/>
    <w:rsid w:val="008D1A0F"/>
    <w:rsid w:val="008D2D0E"/>
    <w:rsid w:val="008D42AF"/>
    <w:rsid w:val="008D55D5"/>
    <w:rsid w:val="008D67EA"/>
    <w:rsid w:val="008D722A"/>
    <w:rsid w:val="008E14D6"/>
    <w:rsid w:val="008E185D"/>
    <w:rsid w:val="008E2232"/>
    <w:rsid w:val="008E3424"/>
    <w:rsid w:val="008F2292"/>
    <w:rsid w:val="008F37FA"/>
    <w:rsid w:val="008F444E"/>
    <w:rsid w:val="008F44CB"/>
    <w:rsid w:val="008F4CB3"/>
    <w:rsid w:val="008F7D03"/>
    <w:rsid w:val="00900E85"/>
    <w:rsid w:val="0090226B"/>
    <w:rsid w:val="00904DBC"/>
    <w:rsid w:val="0090587E"/>
    <w:rsid w:val="00907FB5"/>
    <w:rsid w:val="00907FD8"/>
    <w:rsid w:val="00907FE3"/>
    <w:rsid w:val="0091265E"/>
    <w:rsid w:val="009142DA"/>
    <w:rsid w:val="00915AFC"/>
    <w:rsid w:val="009178DB"/>
    <w:rsid w:val="0092122D"/>
    <w:rsid w:val="009230B6"/>
    <w:rsid w:val="00925B03"/>
    <w:rsid w:val="00931165"/>
    <w:rsid w:val="009312EF"/>
    <w:rsid w:val="009343B3"/>
    <w:rsid w:val="00934CBD"/>
    <w:rsid w:val="00934E93"/>
    <w:rsid w:val="009350AF"/>
    <w:rsid w:val="009353D7"/>
    <w:rsid w:val="00936723"/>
    <w:rsid w:val="009401C4"/>
    <w:rsid w:val="009416CA"/>
    <w:rsid w:val="009433B0"/>
    <w:rsid w:val="00943CEB"/>
    <w:rsid w:val="00947DE2"/>
    <w:rsid w:val="009505B0"/>
    <w:rsid w:val="009533E2"/>
    <w:rsid w:val="00955ADB"/>
    <w:rsid w:val="00956621"/>
    <w:rsid w:val="00962E18"/>
    <w:rsid w:val="009647C2"/>
    <w:rsid w:val="009710E0"/>
    <w:rsid w:val="009716AF"/>
    <w:rsid w:val="009722BC"/>
    <w:rsid w:val="0097298E"/>
    <w:rsid w:val="00974EFA"/>
    <w:rsid w:val="00983BA5"/>
    <w:rsid w:val="00985679"/>
    <w:rsid w:val="00986B8F"/>
    <w:rsid w:val="00992988"/>
    <w:rsid w:val="00994A91"/>
    <w:rsid w:val="00995678"/>
    <w:rsid w:val="00995B81"/>
    <w:rsid w:val="009A1807"/>
    <w:rsid w:val="009A28C8"/>
    <w:rsid w:val="009A3F9E"/>
    <w:rsid w:val="009A502D"/>
    <w:rsid w:val="009A52DD"/>
    <w:rsid w:val="009A5E11"/>
    <w:rsid w:val="009A6682"/>
    <w:rsid w:val="009B38DD"/>
    <w:rsid w:val="009B4FA1"/>
    <w:rsid w:val="009C2BE5"/>
    <w:rsid w:val="009C4FC2"/>
    <w:rsid w:val="009C67DC"/>
    <w:rsid w:val="009D31C3"/>
    <w:rsid w:val="009D7486"/>
    <w:rsid w:val="009E5581"/>
    <w:rsid w:val="009E61A2"/>
    <w:rsid w:val="009F2972"/>
    <w:rsid w:val="009F2FD8"/>
    <w:rsid w:val="009F30E6"/>
    <w:rsid w:val="009F6E7B"/>
    <w:rsid w:val="009F7311"/>
    <w:rsid w:val="00A03A53"/>
    <w:rsid w:val="00A04558"/>
    <w:rsid w:val="00A1005B"/>
    <w:rsid w:val="00A13F6A"/>
    <w:rsid w:val="00A171CD"/>
    <w:rsid w:val="00A17A38"/>
    <w:rsid w:val="00A17B9F"/>
    <w:rsid w:val="00A21916"/>
    <w:rsid w:val="00A22747"/>
    <w:rsid w:val="00A30720"/>
    <w:rsid w:val="00A357CF"/>
    <w:rsid w:val="00A359A2"/>
    <w:rsid w:val="00A368BE"/>
    <w:rsid w:val="00A40656"/>
    <w:rsid w:val="00A442F4"/>
    <w:rsid w:val="00A45B13"/>
    <w:rsid w:val="00A46D18"/>
    <w:rsid w:val="00A5270F"/>
    <w:rsid w:val="00A559EB"/>
    <w:rsid w:val="00A56C14"/>
    <w:rsid w:val="00A63A3E"/>
    <w:rsid w:val="00A63AAE"/>
    <w:rsid w:val="00A63CBA"/>
    <w:rsid w:val="00A642C4"/>
    <w:rsid w:val="00A64CD7"/>
    <w:rsid w:val="00A652DA"/>
    <w:rsid w:val="00A7282B"/>
    <w:rsid w:val="00A814B5"/>
    <w:rsid w:val="00A81510"/>
    <w:rsid w:val="00A81B7C"/>
    <w:rsid w:val="00A82436"/>
    <w:rsid w:val="00A825A6"/>
    <w:rsid w:val="00A82D72"/>
    <w:rsid w:val="00A84548"/>
    <w:rsid w:val="00A86365"/>
    <w:rsid w:val="00A9252B"/>
    <w:rsid w:val="00A92EBE"/>
    <w:rsid w:val="00A9516B"/>
    <w:rsid w:val="00A95AEB"/>
    <w:rsid w:val="00AA2853"/>
    <w:rsid w:val="00AA2A9C"/>
    <w:rsid w:val="00AA36C7"/>
    <w:rsid w:val="00AA495E"/>
    <w:rsid w:val="00AA6934"/>
    <w:rsid w:val="00AA6E9D"/>
    <w:rsid w:val="00AA7BA4"/>
    <w:rsid w:val="00AB0C2C"/>
    <w:rsid w:val="00AB1078"/>
    <w:rsid w:val="00AB1346"/>
    <w:rsid w:val="00AB26DB"/>
    <w:rsid w:val="00AC1782"/>
    <w:rsid w:val="00AC4838"/>
    <w:rsid w:val="00AD0813"/>
    <w:rsid w:val="00AD24EF"/>
    <w:rsid w:val="00AD5A93"/>
    <w:rsid w:val="00AE024C"/>
    <w:rsid w:val="00AE18FA"/>
    <w:rsid w:val="00AE23BE"/>
    <w:rsid w:val="00AE371D"/>
    <w:rsid w:val="00AE39AB"/>
    <w:rsid w:val="00AE584F"/>
    <w:rsid w:val="00AE63C3"/>
    <w:rsid w:val="00AE7CFC"/>
    <w:rsid w:val="00AF177E"/>
    <w:rsid w:val="00AF291F"/>
    <w:rsid w:val="00AF3B7A"/>
    <w:rsid w:val="00AF6489"/>
    <w:rsid w:val="00AF7A9F"/>
    <w:rsid w:val="00B01D34"/>
    <w:rsid w:val="00B03609"/>
    <w:rsid w:val="00B03831"/>
    <w:rsid w:val="00B03DBB"/>
    <w:rsid w:val="00B04254"/>
    <w:rsid w:val="00B05449"/>
    <w:rsid w:val="00B05903"/>
    <w:rsid w:val="00B062BE"/>
    <w:rsid w:val="00B06E17"/>
    <w:rsid w:val="00B10648"/>
    <w:rsid w:val="00B138A9"/>
    <w:rsid w:val="00B15007"/>
    <w:rsid w:val="00B16DE7"/>
    <w:rsid w:val="00B179CD"/>
    <w:rsid w:val="00B225D7"/>
    <w:rsid w:val="00B24177"/>
    <w:rsid w:val="00B30D05"/>
    <w:rsid w:val="00B327DB"/>
    <w:rsid w:val="00B357A3"/>
    <w:rsid w:val="00B37AB2"/>
    <w:rsid w:val="00B41871"/>
    <w:rsid w:val="00B41EA9"/>
    <w:rsid w:val="00B4336F"/>
    <w:rsid w:val="00B4522D"/>
    <w:rsid w:val="00B4598F"/>
    <w:rsid w:val="00B46BF7"/>
    <w:rsid w:val="00B50E29"/>
    <w:rsid w:val="00B51E97"/>
    <w:rsid w:val="00B5327F"/>
    <w:rsid w:val="00B565FE"/>
    <w:rsid w:val="00B57C66"/>
    <w:rsid w:val="00B60458"/>
    <w:rsid w:val="00B61DC3"/>
    <w:rsid w:val="00B633C4"/>
    <w:rsid w:val="00B67AEA"/>
    <w:rsid w:val="00B72C66"/>
    <w:rsid w:val="00B73C62"/>
    <w:rsid w:val="00B83B5D"/>
    <w:rsid w:val="00B83C32"/>
    <w:rsid w:val="00B84F5D"/>
    <w:rsid w:val="00B85816"/>
    <w:rsid w:val="00B875C0"/>
    <w:rsid w:val="00B90608"/>
    <w:rsid w:val="00B9166F"/>
    <w:rsid w:val="00B920AD"/>
    <w:rsid w:val="00B94C8E"/>
    <w:rsid w:val="00B966AC"/>
    <w:rsid w:val="00BA1064"/>
    <w:rsid w:val="00BA485C"/>
    <w:rsid w:val="00BA48FC"/>
    <w:rsid w:val="00BA4C75"/>
    <w:rsid w:val="00BA61DC"/>
    <w:rsid w:val="00BA6979"/>
    <w:rsid w:val="00BA790D"/>
    <w:rsid w:val="00BB279B"/>
    <w:rsid w:val="00BB4323"/>
    <w:rsid w:val="00BB452C"/>
    <w:rsid w:val="00BB4532"/>
    <w:rsid w:val="00BB4A21"/>
    <w:rsid w:val="00BB650B"/>
    <w:rsid w:val="00BB6BFB"/>
    <w:rsid w:val="00BC30F8"/>
    <w:rsid w:val="00BC58A4"/>
    <w:rsid w:val="00BC781E"/>
    <w:rsid w:val="00BD1973"/>
    <w:rsid w:val="00BD358F"/>
    <w:rsid w:val="00BD4809"/>
    <w:rsid w:val="00BD4D30"/>
    <w:rsid w:val="00BD5518"/>
    <w:rsid w:val="00BD5E5C"/>
    <w:rsid w:val="00BD5F32"/>
    <w:rsid w:val="00BD60C8"/>
    <w:rsid w:val="00BD774B"/>
    <w:rsid w:val="00BE437C"/>
    <w:rsid w:val="00BE5949"/>
    <w:rsid w:val="00BF0241"/>
    <w:rsid w:val="00BF3055"/>
    <w:rsid w:val="00BF3197"/>
    <w:rsid w:val="00BF3E3E"/>
    <w:rsid w:val="00C01D39"/>
    <w:rsid w:val="00C05C52"/>
    <w:rsid w:val="00C06C84"/>
    <w:rsid w:val="00C103CD"/>
    <w:rsid w:val="00C1253A"/>
    <w:rsid w:val="00C12544"/>
    <w:rsid w:val="00C12799"/>
    <w:rsid w:val="00C213E5"/>
    <w:rsid w:val="00C21A0A"/>
    <w:rsid w:val="00C25C9B"/>
    <w:rsid w:val="00C261AB"/>
    <w:rsid w:val="00C32303"/>
    <w:rsid w:val="00C33E0C"/>
    <w:rsid w:val="00C36220"/>
    <w:rsid w:val="00C362DF"/>
    <w:rsid w:val="00C42BB6"/>
    <w:rsid w:val="00C5077E"/>
    <w:rsid w:val="00C537C1"/>
    <w:rsid w:val="00C601D5"/>
    <w:rsid w:val="00C60DC9"/>
    <w:rsid w:val="00C623F7"/>
    <w:rsid w:val="00C63034"/>
    <w:rsid w:val="00C6413D"/>
    <w:rsid w:val="00C65ACA"/>
    <w:rsid w:val="00C66B84"/>
    <w:rsid w:val="00C66C45"/>
    <w:rsid w:val="00C67F24"/>
    <w:rsid w:val="00C716A7"/>
    <w:rsid w:val="00C73F67"/>
    <w:rsid w:val="00C75E74"/>
    <w:rsid w:val="00C77802"/>
    <w:rsid w:val="00C81801"/>
    <w:rsid w:val="00C833E2"/>
    <w:rsid w:val="00C86011"/>
    <w:rsid w:val="00C8675F"/>
    <w:rsid w:val="00C92B10"/>
    <w:rsid w:val="00C94724"/>
    <w:rsid w:val="00C953DF"/>
    <w:rsid w:val="00C966DF"/>
    <w:rsid w:val="00C97E68"/>
    <w:rsid w:val="00CA27FF"/>
    <w:rsid w:val="00CA380F"/>
    <w:rsid w:val="00CA3DB6"/>
    <w:rsid w:val="00CA478F"/>
    <w:rsid w:val="00CA56B5"/>
    <w:rsid w:val="00CA5DFF"/>
    <w:rsid w:val="00CA7956"/>
    <w:rsid w:val="00CB4627"/>
    <w:rsid w:val="00CB670E"/>
    <w:rsid w:val="00CB677B"/>
    <w:rsid w:val="00CB6CEC"/>
    <w:rsid w:val="00CB6E94"/>
    <w:rsid w:val="00CB74DE"/>
    <w:rsid w:val="00CC0D30"/>
    <w:rsid w:val="00CC22FF"/>
    <w:rsid w:val="00CC6901"/>
    <w:rsid w:val="00CC7E4B"/>
    <w:rsid w:val="00CD078C"/>
    <w:rsid w:val="00CD27BA"/>
    <w:rsid w:val="00CD2C75"/>
    <w:rsid w:val="00CD5DE2"/>
    <w:rsid w:val="00CD6C97"/>
    <w:rsid w:val="00CE3D24"/>
    <w:rsid w:val="00CE64D2"/>
    <w:rsid w:val="00CF055B"/>
    <w:rsid w:val="00CF2864"/>
    <w:rsid w:val="00CF53AC"/>
    <w:rsid w:val="00CF579D"/>
    <w:rsid w:val="00D02AF3"/>
    <w:rsid w:val="00D1088E"/>
    <w:rsid w:val="00D11D6B"/>
    <w:rsid w:val="00D12B9D"/>
    <w:rsid w:val="00D135A1"/>
    <w:rsid w:val="00D14282"/>
    <w:rsid w:val="00D144D7"/>
    <w:rsid w:val="00D21EB2"/>
    <w:rsid w:val="00D22B47"/>
    <w:rsid w:val="00D24219"/>
    <w:rsid w:val="00D24484"/>
    <w:rsid w:val="00D27AC6"/>
    <w:rsid w:val="00D320AF"/>
    <w:rsid w:val="00D32226"/>
    <w:rsid w:val="00D3542F"/>
    <w:rsid w:val="00D36772"/>
    <w:rsid w:val="00D37314"/>
    <w:rsid w:val="00D3784D"/>
    <w:rsid w:val="00D41B42"/>
    <w:rsid w:val="00D41C70"/>
    <w:rsid w:val="00D43F36"/>
    <w:rsid w:val="00D469C2"/>
    <w:rsid w:val="00D46DD3"/>
    <w:rsid w:val="00D470DA"/>
    <w:rsid w:val="00D4720E"/>
    <w:rsid w:val="00D54CBA"/>
    <w:rsid w:val="00D61BD2"/>
    <w:rsid w:val="00D61DAB"/>
    <w:rsid w:val="00D6531C"/>
    <w:rsid w:val="00D6701F"/>
    <w:rsid w:val="00D700E9"/>
    <w:rsid w:val="00D70C0A"/>
    <w:rsid w:val="00D70E57"/>
    <w:rsid w:val="00D72AC8"/>
    <w:rsid w:val="00D7524C"/>
    <w:rsid w:val="00D75978"/>
    <w:rsid w:val="00D75E16"/>
    <w:rsid w:val="00D76410"/>
    <w:rsid w:val="00D76F95"/>
    <w:rsid w:val="00D771EC"/>
    <w:rsid w:val="00D77551"/>
    <w:rsid w:val="00D80D27"/>
    <w:rsid w:val="00D8240F"/>
    <w:rsid w:val="00D845E8"/>
    <w:rsid w:val="00D870B0"/>
    <w:rsid w:val="00D87B3C"/>
    <w:rsid w:val="00D91AA6"/>
    <w:rsid w:val="00D95513"/>
    <w:rsid w:val="00D97119"/>
    <w:rsid w:val="00DA225B"/>
    <w:rsid w:val="00DA7DD8"/>
    <w:rsid w:val="00DB118B"/>
    <w:rsid w:val="00DB201F"/>
    <w:rsid w:val="00DB5E21"/>
    <w:rsid w:val="00DB6033"/>
    <w:rsid w:val="00DB6E91"/>
    <w:rsid w:val="00DC7E3B"/>
    <w:rsid w:val="00DD2172"/>
    <w:rsid w:val="00DD4A5B"/>
    <w:rsid w:val="00DD67D4"/>
    <w:rsid w:val="00DD6EF5"/>
    <w:rsid w:val="00DE5AF6"/>
    <w:rsid w:val="00DE7267"/>
    <w:rsid w:val="00DF0FAE"/>
    <w:rsid w:val="00DF1835"/>
    <w:rsid w:val="00DF55D2"/>
    <w:rsid w:val="00E02684"/>
    <w:rsid w:val="00E030A0"/>
    <w:rsid w:val="00E05C21"/>
    <w:rsid w:val="00E0728A"/>
    <w:rsid w:val="00E07812"/>
    <w:rsid w:val="00E1167E"/>
    <w:rsid w:val="00E130A4"/>
    <w:rsid w:val="00E14859"/>
    <w:rsid w:val="00E164B1"/>
    <w:rsid w:val="00E1699E"/>
    <w:rsid w:val="00E16B3D"/>
    <w:rsid w:val="00E17513"/>
    <w:rsid w:val="00E176AA"/>
    <w:rsid w:val="00E20385"/>
    <w:rsid w:val="00E2458D"/>
    <w:rsid w:val="00E25058"/>
    <w:rsid w:val="00E27CA3"/>
    <w:rsid w:val="00E314D7"/>
    <w:rsid w:val="00E34192"/>
    <w:rsid w:val="00E36E77"/>
    <w:rsid w:val="00E37062"/>
    <w:rsid w:val="00E4046A"/>
    <w:rsid w:val="00E41148"/>
    <w:rsid w:val="00E41524"/>
    <w:rsid w:val="00E42471"/>
    <w:rsid w:val="00E425C8"/>
    <w:rsid w:val="00E46EF8"/>
    <w:rsid w:val="00E470FE"/>
    <w:rsid w:val="00E478B1"/>
    <w:rsid w:val="00E52F6B"/>
    <w:rsid w:val="00E57D8C"/>
    <w:rsid w:val="00E62907"/>
    <w:rsid w:val="00E64374"/>
    <w:rsid w:val="00E66AB7"/>
    <w:rsid w:val="00E701DC"/>
    <w:rsid w:val="00E710E9"/>
    <w:rsid w:val="00E71856"/>
    <w:rsid w:val="00E727FE"/>
    <w:rsid w:val="00E740E0"/>
    <w:rsid w:val="00E742E3"/>
    <w:rsid w:val="00E756ED"/>
    <w:rsid w:val="00E75DB3"/>
    <w:rsid w:val="00E7633B"/>
    <w:rsid w:val="00E80C8D"/>
    <w:rsid w:val="00E9041A"/>
    <w:rsid w:val="00E91D0C"/>
    <w:rsid w:val="00E92347"/>
    <w:rsid w:val="00E92E17"/>
    <w:rsid w:val="00E933DA"/>
    <w:rsid w:val="00E938A8"/>
    <w:rsid w:val="00E95E1D"/>
    <w:rsid w:val="00EA0EC2"/>
    <w:rsid w:val="00EA63B3"/>
    <w:rsid w:val="00EB2718"/>
    <w:rsid w:val="00EB3463"/>
    <w:rsid w:val="00EB39FF"/>
    <w:rsid w:val="00EB5721"/>
    <w:rsid w:val="00EB5991"/>
    <w:rsid w:val="00EB6278"/>
    <w:rsid w:val="00EC0C97"/>
    <w:rsid w:val="00EC1220"/>
    <w:rsid w:val="00EC1BED"/>
    <w:rsid w:val="00EC2467"/>
    <w:rsid w:val="00EC37EB"/>
    <w:rsid w:val="00EC51EF"/>
    <w:rsid w:val="00EC737F"/>
    <w:rsid w:val="00ED01B4"/>
    <w:rsid w:val="00ED153D"/>
    <w:rsid w:val="00ED188F"/>
    <w:rsid w:val="00ED3A14"/>
    <w:rsid w:val="00ED3F32"/>
    <w:rsid w:val="00ED4562"/>
    <w:rsid w:val="00ED5294"/>
    <w:rsid w:val="00ED546B"/>
    <w:rsid w:val="00ED608D"/>
    <w:rsid w:val="00ED628B"/>
    <w:rsid w:val="00ED7466"/>
    <w:rsid w:val="00ED7E54"/>
    <w:rsid w:val="00EE106C"/>
    <w:rsid w:val="00EE158F"/>
    <w:rsid w:val="00EE2482"/>
    <w:rsid w:val="00EE32BD"/>
    <w:rsid w:val="00EE45D1"/>
    <w:rsid w:val="00EF0372"/>
    <w:rsid w:val="00EF1647"/>
    <w:rsid w:val="00EF1CBE"/>
    <w:rsid w:val="00EF3CDD"/>
    <w:rsid w:val="00EF45CE"/>
    <w:rsid w:val="00EF52E6"/>
    <w:rsid w:val="00EF7497"/>
    <w:rsid w:val="00F00F8B"/>
    <w:rsid w:val="00F01049"/>
    <w:rsid w:val="00F0241B"/>
    <w:rsid w:val="00F0310F"/>
    <w:rsid w:val="00F036E6"/>
    <w:rsid w:val="00F05760"/>
    <w:rsid w:val="00F12464"/>
    <w:rsid w:val="00F12DFC"/>
    <w:rsid w:val="00F14957"/>
    <w:rsid w:val="00F15D6B"/>
    <w:rsid w:val="00F169E7"/>
    <w:rsid w:val="00F25704"/>
    <w:rsid w:val="00F2684D"/>
    <w:rsid w:val="00F26C14"/>
    <w:rsid w:val="00F30AAD"/>
    <w:rsid w:val="00F32E6D"/>
    <w:rsid w:val="00F35212"/>
    <w:rsid w:val="00F40A19"/>
    <w:rsid w:val="00F41266"/>
    <w:rsid w:val="00F41A32"/>
    <w:rsid w:val="00F42868"/>
    <w:rsid w:val="00F4379F"/>
    <w:rsid w:val="00F43EF7"/>
    <w:rsid w:val="00F44F96"/>
    <w:rsid w:val="00F46A91"/>
    <w:rsid w:val="00F476C8"/>
    <w:rsid w:val="00F507CC"/>
    <w:rsid w:val="00F5176C"/>
    <w:rsid w:val="00F51E56"/>
    <w:rsid w:val="00F5222D"/>
    <w:rsid w:val="00F54722"/>
    <w:rsid w:val="00F56C9F"/>
    <w:rsid w:val="00F56E6A"/>
    <w:rsid w:val="00F60841"/>
    <w:rsid w:val="00F63553"/>
    <w:rsid w:val="00F655F3"/>
    <w:rsid w:val="00F65D8D"/>
    <w:rsid w:val="00F6723F"/>
    <w:rsid w:val="00F6731F"/>
    <w:rsid w:val="00F67B1A"/>
    <w:rsid w:val="00F72252"/>
    <w:rsid w:val="00F72E30"/>
    <w:rsid w:val="00F73122"/>
    <w:rsid w:val="00F744A3"/>
    <w:rsid w:val="00F74508"/>
    <w:rsid w:val="00F75679"/>
    <w:rsid w:val="00F7646F"/>
    <w:rsid w:val="00F76605"/>
    <w:rsid w:val="00F8203D"/>
    <w:rsid w:val="00F822FA"/>
    <w:rsid w:val="00F9005F"/>
    <w:rsid w:val="00F905CA"/>
    <w:rsid w:val="00F90D04"/>
    <w:rsid w:val="00F92C22"/>
    <w:rsid w:val="00F93466"/>
    <w:rsid w:val="00F968D0"/>
    <w:rsid w:val="00FA0372"/>
    <w:rsid w:val="00FA097E"/>
    <w:rsid w:val="00FA3DB1"/>
    <w:rsid w:val="00FA539F"/>
    <w:rsid w:val="00FA5B7C"/>
    <w:rsid w:val="00FA5EFA"/>
    <w:rsid w:val="00FA6B4A"/>
    <w:rsid w:val="00FB1644"/>
    <w:rsid w:val="00FB32E7"/>
    <w:rsid w:val="00FB5ADA"/>
    <w:rsid w:val="00FC0A61"/>
    <w:rsid w:val="00FC3BE8"/>
    <w:rsid w:val="00FC5E7F"/>
    <w:rsid w:val="00FD7D46"/>
    <w:rsid w:val="00FF4CF3"/>
    <w:rsid w:val="00FF537D"/>
    <w:rsid w:val="00FF55C1"/>
    <w:rsid w:val="01274F14"/>
    <w:rsid w:val="01303A9E"/>
    <w:rsid w:val="01383FD0"/>
    <w:rsid w:val="01451617"/>
    <w:rsid w:val="016112D3"/>
    <w:rsid w:val="0190158D"/>
    <w:rsid w:val="01B77047"/>
    <w:rsid w:val="0203063D"/>
    <w:rsid w:val="02043122"/>
    <w:rsid w:val="02055635"/>
    <w:rsid w:val="02057388"/>
    <w:rsid w:val="02346456"/>
    <w:rsid w:val="024E269D"/>
    <w:rsid w:val="029F57DD"/>
    <w:rsid w:val="02D738A3"/>
    <w:rsid w:val="034464B8"/>
    <w:rsid w:val="036576B8"/>
    <w:rsid w:val="03C71EFB"/>
    <w:rsid w:val="03D735B0"/>
    <w:rsid w:val="03FA6CDF"/>
    <w:rsid w:val="04365FFA"/>
    <w:rsid w:val="04494A43"/>
    <w:rsid w:val="046D244C"/>
    <w:rsid w:val="046F1BE2"/>
    <w:rsid w:val="04822D08"/>
    <w:rsid w:val="04956ECC"/>
    <w:rsid w:val="04C851F1"/>
    <w:rsid w:val="04FB048C"/>
    <w:rsid w:val="052C29BF"/>
    <w:rsid w:val="05337A63"/>
    <w:rsid w:val="05544226"/>
    <w:rsid w:val="055C5785"/>
    <w:rsid w:val="05F06637"/>
    <w:rsid w:val="06517EE9"/>
    <w:rsid w:val="06C55EEB"/>
    <w:rsid w:val="06CC7736"/>
    <w:rsid w:val="06E111D9"/>
    <w:rsid w:val="07004918"/>
    <w:rsid w:val="070B6221"/>
    <w:rsid w:val="07654B87"/>
    <w:rsid w:val="07BA720E"/>
    <w:rsid w:val="07CB7156"/>
    <w:rsid w:val="07E13B30"/>
    <w:rsid w:val="07EE2CA7"/>
    <w:rsid w:val="081F2D4C"/>
    <w:rsid w:val="084E2ACF"/>
    <w:rsid w:val="084F19C0"/>
    <w:rsid w:val="08635040"/>
    <w:rsid w:val="08B2562B"/>
    <w:rsid w:val="08B5584D"/>
    <w:rsid w:val="09190838"/>
    <w:rsid w:val="094B5940"/>
    <w:rsid w:val="095C7B83"/>
    <w:rsid w:val="098F731B"/>
    <w:rsid w:val="0996625D"/>
    <w:rsid w:val="09DE2A70"/>
    <w:rsid w:val="0A1F4EA7"/>
    <w:rsid w:val="0ABF0DA2"/>
    <w:rsid w:val="0ACE0B6C"/>
    <w:rsid w:val="0AEE6792"/>
    <w:rsid w:val="0BE64801"/>
    <w:rsid w:val="0C51597A"/>
    <w:rsid w:val="0C7965AF"/>
    <w:rsid w:val="0C8E3524"/>
    <w:rsid w:val="0C95751F"/>
    <w:rsid w:val="0CF77C56"/>
    <w:rsid w:val="0D63355E"/>
    <w:rsid w:val="0D6402AD"/>
    <w:rsid w:val="0D6E00F5"/>
    <w:rsid w:val="0DE27351"/>
    <w:rsid w:val="0E133FA6"/>
    <w:rsid w:val="0E195228"/>
    <w:rsid w:val="0E2217A8"/>
    <w:rsid w:val="0E925E78"/>
    <w:rsid w:val="0EA20C5D"/>
    <w:rsid w:val="0EA54211"/>
    <w:rsid w:val="0EB36468"/>
    <w:rsid w:val="0EDB759D"/>
    <w:rsid w:val="0F361774"/>
    <w:rsid w:val="0F3B7D92"/>
    <w:rsid w:val="0F3E4355"/>
    <w:rsid w:val="0F66630C"/>
    <w:rsid w:val="0FCB5DCA"/>
    <w:rsid w:val="0FF10449"/>
    <w:rsid w:val="0FF3453E"/>
    <w:rsid w:val="10485433"/>
    <w:rsid w:val="104C2911"/>
    <w:rsid w:val="107B6F12"/>
    <w:rsid w:val="11604A5C"/>
    <w:rsid w:val="1176169D"/>
    <w:rsid w:val="117C68E7"/>
    <w:rsid w:val="118263A1"/>
    <w:rsid w:val="119603EC"/>
    <w:rsid w:val="11A331FA"/>
    <w:rsid w:val="120038A1"/>
    <w:rsid w:val="122E2D61"/>
    <w:rsid w:val="124D4083"/>
    <w:rsid w:val="12701BF6"/>
    <w:rsid w:val="12DE47E6"/>
    <w:rsid w:val="12E0359D"/>
    <w:rsid w:val="12EA7F78"/>
    <w:rsid w:val="12F639E2"/>
    <w:rsid w:val="133D1517"/>
    <w:rsid w:val="136532E8"/>
    <w:rsid w:val="13A11B99"/>
    <w:rsid w:val="13CC1FE7"/>
    <w:rsid w:val="143B7963"/>
    <w:rsid w:val="14D251DA"/>
    <w:rsid w:val="155913AC"/>
    <w:rsid w:val="1568787A"/>
    <w:rsid w:val="1614567C"/>
    <w:rsid w:val="16271ECD"/>
    <w:rsid w:val="16A76302"/>
    <w:rsid w:val="16C521B5"/>
    <w:rsid w:val="16F3593D"/>
    <w:rsid w:val="173A3666"/>
    <w:rsid w:val="17405D8B"/>
    <w:rsid w:val="17482177"/>
    <w:rsid w:val="17DF684D"/>
    <w:rsid w:val="17E838C7"/>
    <w:rsid w:val="17F31E94"/>
    <w:rsid w:val="181736F0"/>
    <w:rsid w:val="18301873"/>
    <w:rsid w:val="185D59F5"/>
    <w:rsid w:val="18652B97"/>
    <w:rsid w:val="18D24826"/>
    <w:rsid w:val="1930763A"/>
    <w:rsid w:val="193564B7"/>
    <w:rsid w:val="19656A4B"/>
    <w:rsid w:val="198A2092"/>
    <w:rsid w:val="198F35F7"/>
    <w:rsid w:val="199667D2"/>
    <w:rsid w:val="19C63AD7"/>
    <w:rsid w:val="19E94399"/>
    <w:rsid w:val="19EC5D5F"/>
    <w:rsid w:val="19EF472F"/>
    <w:rsid w:val="19EF6331"/>
    <w:rsid w:val="1AA40BC5"/>
    <w:rsid w:val="1AA52927"/>
    <w:rsid w:val="1AFC093E"/>
    <w:rsid w:val="1B751D18"/>
    <w:rsid w:val="1B837689"/>
    <w:rsid w:val="1BA35581"/>
    <w:rsid w:val="1BBC1B6B"/>
    <w:rsid w:val="1BE54206"/>
    <w:rsid w:val="1C1224F7"/>
    <w:rsid w:val="1C215860"/>
    <w:rsid w:val="1C3B088A"/>
    <w:rsid w:val="1CD120FF"/>
    <w:rsid w:val="1CD557F5"/>
    <w:rsid w:val="1CDF6B41"/>
    <w:rsid w:val="1D2F3F5E"/>
    <w:rsid w:val="1D5133A9"/>
    <w:rsid w:val="1D52110B"/>
    <w:rsid w:val="1D6920D8"/>
    <w:rsid w:val="1DF127C5"/>
    <w:rsid w:val="1EA33ECC"/>
    <w:rsid w:val="1EA43D4B"/>
    <w:rsid w:val="1ECB6CF3"/>
    <w:rsid w:val="1ED63936"/>
    <w:rsid w:val="1EE82E44"/>
    <w:rsid w:val="1F095BCD"/>
    <w:rsid w:val="1F324176"/>
    <w:rsid w:val="1F3529E1"/>
    <w:rsid w:val="1F3839D1"/>
    <w:rsid w:val="1FB35C2A"/>
    <w:rsid w:val="1FB7392F"/>
    <w:rsid w:val="1FF00134"/>
    <w:rsid w:val="200A7C06"/>
    <w:rsid w:val="20443B05"/>
    <w:rsid w:val="204F37C9"/>
    <w:rsid w:val="20540405"/>
    <w:rsid w:val="20AB7349"/>
    <w:rsid w:val="20B11C5C"/>
    <w:rsid w:val="20BE2EDB"/>
    <w:rsid w:val="20DC1B4D"/>
    <w:rsid w:val="20E75FEA"/>
    <w:rsid w:val="2102370C"/>
    <w:rsid w:val="21386BBD"/>
    <w:rsid w:val="217F0425"/>
    <w:rsid w:val="219A49A8"/>
    <w:rsid w:val="21BE7C5E"/>
    <w:rsid w:val="21CA74E9"/>
    <w:rsid w:val="21DE261D"/>
    <w:rsid w:val="21EC2BAB"/>
    <w:rsid w:val="21F22C88"/>
    <w:rsid w:val="22A60EB5"/>
    <w:rsid w:val="22D23494"/>
    <w:rsid w:val="22D81D21"/>
    <w:rsid w:val="230F0A4B"/>
    <w:rsid w:val="23165F69"/>
    <w:rsid w:val="231D1CA3"/>
    <w:rsid w:val="238263F4"/>
    <w:rsid w:val="23AF4937"/>
    <w:rsid w:val="24011960"/>
    <w:rsid w:val="24054A11"/>
    <w:rsid w:val="241137D9"/>
    <w:rsid w:val="24207C9D"/>
    <w:rsid w:val="242438B7"/>
    <w:rsid w:val="245A05CA"/>
    <w:rsid w:val="24B66F7B"/>
    <w:rsid w:val="24B95CB1"/>
    <w:rsid w:val="25101C98"/>
    <w:rsid w:val="251936F7"/>
    <w:rsid w:val="2549427F"/>
    <w:rsid w:val="25974A42"/>
    <w:rsid w:val="25E037D0"/>
    <w:rsid w:val="268C368D"/>
    <w:rsid w:val="26B92AA7"/>
    <w:rsid w:val="27251824"/>
    <w:rsid w:val="273C193D"/>
    <w:rsid w:val="273F2C97"/>
    <w:rsid w:val="279F2C36"/>
    <w:rsid w:val="27DB4A1A"/>
    <w:rsid w:val="28453812"/>
    <w:rsid w:val="28EC1885"/>
    <w:rsid w:val="29212C84"/>
    <w:rsid w:val="2933177B"/>
    <w:rsid w:val="2974095E"/>
    <w:rsid w:val="29927401"/>
    <w:rsid w:val="299B6946"/>
    <w:rsid w:val="29C04EC5"/>
    <w:rsid w:val="29DE1E4D"/>
    <w:rsid w:val="2A0A7696"/>
    <w:rsid w:val="2A0D0F0C"/>
    <w:rsid w:val="2A176C00"/>
    <w:rsid w:val="2A2511BF"/>
    <w:rsid w:val="2A6B1D80"/>
    <w:rsid w:val="2ADB6EB7"/>
    <w:rsid w:val="2AFB54C5"/>
    <w:rsid w:val="2B016E45"/>
    <w:rsid w:val="2B055F8A"/>
    <w:rsid w:val="2B0C03A4"/>
    <w:rsid w:val="2B184BE0"/>
    <w:rsid w:val="2B200651"/>
    <w:rsid w:val="2B3841A3"/>
    <w:rsid w:val="2B6F658C"/>
    <w:rsid w:val="2B925DA1"/>
    <w:rsid w:val="2D511017"/>
    <w:rsid w:val="2DA67B66"/>
    <w:rsid w:val="2DFD7CDE"/>
    <w:rsid w:val="2E7E7094"/>
    <w:rsid w:val="2E8818C4"/>
    <w:rsid w:val="2E922D73"/>
    <w:rsid w:val="2EBA1864"/>
    <w:rsid w:val="2EF22E53"/>
    <w:rsid w:val="2F0A6734"/>
    <w:rsid w:val="2F3D79D9"/>
    <w:rsid w:val="2F4219B8"/>
    <w:rsid w:val="2FC36919"/>
    <w:rsid w:val="2FC935F5"/>
    <w:rsid w:val="3019494D"/>
    <w:rsid w:val="302F5F5A"/>
    <w:rsid w:val="304C426E"/>
    <w:rsid w:val="305C6B22"/>
    <w:rsid w:val="30E74DA6"/>
    <w:rsid w:val="30EC34E0"/>
    <w:rsid w:val="31172A76"/>
    <w:rsid w:val="314B6160"/>
    <w:rsid w:val="31841167"/>
    <w:rsid w:val="31962F66"/>
    <w:rsid w:val="32484C4E"/>
    <w:rsid w:val="32605D06"/>
    <w:rsid w:val="32E90B44"/>
    <w:rsid w:val="33A43C30"/>
    <w:rsid w:val="33CE2C57"/>
    <w:rsid w:val="33DE6B77"/>
    <w:rsid w:val="33EC512B"/>
    <w:rsid w:val="341C101E"/>
    <w:rsid w:val="346F43F1"/>
    <w:rsid w:val="347D281C"/>
    <w:rsid w:val="35441A8C"/>
    <w:rsid w:val="355A3D41"/>
    <w:rsid w:val="35691819"/>
    <w:rsid w:val="35E33894"/>
    <w:rsid w:val="35E9176E"/>
    <w:rsid w:val="35F508F8"/>
    <w:rsid w:val="364D7488"/>
    <w:rsid w:val="365569C3"/>
    <w:rsid w:val="36690254"/>
    <w:rsid w:val="36741E16"/>
    <w:rsid w:val="36D654B6"/>
    <w:rsid w:val="36DD32BF"/>
    <w:rsid w:val="370C7272"/>
    <w:rsid w:val="371E4419"/>
    <w:rsid w:val="372A3672"/>
    <w:rsid w:val="372F21F8"/>
    <w:rsid w:val="37450A23"/>
    <w:rsid w:val="37482467"/>
    <w:rsid w:val="375A10AE"/>
    <w:rsid w:val="375F18CE"/>
    <w:rsid w:val="376D3A14"/>
    <w:rsid w:val="377543D4"/>
    <w:rsid w:val="37941B7C"/>
    <w:rsid w:val="379E050A"/>
    <w:rsid w:val="37A227C0"/>
    <w:rsid w:val="37FE1083"/>
    <w:rsid w:val="38112289"/>
    <w:rsid w:val="381439C0"/>
    <w:rsid w:val="382C54C9"/>
    <w:rsid w:val="389567FE"/>
    <w:rsid w:val="389B0595"/>
    <w:rsid w:val="38A47140"/>
    <w:rsid w:val="38F80946"/>
    <w:rsid w:val="39197560"/>
    <w:rsid w:val="39875A90"/>
    <w:rsid w:val="39A53523"/>
    <w:rsid w:val="39A75360"/>
    <w:rsid w:val="39C661B5"/>
    <w:rsid w:val="3A6570A1"/>
    <w:rsid w:val="3A883352"/>
    <w:rsid w:val="3A98285C"/>
    <w:rsid w:val="3AB16AFD"/>
    <w:rsid w:val="3ABD3CF2"/>
    <w:rsid w:val="3AD23706"/>
    <w:rsid w:val="3AD54D74"/>
    <w:rsid w:val="3ADF1772"/>
    <w:rsid w:val="3AE83617"/>
    <w:rsid w:val="3D056DE5"/>
    <w:rsid w:val="3D150381"/>
    <w:rsid w:val="3D242DC0"/>
    <w:rsid w:val="3D3357D0"/>
    <w:rsid w:val="3D444D9B"/>
    <w:rsid w:val="3D603B0C"/>
    <w:rsid w:val="3D9A53D2"/>
    <w:rsid w:val="3DA82763"/>
    <w:rsid w:val="3E2D0A8E"/>
    <w:rsid w:val="3EB24A80"/>
    <w:rsid w:val="3EF344A0"/>
    <w:rsid w:val="3F0C5499"/>
    <w:rsid w:val="3F266B61"/>
    <w:rsid w:val="3F271710"/>
    <w:rsid w:val="3F564F2E"/>
    <w:rsid w:val="3F5A618E"/>
    <w:rsid w:val="3FDA5041"/>
    <w:rsid w:val="402A5051"/>
    <w:rsid w:val="403C0BE5"/>
    <w:rsid w:val="406538E2"/>
    <w:rsid w:val="40DC6A25"/>
    <w:rsid w:val="40E6513A"/>
    <w:rsid w:val="41277CAD"/>
    <w:rsid w:val="417254CB"/>
    <w:rsid w:val="418A329E"/>
    <w:rsid w:val="4198333A"/>
    <w:rsid w:val="41DE7B28"/>
    <w:rsid w:val="421C406A"/>
    <w:rsid w:val="421C69ED"/>
    <w:rsid w:val="423D3A47"/>
    <w:rsid w:val="423F7E57"/>
    <w:rsid w:val="428B61F9"/>
    <w:rsid w:val="433112AC"/>
    <w:rsid w:val="434E0C0A"/>
    <w:rsid w:val="437800F5"/>
    <w:rsid w:val="438D6152"/>
    <w:rsid w:val="43C54EEF"/>
    <w:rsid w:val="443B1E1A"/>
    <w:rsid w:val="44915789"/>
    <w:rsid w:val="44A17A7E"/>
    <w:rsid w:val="44EE06E7"/>
    <w:rsid w:val="453C2484"/>
    <w:rsid w:val="453D6989"/>
    <w:rsid w:val="457C0AD2"/>
    <w:rsid w:val="45BA70B1"/>
    <w:rsid w:val="45EA2CE8"/>
    <w:rsid w:val="45F74EDF"/>
    <w:rsid w:val="4600059B"/>
    <w:rsid w:val="462D006C"/>
    <w:rsid w:val="46367F86"/>
    <w:rsid w:val="46AB5174"/>
    <w:rsid w:val="46B700F8"/>
    <w:rsid w:val="46BB44BC"/>
    <w:rsid w:val="47510996"/>
    <w:rsid w:val="47570AD2"/>
    <w:rsid w:val="47580314"/>
    <w:rsid w:val="4804144A"/>
    <w:rsid w:val="486A7361"/>
    <w:rsid w:val="489E7726"/>
    <w:rsid w:val="48C05E0B"/>
    <w:rsid w:val="48C93CA5"/>
    <w:rsid w:val="490671E3"/>
    <w:rsid w:val="490E1280"/>
    <w:rsid w:val="4922407A"/>
    <w:rsid w:val="497B7D9F"/>
    <w:rsid w:val="498E6CD6"/>
    <w:rsid w:val="49BD25AC"/>
    <w:rsid w:val="49C93F25"/>
    <w:rsid w:val="49D14B65"/>
    <w:rsid w:val="4A803067"/>
    <w:rsid w:val="4AB74840"/>
    <w:rsid w:val="4AD728D0"/>
    <w:rsid w:val="4ADF597A"/>
    <w:rsid w:val="4AE30D8B"/>
    <w:rsid w:val="4B2D7D43"/>
    <w:rsid w:val="4B91508D"/>
    <w:rsid w:val="4C1F65B9"/>
    <w:rsid w:val="4C450FB8"/>
    <w:rsid w:val="4C747E14"/>
    <w:rsid w:val="4CA84AAD"/>
    <w:rsid w:val="4CAC0E3F"/>
    <w:rsid w:val="4D1D5751"/>
    <w:rsid w:val="4D2B53D3"/>
    <w:rsid w:val="4D807BBE"/>
    <w:rsid w:val="4D8E58D2"/>
    <w:rsid w:val="4E01515D"/>
    <w:rsid w:val="4E405991"/>
    <w:rsid w:val="4E644A95"/>
    <w:rsid w:val="4E656BC0"/>
    <w:rsid w:val="4E65774D"/>
    <w:rsid w:val="4F0023CD"/>
    <w:rsid w:val="4F056DE1"/>
    <w:rsid w:val="4F19757E"/>
    <w:rsid w:val="4F223D03"/>
    <w:rsid w:val="4FCB101C"/>
    <w:rsid w:val="50602A1B"/>
    <w:rsid w:val="50612797"/>
    <w:rsid w:val="50BB53A5"/>
    <w:rsid w:val="50FB1272"/>
    <w:rsid w:val="51174AAA"/>
    <w:rsid w:val="51316FFC"/>
    <w:rsid w:val="51C54E50"/>
    <w:rsid w:val="51D25021"/>
    <w:rsid w:val="51DE290C"/>
    <w:rsid w:val="521356D1"/>
    <w:rsid w:val="53494392"/>
    <w:rsid w:val="535809C3"/>
    <w:rsid w:val="53C315D6"/>
    <w:rsid w:val="547B4505"/>
    <w:rsid w:val="548E6390"/>
    <w:rsid w:val="54C51393"/>
    <w:rsid w:val="54D9333A"/>
    <w:rsid w:val="54ED6EEB"/>
    <w:rsid w:val="55966BD2"/>
    <w:rsid w:val="566817FA"/>
    <w:rsid w:val="56B23CA6"/>
    <w:rsid w:val="56D111FE"/>
    <w:rsid w:val="573072C4"/>
    <w:rsid w:val="57364CC8"/>
    <w:rsid w:val="57471187"/>
    <w:rsid w:val="576F023D"/>
    <w:rsid w:val="577B6EE4"/>
    <w:rsid w:val="57AC5A21"/>
    <w:rsid w:val="57D2146B"/>
    <w:rsid w:val="57EF1F3E"/>
    <w:rsid w:val="581C0CA5"/>
    <w:rsid w:val="584E2F27"/>
    <w:rsid w:val="5886355F"/>
    <w:rsid w:val="58891F15"/>
    <w:rsid w:val="58A35601"/>
    <w:rsid w:val="58B4650D"/>
    <w:rsid w:val="591C62AA"/>
    <w:rsid w:val="593C1AF7"/>
    <w:rsid w:val="59C42195"/>
    <w:rsid w:val="59DD23FD"/>
    <w:rsid w:val="59E24A9F"/>
    <w:rsid w:val="5A3B3213"/>
    <w:rsid w:val="5A737CDB"/>
    <w:rsid w:val="5B3F5F54"/>
    <w:rsid w:val="5B6E3EE5"/>
    <w:rsid w:val="5B713816"/>
    <w:rsid w:val="5B761405"/>
    <w:rsid w:val="5BF8521E"/>
    <w:rsid w:val="5C1B1303"/>
    <w:rsid w:val="5C241BA9"/>
    <w:rsid w:val="5C2453F7"/>
    <w:rsid w:val="5C4D09E5"/>
    <w:rsid w:val="5CA525EA"/>
    <w:rsid w:val="5CD72082"/>
    <w:rsid w:val="5D0852CE"/>
    <w:rsid w:val="5D2928D3"/>
    <w:rsid w:val="5D502207"/>
    <w:rsid w:val="5D7471BB"/>
    <w:rsid w:val="5DBD180F"/>
    <w:rsid w:val="5E0369A2"/>
    <w:rsid w:val="5E1C522E"/>
    <w:rsid w:val="5E3B5015"/>
    <w:rsid w:val="5ECD71E6"/>
    <w:rsid w:val="5ECF201B"/>
    <w:rsid w:val="5EDA7CAB"/>
    <w:rsid w:val="5EE501EE"/>
    <w:rsid w:val="5F4315E3"/>
    <w:rsid w:val="5FFB11ED"/>
    <w:rsid w:val="60380678"/>
    <w:rsid w:val="605D60B2"/>
    <w:rsid w:val="60604FB9"/>
    <w:rsid w:val="609540A8"/>
    <w:rsid w:val="60B33EB4"/>
    <w:rsid w:val="611A335C"/>
    <w:rsid w:val="61216701"/>
    <w:rsid w:val="612B1527"/>
    <w:rsid w:val="61D95419"/>
    <w:rsid w:val="626B5F89"/>
    <w:rsid w:val="627B32D8"/>
    <w:rsid w:val="62B90CFD"/>
    <w:rsid w:val="62FF6042"/>
    <w:rsid w:val="63144E8D"/>
    <w:rsid w:val="63226337"/>
    <w:rsid w:val="632D650D"/>
    <w:rsid w:val="63863E37"/>
    <w:rsid w:val="63DC4A37"/>
    <w:rsid w:val="643709EB"/>
    <w:rsid w:val="64C753D2"/>
    <w:rsid w:val="64E82635"/>
    <w:rsid w:val="64F168C1"/>
    <w:rsid w:val="64F459D0"/>
    <w:rsid w:val="65555035"/>
    <w:rsid w:val="6582338C"/>
    <w:rsid w:val="65B22786"/>
    <w:rsid w:val="65E531E0"/>
    <w:rsid w:val="65F6754E"/>
    <w:rsid w:val="661735C0"/>
    <w:rsid w:val="6655706E"/>
    <w:rsid w:val="66692167"/>
    <w:rsid w:val="66872C44"/>
    <w:rsid w:val="66A4324F"/>
    <w:rsid w:val="66DD6DB6"/>
    <w:rsid w:val="67EE62F1"/>
    <w:rsid w:val="67FE0ABC"/>
    <w:rsid w:val="68272B8D"/>
    <w:rsid w:val="682B4CB5"/>
    <w:rsid w:val="684A0973"/>
    <w:rsid w:val="68A36922"/>
    <w:rsid w:val="68C1245B"/>
    <w:rsid w:val="68CF44E4"/>
    <w:rsid w:val="68D474B9"/>
    <w:rsid w:val="69427D77"/>
    <w:rsid w:val="69520021"/>
    <w:rsid w:val="69774602"/>
    <w:rsid w:val="699A4315"/>
    <w:rsid w:val="699A7243"/>
    <w:rsid w:val="69B50573"/>
    <w:rsid w:val="69C36FE9"/>
    <w:rsid w:val="6A2D2B79"/>
    <w:rsid w:val="6A4533FD"/>
    <w:rsid w:val="6A496835"/>
    <w:rsid w:val="6A8E7740"/>
    <w:rsid w:val="6AD5648B"/>
    <w:rsid w:val="6B122298"/>
    <w:rsid w:val="6B32622B"/>
    <w:rsid w:val="6B44347E"/>
    <w:rsid w:val="6B7409C3"/>
    <w:rsid w:val="6C026F3C"/>
    <w:rsid w:val="6C19025F"/>
    <w:rsid w:val="6C2C4F32"/>
    <w:rsid w:val="6C396029"/>
    <w:rsid w:val="6C3B64A7"/>
    <w:rsid w:val="6CD83A9C"/>
    <w:rsid w:val="6D256766"/>
    <w:rsid w:val="6D7F405A"/>
    <w:rsid w:val="6DB9174A"/>
    <w:rsid w:val="6E1F0E23"/>
    <w:rsid w:val="6E565E3A"/>
    <w:rsid w:val="6E8A1B32"/>
    <w:rsid w:val="6F6124E5"/>
    <w:rsid w:val="6FA6229E"/>
    <w:rsid w:val="6FF900E7"/>
    <w:rsid w:val="70294286"/>
    <w:rsid w:val="708C7ADE"/>
    <w:rsid w:val="70C96F94"/>
    <w:rsid w:val="70D05D03"/>
    <w:rsid w:val="70F8010E"/>
    <w:rsid w:val="711575EE"/>
    <w:rsid w:val="715349F8"/>
    <w:rsid w:val="71945E92"/>
    <w:rsid w:val="71AE19CA"/>
    <w:rsid w:val="71BF1449"/>
    <w:rsid w:val="721A1FF2"/>
    <w:rsid w:val="72356C20"/>
    <w:rsid w:val="723E4008"/>
    <w:rsid w:val="72AC1216"/>
    <w:rsid w:val="72B00049"/>
    <w:rsid w:val="72B70F99"/>
    <w:rsid w:val="73192710"/>
    <w:rsid w:val="732D44FD"/>
    <w:rsid w:val="7357062E"/>
    <w:rsid w:val="73981574"/>
    <w:rsid w:val="73B92936"/>
    <w:rsid w:val="73FB49FD"/>
    <w:rsid w:val="74186DCB"/>
    <w:rsid w:val="74376D48"/>
    <w:rsid w:val="74446098"/>
    <w:rsid w:val="746B414F"/>
    <w:rsid w:val="7472539D"/>
    <w:rsid w:val="749E6766"/>
    <w:rsid w:val="74DC45A8"/>
    <w:rsid w:val="750227FB"/>
    <w:rsid w:val="75693A34"/>
    <w:rsid w:val="75911FE8"/>
    <w:rsid w:val="75B770CD"/>
    <w:rsid w:val="75CD34AB"/>
    <w:rsid w:val="75CF7ADF"/>
    <w:rsid w:val="764B4F25"/>
    <w:rsid w:val="76686C67"/>
    <w:rsid w:val="76CE603E"/>
    <w:rsid w:val="77162A8D"/>
    <w:rsid w:val="774025C7"/>
    <w:rsid w:val="77894212"/>
    <w:rsid w:val="77991E01"/>
    <w:rsid w:val="7800271B"/>
    <w:rsid w:val="782E08A0"/>
    <w:rsid w:val="78440AB3"/>
    <w:rsid w:val="785B79C8"/>
    <w:rsid w:val="787A7054"/>
    <w:rsid w:val="78CA0ADB"/>
    <w:rsid w:val="78D85865"/>
    <w:rsid w:val="792C66E3"/>
    <w:rsid w:val="79FE73E8"/>
    <w:rsid w:val="7A237A12"/>
    <w:rsid w:val="7A6054E2"/>
    <w:rsid w:val="7A8B7D4E"/>
    <w:rsid w:val="7A98230D"/>
    <w:rsid w:val="7B60499C"/>
    <w:rsid w:val="7B6276D7"/>
    <w:rsid w:val="7BCD0EC9"/>
    <w:rsid w:val="7C0C430A"/>
    <w:rsid w:val="7C360DFD"/>
    <w:rsid w:val="7C361D53"/>
    <w:rsid w:val="7C515A2B"/>
    <w:rsid w:val="7CBF1AA2"/>
    <w:rsid w:val="7CF92CB6"/>
    <w:rsid w:val="7DBB52DE"/>
    <w:rsid w:val="7DDF015B"/>
    <w:rsid w:val="7DEE0A06"/>
    <w:rsid w:val="7E745C2A"/>
    <w:rsid w:val="7EA95F25"/>
    <w:rsid w:val="7EBF6D37"/>
    <w:rsid w:val="7ED31DC1"/>
    <w:rsid w:val="7EF47C86"/>
    <w:rsid w:val="7F3B5B00"/>
    <w:rsid w:val="7F510FB4"/>
    <w:rsid w:val="7F781638"/>
    <w:rsid w:val="7FCB0BE9"/>
    <w:rsid w:val="7FE147D1"/>
    <w:rsid w:val="7FE95EA7"/>
    <w:rsid w:val="7FEB6C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0" w:semiHidden="0"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5">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paragraph" w:styleId="6">
    <w:name w:val="heading 3"/>
    <w:basedOn w:val="1"/>
    <w:next w:val="1"/>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8">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68"/>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10">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1">
    <w:name w:val="heading 8"/>
    <w:basedOn w:val="1"/>
    <w:next w:val="1"/>
    <w:link w:val="70"/>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2">
    <w:name w:val="heading 9"/>
    <w:basedOn w:val="1"/>
    <w:next w:val="1"/>
    <w:link w:val="71"/>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83"/>
    <w:semiHidden/>
    <w:qFormat/>
    <w:uiPriority w:val="99"/>
    <w:pPr>
      <w:snapToGrid w:val="0"/>
      <w:jc w:val="left"/>
    </w:pPr>
    <w:rPr>
      <w:sz w:val="18"/>
      <w:szCs w:val="18"/>
    </w:rPr>
  </w:style>
  <w:style w:type="paragraph" w:styleId="3">
    <w:name w:val="index 5"/>
    <w:basedOn w:val="1"/>
    <w:next w:val="1"/>
    <w:qFormat/>
    <w:locked/>
    <w:uiPriority w:val="0"/>
    <w:pPr>
      <w:ind w:left="800" w:leftChars="800"/>
    </w:pPr>
    <w:rPr>
      <w:rFonts w:ascii="Times New Roman" w:hAnsi="Times New Roman" w:eastAsia="宋体"/>
      <w:snapToGrid/>
      <w:kern w:val="2"/>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Normal Indent"/>
    <w:basedOn w:val="1"/>
    <w:link w:val="98"/>
    <w:qFormat/>
    <w:uiPriority w:val="99"/>
    <w:pPr>
      <w:ind w:firstLine="420"/>
    </w:pPr>
  </w:style>
  <w:style w:type="paragraph" w:styleId="16">
    <w:name w:val="Document Map"/>
    <w:basedOn w:val="1"/>
    <w:link w:val="74"/>
    <w:semiHidden/>
    <w:qFormat/>
    <w:uiPriority w:val="99"/>
    <w:pPr>
      <w:shd w:val="clear" w:color="auto" w:fill="000080"/>
    </w:pPr>
  </w:style>
  <w:style w:type="paragraph" w:styleId="17">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8">
    <w:name w:val="annotation text"/>
    <w:basedOn w:val="1"/>
    <w:link w:val="75"/>
    <w:semiHidden/>
    <w:qFormat/>
    <w:uiPriority w:val="99"/>
    <w:pPr>
      <w:jc w:val="left"/>
    </w:pPr>
    <w:rPr>
      <w:rFonts w:ascii="Calibri" w:hAnsi="Calibri" w:cs="Calibri"/>
    </w:rPr>
  </w:style>
  <w:style w:type="paragraph" w:styleId="19">
    <w:name w:val="Body Text"/>
    <w:basedOn w:val="1"/>
    <w:next w:val="20"/>
    <w:link w:val="76"/>
    <w:qFormat/>
    <w:uiPriority w:val="99"/>
    <w:rPr>
      <w:sz w:val="24"/>
      <w:szCs w:val="24"/>
    </w:rPr>
  </w:style>
  <w:style w:type="paragraph" w:styleId="20">
    <w:name w:val="Body Text First Indent"/>
    <w:basedOn w:val="19"/>
    <w:next w:val="1"/>
    <w:link w:val="88"/>
    <w:qFormat/>
    <w:uiPriority w:val="99"/>
    <w:pPr>
      <w:spacing w:line="360" w:lineRule="auto"/>
      <w:ind w:firstLine="482"/>
    </w:pPr>
    <w:rPr>
      <w:b/>
      <w:bCs/>
    </w:rPr>
  </w:style>
  <w:style w:type="paragraph" w:styleId="21">
    <w:name w:val="Body Text Indent"/>
    <w:basedOn w:val="1"/>
    <w:next w:val="22"/>
    <w:link w:val="72"/>
    <w:qFormat/>
    <w:uiPriority w:val="99"/>
    <w:pPr>
      <w:spacing w:after="156"/>
      <w:ind w:firstLine="480"/>
    </w:pPr>
    <w:rPr>
      <w:rFonts w:ascii="Calibri" w:hAnsi="Calibri" w:cs="Calibri"/>
      <w:sz w:val="24"/>
      <w:szCs w:val="24"/>
    </w:rPr>
  </w:style>
  <w:style w:type="paragraph" w:styleId="22">
    <w:name w:val="envelope return"/>
    <w:basedOn w:val="1"/>
    <w:qFormat/>
    <w:locked/>
    <w:uiPriority w:val="99"/>
    <w:pPr>
      <w:snapToGrid w:val="0"/>
    </w:pPr>
    <w:rPr>
      <w:rFonts w:ascii="Arial" w:hAnsi="Arial" w:cs="Arial"/>
    </w:rPr>
  </w:style>
  <w:style w:type="paragraph" w:styleId="23">
    <w:name w:val="List 2"/>
    <w:basedOn w:val="1"/>
    <w:qFormat/>
    <w:uiPriority w:val="99"/>
    <w:pPr>
      <w:ind w:left="100" w:leftChars="200" w:hanging="200" w:hangingChars="200"/>
    </w:pPr>
  </w:style>
  <w:style w:type="paragraph" w:styleId="24">
    <w:name w:val="List Continue"/>
    <w:basedOn w:val="1"/>
    <w:qFormat/>
    <w:uiPriority w:val="99"/>
    <w:pPr>
      <w:spacing w:after="120"/>
      <w:ind w:left="420" w:leftChars="200"/>
    </w:pPr>
  </w:style>
  <w:style w:type="paragraph" w:styleId="25">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6">
    <w:name w:val="toc 5"/>
    <w:basedOn w:val="1"/>
    <w:next w:val="1"/>
    <w:semiHidden/>
    <w:qFormat/>
    <w:uiPriority w:val="99"/>
    <w:pPr>
      <w:ind w:left="840"/>
      <w:jc w:val="left"/>
    </w:pPr>
    <w:rPr>
      <w:sz w:val="18"/>
      <w:szCs w:val="18"/>
    </w:rPr>
  </w:style>
  <w:style w:type="paragraph" w:styleId="27">
    <w:name w:val="toc 3"/>
    <w:basedOn w:val="1"/>
    <w:next w:val="1"/>
    <w:semiHidden/>
    <w:qFormat/>
    <w:uiPriority w:val="99"/>
    <w:pPr>
      <w:ind w:left="420"/>
      <w:jc w:val="left"/>
    </w:pPr>
    <w:rPr>
      <w:i/>
      <w:iCs/>
      <w:sz w:val="20"/>
      <w:szCs w:val="20"/>
    </w:rPr>
  </w:style>
  <w:style w:type="paragraph" w:styleId="28">
    <w:name w:val="Plain Text"/>
    <w:basedOn w:val="1"/>
    <w:link w:val="77"/>
    <w:qFormat/>
    <w:uiPriority w:val="99"/>
    <w:rPr>
      <w:rFonts w:ascii="宋体" w:hAnsi="Courier New" w:cs="宋体"/>
    </w:rPr>
  </w:style>
  <w:style w:type="paragraph" w:styleId="29">
    <w:name w:val="toc 8"/>
    <w:basedOn w:val="1"/>
    <w:next w:val="1"/>
    <w:semiHidden/>
    <w:qFormat/>
    <w:uiPriority w:val="99"/>
    <w:pPr>
      <w:ind w:left="1470"/>
      <w:jc w:val="left"/>
    </w:pPr>
    <w:rPr>
      <w:sz w:val="18"/>
      <w:szCs w:val="18"/>
    </w:rPr>
  </w:style>
  <w:style w:type="paragraph" w:styleId="30">
    <w:name w:val="Date"/>
    <w:basedOn w:val="1"/>
    <w:next w:val="1"/>
    <w:link w:val="78"/>
    <w:qFormat/>
    <w:uiPriority w:val="99"/>
    <w:pPr>
      <w:widowControl/>
      <w:ind w:left="100"/>
      <w:jc w:val="left"/>
    </w:pPr>
    <w:rPr>
      <w:rFonts w:ascii="宋体" w:hAnsi="宋体" w:cs="宋体"/>
      <w:kern w:val="0"/>
      <w:sz w:val="28"/>
      <w:szCs w:val="28"/>
    </w:rPr>
  </w:style>
  <w:style w:type="paragraph" w:styleId="31">
    <w:name w:val="Body Text Indent 2"/>
    <w:basedOn w:val="1"/>
    <w:link w:val="79"/>
    <w:qFormat/>
    <w:uiPriority w:val="99"/>
    <w:pPr>
      <w:ind w:left="1436" w:leftChars="684"/>
    </w:pPr>
    <w:rPr>
      <w:sz w:val="24"/>
      <w:szCs w:val="24"/>
    </w:rPr>
  </w:style>
  <w:style w:type="paragraph" w:styleId="32">
    <w:name w:val="List Continue 5"/>
    <w:basedOn w:val="1"/>
    <w:qFormat/>
    <w:uiPriority w:val="99"/>
    <w:pPr>
      <w:spacing w:after="120"/>
      <w:ind w:left="2100" w:leftChars="1000"/>
    </w:pPr>
  </w:style>
  <w:style w:type="paragraph" w:styleId="33">
    <w:name w:val="Balloon Text"/>
    <w:basedOn w:val="1"/>
    <w:link w:val="80"/>
    <w:semiHidden/>
    <w:qFormat/>
    <w:uiPriority w:val="99"/>
    <w:rPr>
      <w:rFonts w:ascii="Calibri" w:hAnsi="Calibri" w:cs="Calibri"/>
      <w:sz w:val="18"/>
      <w:szCs w:val="18"/>
    </w:rPr>
  </w:style>
  <w:style w:type="paragraph" w:styleId="34">
    <w:name w:val="footer"/>
    <w:basedOn w:val="1"/>
    <w:link w:val="81"/>
    <w:qFormat/>
    <w:uiPriority w:val="99"/>
    <w:pPr>
      <w:tabs>
        <w:tab w:val="center" w:pos="4153"/>
        <w:tab w:val="right" w:pos="8306"/>
      </w:tabs>
      <w:snapToGrid w:val="0"/>
      <w:jc w:val="left"/>
    </w:pPr>
    <w:rPr>
      <w:rFonts w:ascii="Calibri" w:hAnsi="Calibri" w:cs="Calibri"/>
      <w:sz w:val="18"/>
      <w:szCs w:val="18"/>
    </w:rPr>
  </w:style>
  <w:style w:type="paragraph" w:styleId="35">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7">
    <w:name w:val="List Continue 4"/>
    <w:basedOn w:val="1"/>
    <w:qFormat/>
    <w:uiPriority w:val="99"/>
    <w:pPr>
      <w:spacing w:after="120"/>
      <w:ind w:left="1680" w:leftChars="800"/>
    </w:pPr>
  </w:style>
  <w:style w:type="paragraph" w:styleId="38">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9">
    <w:name w:val="List"/>
    <w:basedOn w:val="1"/>
    <w:qFormat/>
    <w:uiPriority w:val="99"/>
    <w:pPr>
      <w:ind w:left="200" w:hanging="200" w:hangingChars="200"/>
    </w:pPr>
  </w:style>
  <w:style w:type="paragraph" w:styleId="40">
    <w:name w:val="toc 6"/>
    <w:basedOn w:val="1"/>
    <w:next w:val="1"/>
    <w:semiHidden/>
    <w:qFormat/>
    <w:uiPriority w:val="99"/>
    <w:pPr>
      <w:ind w:left="1050"/>
      <w:jc w:val="left"/>
    </w:pPr>
    <w:rPr>
      <w:sz w:val="18"/>
      <w:szCs w:val="18"/>
    </w:rPr>
  </w:style>
  <w:style w:type="paragraph" w:styleId="41">
    <w:name w:val="List 5"/>
    <w:basedOn w:val="1"/>
    <w:qFormat/>
    <w:uiPriority w:val="99"/>
    <w:pPr>
      <w:ind w:left="100" w:leftChars="800" w:hanging="200" w:hangingChars="200"/>
    </w:pPr>
  </w:style>
  <w:style w:type="paragraph" w:styleId="42">
    <w:name w:val="Body Text Indent 3"/>
    <w:basedOn w:val="1"/>
    <w:next w:val="17"/>
    <w:link w:val="84"/>
    <w:qFormat/>
    <w:uiPriority w:val="99"/>
    <w:pPr>
      <w:spacing w:after="120"/>
      <w:ind w:left="420" w:leftChars="200"/>
    </w:pPr>
    <w:rPr>
      <w:sz w:val="16"/>
      <w:szCs w:val="16"/>
    </w:rPr>
  </w:style>
  <w:style w:type="paragraph" w:styleId="43">
    <w:name w:val="toc 2"/>
    <w:basedOn w:val="1"/>
    <w:next w:val="1"/>
    <w:semiHidden/>
    <w:qFormat/>
    <w:uiPriority w:val="99"/>
    <w:pPr>
      <w:ind w:left="210"/>
      <w:jc w:val="left"/>
    </w:pPr>
    <w:rPr>
      <w:smallCaps/>
      <w:sz w:val="20"/>
      <w:szCs w:val="20"/>
    </w:rPr>
  </w:style>
  <w:style w:type="paragraph" w:styleId="44">
    <w:name w:val="toc 9"/>
    <w:basedOn w:val="1"/>
    <w:next w:val="1"/>
    <w:semiHidden/>
    <w:qFormat/>
    <w:uiPriority w:val="99"/>
    <w:pPr>
      <w:ind w:left="1680"/>
      <w:jc w:val="left"/>
    </w:pPr>
    <w:rPr>
      <w:sz w:val="18"/>
      <w:szCs w:val="18"/>
    </w:rPr>
  </w:style>
  <w:style w:type="paragraph" w:styleId="45">
    <w:name w:val="Body Text 2"/>
    <w:basedOn w:val="1"/>
    <w:link w:val="85"/>
    <w:qFormat/>
    <w:uiPriority w:val="99"/>
    <w:rPr>
      <w:rFonts w:ascii="宋体" w:hAnsi="宋体" w:cs="宋体"/>
      <w:sz w:val="24"/>
      <w:szCs w:val="24"/>
    </w:rPr>
  </w:style>
  <w:style w:type="paragraph" w:styleId="46">
    <w:name w:val="List 4"/>
    <w:basedOn w:val="1"/>
    <w:qFormat/>
    <w:uiPriority w:val="99"/>
    <w:pPr>
      <w:ind w:left="100" w:leftChars="600" w:hanging="200" w:hangingChars="200"/>
    </w:pPr>
  </w:style>
  <w:style w:type="paragraph" w:styleId="47">
    <w:name w:val="List Continue 2"/>
    <w:basedOn w:val="1"/>
    <w:qFormat/>
    <w:uiPriority w:val="99"/>
    <w:pPr>
      <w:spacing w:after="120"/>
      <w:ind w:left="840" w:leftChars="400"/>
    </w:pPr>
  </w:style>
  <w:style w:type="paragraph" w:styleId="48">
    <w:name w:val="HTML Preformatted"/>
    <w:basedOn w:val="1"/>
    <w:link w:val="86"/>
    <w:qFormat/>
    <w:uiPriority w:val="99"/>
    <w:rPr>
      <w:rFonts w:ascii="Courier New" w:hAnsi="Courier New" w:cs="Courier New"/>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List Continue 3"/>
    <w:basedOn w:val="1"/>
    <w:qFormat/>
    <w:uiPriority w:val="99"/>
    <w:pPr>
      <w:spacing w:after="120"/>
      <w:ind w:left="1260" w:leftChars="600"/>
    </w:pPr>
  </w:style>
  <w:style w:type="paragraph" w:styleId="51">
    <w:name w:val="annotation subject"/>
    <w:basedOn w:val="18"/>
    <w:next w:val="18"/>
    <w:link w:val="87"/>
    <w:semiHidden/>
    <w:qFormat/>
    <w:uiPriority w:val="99"/>
    <w:rPr>
      <w:b/>
      <w:bCs/>
    </w:rPr>
  </w:style>
  <w:style w:type="paragraph" w:styleId="52">
    <w:name w:val="Body Text First Indent 2"/>
    <w:basedOn w:val="21"/>
    <w:next w:val="42"/>
    <w:link w:val="73"/>
    <w:qFormat/>
    <w:locked/>
    <w:uiPriority w:val="99"/>
    <w:pPr>
      <w:ind w:firstLine="420" w:firstLineChars="200"/>
    </w:p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locked/>
    <w:uiPriority w:val="99"/>
    <w:rPr>
      <w:b/>
      <w:bCs/>
    </w:rPr>
  </w:style>
  <w:style w:type="character" w:styleId="57">
    <w:name w:val="page number"/>
    <w:basedOn w:val="55"/>
    <w:qFormat/>
    <w:uiPriority w:val="99"/>
  </w:style>
  <w:style w:type="character" w:styleId="58">
    <w:name w:val="FollowedHyperlink"/>
    <w:qFormat/>
    <w:locked/>
    <w:uiPriority w:val="99"/>
    <w:rPr>
      <w:color w:val="333333"/>
      <w:u w:val="none"/>
    </w:rPr>
  </w:style>
  <w:style w:type="character" w:styleId="59">
    <w:name w:val="HTML Typewriter"/>
    <w:qFormat/>
    <w:locked/>
    <w:uiPriority w:val="0"/>
    <w:rPr>
      <w:rFonts w:ascii="黑体" w:hAnsi="Courier New" w:eastAsia="黑体" w:cs="Courier New"/>
      <w:sz w:val="14"/>
      <w:szCs w:val="14"/>
    </w:rPr>
  </w:style>
  <w:style w:type="character" w:styleId="60">
    <w:name w:val="Hyperlink"/>
    <w:qFormat/>
    <w:uiPriority w:val="99"/>
    <w:rPr>
      <w:color w:val="333333"/>
      <w:u w:val="none"/>
    </w:rPr>
  </w:style>
  <w:style w:type="character" w:styleId="61">
    <w:name w:val="annotation reference"/>
    <w:semiHidden/>
    <w:qFormat/>
    <w:uiPriority w:val="99"/>
    <w:rPr>
      <w:sz w:val="21"/>
      <w:szCs w:val="21"/>
    </w:rPr>
  </w:style>
  <w:style w:type="character" w:styleId="62">
    <w:name w:val="footnote reference"/>
    <w:semiHidden/>
    <w:qFormat/>
    <w:uiPriority w:val="99"/>
    <w:rPr>
      <w:vertAlign w:val="superscript"/>
    </w:rPr>
  </w:style>
  <w:style w:type="character" w:customStyle="1" w:styleId="63">
    <w:name w:val="标题 1 Char"/>
    <w:link w:val="4"/>
    <w:qFormat/>
    <w:locked/>
    <w:uiPriority w:val="99"/>
    <w:rPr>
      <w:b/>
      <w:bCs/>
      <w:kern w:val="44"/>
      <w:sz w:val="44"/>
      <w:szCs w:val="44"/>
    </w:rPr>
  </w:style>
  <w:style w:type="character" w:customStyle="1" w:styleId="64">
    <w:name w:val="标题 2 Char"/>
    <w:link w:val="5"/>
    <w:qFormat/>
    <w:locked/>
    <w:uiPriority w:val="99"/>
    <w:rPr>
      <w:rFonts w:ascii="Arial" w:hAnsi="Arial" w:eastAsia="黑体" w:cs="Arial"/>
      <w:b/>
      <w:bCs/>
      <w:sz w:val="32"/>
      <w:szCs w:val="32"/>
    </w:rPr>
  </w:style>
  <w:style w:type="character" w:customStyle="1" w:styleId="65">
    <w:name w:val="标题 3 Char"/>
    <w:link w:val="6"/>
    <w:semiHidden/>
    <w:qFormat/>
    <w:locked/>
    <w:uiPriority w:val="99"/>
    <w:rPr>
      <w:rFonts w:ascii="Times New Roman" w:hAnsi="Times New Roman" w:cs="Times New Roman"/>
      <w:b/>
      <w:bCs/>
      <w:sz w:val="32"/>
      <w:szCs w:val="32"/>
    </w:rPr>
  </w:style>
  <w:style w:type="character" w:customStyle="1" w:styleId="66">
    <w:name w:val="标题 4 Char"/>
    <w:link w:val="7"/>
    <w:qFormat/>
    <w:locked/>
    <w:uiPriority w:val="99"/>
    <w:rPr>
      <w:rFonts w:ascii="Arial" w:hAnsi="Arial" w:eastAsia="黑体" w:cs="Arial"/>
      <w:b/>
      <w:bCs/>
      <w:kern w:val="2"/>
      <w:sz w:val="28"/>
      <w:szCs w:val="28"/>
      <w:lang w:val="en-US" w:eastAsia="zh-CN"/>
    </w:rPr>
  </w:style>
  <w:style w:type="character" w:customStyle="1" w:styleId="67">
    <w:name w:val="标题 5 Char"/>
    <w:link w:val="8"/>
    <w:semiHidden/>
    <w:qFormat/>
    <w:locked/>
    <w:uiPriority w:val="99"/>
    <w:rPr>
      <w:rFonts w:ascii="Times New Roman" w:hAnsi="Times New Roman" w:cs="Times New Roman"/>
      <w:b/>
      <w:bCs/>
      <w:sz w:val="28"/>
      <w:szCs w:val="28"/>
    </w:rPr>
  </w:style>
  <w:style w:type="character" w:customStyle="1" w:styleId="68">
    <w:name w:val="标题 6 Char"/>
    <w:link w:val="9"/>
    <w:semiHidden/>
    <w:qFormat/>
    <w:locked/>
    <w:uiPriority w:val="99"/>
    <w:rPr>
      <w:rFonts w:ascii="Cambria" w:hAnsi="Cambria" w:eastAsia="宋体" w:cs="Cambria"/>
      <w:b/>
      <w:bCs/>
      <w:sz w:val="24"/>
      <w:szCs w:val="24"/>
    </w:rPr>
  </w:style>
  <w:style w:type="character" w:customStyle="1" w:styleId="69">
    <w:name w:val="标题 7 Char"/>
    <w:link w:val="10"/>
    <w:semiHidden/>
    <w:qFormat/>
    <w:locked/>
    <w:uiPriority w:val="99"/>
    <w:rPr>
      <w:rFonts w:ascii="Times New Roman" w:hAnsi="Times New Roman" w:cs="Times New Roman"/>
      <w:b/>
      <w:bCs/>
      <w:sz w:val="24"/>
      <w:szCs w:val="24"/>
    </w:rPr>
  </w:style>
  <w:style w:type="character" w:customStyle="1" w:styleId="70">
    <w:name w:val="标题 8 Char"/>
    <w:link w:val="11"/>
    <w:semiHidden/>
    <w:qFormat/>
    <w:locked/>
    <w:uiPriority w:val="99"/>
    <w:rPr>
      <w:rFonts w:ascii="Cambria" w:hAnsi="Cambria" w:eastAsia="宋体" w:cs="Cambria"/>
      <w:sz w:val="24"/>
      <w:szCs w:val="24"/>
    </w:rPr>
  </w:style>
  <w:style w:type="character" w:customStyle="1" w:styleId="71">
    <w:name w:val="标题 9 Char"/>
    <w:link w:val="12"/>
    <w:semiHidden/>
    <w:qFormat/>
    <w:locked/>
    <w:uiPriority w:val="99"/>
    <w:rPr>
      <w:rFonts w:ascii="Cambria" w:hAnsi="Cambria" w:eastAsia="宋体" w:cs="Cambria"/>
      <w:sz w:val="21"/>
      <w:szCs w:val="21"/>
    </w:rPr>
  </w:style>
  <w:style w:type="character" w:customStyle="1" w:styleId="72">
    <w:name w:val="正文文本缩进 Char"/>
    <w:link w:val="21"/>
    <w:qFormat/>
    <w:locked/>
    <w:uiPriority w:val="99"/>
    <w:rPr>
      <w:kern w:val="2"/>
      <w:sz w:val="24"/>
      <w:szCs w:val="24"/>
    </w:rPr>
  </w:style>
  <w:style w:type="character" w:customStyle="1" w:styleId="73">
    <w:name w:val="正文首行缩进 2 Char"/>
    <w:link w:val="52"/>
    <w:semiHidden/>
    <w:qFormat/>
    <w:locked/>
    <w:uiPriority w:val="99"/>
    <w:rPr>
      <w:rFonts w:ascii="Times New Roman" w:hAnsi="Times New Roman" w:cs="Times New Roman"/>
      <w:kern w:val="2"/>
      <w:sz w:val="21"/>
      <w:szCs w:val="21"/>
    </w:rPr>
  </w:style>
  <w:style w:type="character" w:customStyle="1" w:styleId="74">
    <w:name w:val="文档结构图 Char"/>
    <w:link w:val="16"/>
    <w:semiHidden/>
    <w:qFormat/>
    <w:locked/>
    <w:uiPriority w:val="99"/>
    <w:rPr>
      <w:rFonts w:ascii="Times New Roman" w:hAnsi="Times New Roman" w:cs="Times New Roman"/>
      <w:sz w:val="2"/>
      <w:szCs w:val="2"/>
    </w:rPr>
  </w:style>
  <w:style w:type="character" w:customStyle="1" w:styleId="75">
    <w:name w:val="批注文字 Char"/>
    <w:link w:val="18"/>
    <w:qFormat/>
    <w:locked/>
    <w:uiPriority w:val="99"/>
    <w:rPr>
      <w:kern w:val="2"/>
      <w:sz w:val="21"/>
      <w:szCs w:val="21"/>
    </w:rPr>
  </w:style>
  <w:style w:type="character" w:customStyle="1" w:styleId="76">
    <w:name w:val="正文文本 Char"/>
    <w:link w:val="19"/>
    <w:semiHidden/>
    <w:qFormat/>
    <w:locked/>
    <w:uiPriority w:val="99"/>
    <w:rPr>
      <w:rFonts w:ascii="Times New Roman" w:hAnsi="Times New Roman" w:cs="Times New Roman"/>
      <w:sz w:val="21"/>
      <w:szCs w:val="21"/>
    </w:rPr>
  </w:style>
  <w:style w:type="character" w:customStyle="1" w:styleId="77">
    <w:name w:val="纯文本 Char"/>
    <w:link w:val="28"/>
    <w:semiHidden/>
    <w:qFormat/>
    <w:locked/>
    <w:uiPriority w:val="99"/>
    <w:rPr>
      <w:rFonts w:ascii="宋体" w:hAnsi="Courier New" w:cs="宋体"/>
      <w:sz w:val="21"/>
      <w:szCs w:val="21"/>
    </w:rPr>
  </w:style>
  <w:style w:type="character" w:customStyle="1" w:styleId="78">
    <w:name w:val="日期 Char"/>
    <w:link w:val="30"/>
    <w:semiHidden/>
    <w:qFormat/>
    <w:locked/>
    <w:uiPriority w:val="99"/>
    <w:rPr>
      <w:rFonts w:ascii="Times New Roman" w:hAnsi="Times New Roman" w:cs="Times New Roman"/>
      <w:sz w:val="21"/>
      <w:szCs w:val="21"/>
    </w:rPr>
  </w:style>
  <w:style w:type="character" w:customStyle="1" w:styleId="79">
    <w:name w:val="正文文本缩进 2 Char"/>
    <w:link w:val="31"/>
    <w:semiHidden/>
    <w:qFormat/>
    <w:locked/>
    <w:uiPriority w:val="99"/>
    <w:rPr>
      <w:rFonts w:ascii="Times New Roman" w:hAnsi="Times New Roman" w:cs="Times New Roman"/>
      <w:sz w:val="21"/>
      <w:szCs w:val="21"/>
    </w:rPr>
  </w:style>
  <w:style w:type="character" w:customStyle="1" w:styleId="80">
    <w:name w:val="批注框文本 Char"/>
    <w:link w:val="33"/>
    <w:qFormat/>
    <w:locked/>
    <w:uiPriority w:val="99"/>
    <w:rPr>
      <w:rFonts w:eastAsia="宋体"/>
      <w:kern w:val="2"/>
      <w:sz w:val="18"/>
      <w:szCs w:val="18"/>
      <w:lang w:val="en-US" w:eastAsia="zh-CN"/>
    </w:rPr>
  </w:style>
  <w:style w:type="character" w:customStyle="1" w:styleId="81">
    <w:name w:val="页脚 Char"/>
    <w:link w:val="34"/>
    <w:qFormat/>
    <w:locked/>
    <w:uiPriority w:val="99"/>
    <w:rPr>
      <w:kern w:val="2"/>
      <w:sz w:val="18"/>
      <w:szCs w:val="18"/>
    </w:rPr>
  </w:style>
  <w:style w:type="character" w:customStyle="1" w:styleId="82">
    <w:name w:val="页眉 Char"/>
    <w:link w:val="35"/>
    <w:semiHidden/>
    <w:qFormat/>
    <w:locked/>
    <w:uiPriority w:val="99"/>
    <w:rPr>
      <w:rFonts w:ascii="Times New Roman" w:hAnsi="Times New Roman" w:cs="Times New Roman"/>
      <w:sz w:val="18"/>
      <w:szCs w:val="18"/>
    </w:rPr>
  </w:style>
  <w:style w:type="character" w:customStyle="1" w:styleId="83">
    <w:name w:val="脚注文本 Char"/>
    <w:link w:val="2"/>
    <w:semiHidden/>
    <w:qFormat/>
    <w:locked/>
    <w:uiPriority w:val="99"/>
    <w:rPr>
      <w:rFonts w:ascii="Times New Roman" w:hAnsi="Times New Roman" w:cs="Times New Roman"/>
      <w:sz w:val="18"/>
      <w:szCs w:val="18"/>
    </w:rPr>
  </w:style>
  <w:style w:type="character" w:customStyle="1" w:styleId="84">
    <w:name w:val="正文文本缩进 3 Char"/>
    <w:link w:val="42"/>
    <w:semiHidden/>
    <w:qFormat/>
    <w:locked/>
    <w:uiPriority w:val="99"/>
    <w:rPr>
      <w:rFonts w:ascii="Times New Roman" w:hAnsi="Times New Roman" w:cs="Times New Roman"/>
      <w:sz w:val="16"/>
      <w:szCs w:val="16"/>
    </w:rPr>
  </w:style>
  <w:style w:type="character" w:customStyle="1" w:styleId="85">
    <w:name w:val="正文文本 2 Char"/>
    <w:link w:val="45"/>
    <w:semiHidden/>
    <w:qFormat/>
    <w:locked/>
    <w:uiPriority w:val="99"/>
    <w:rPr>
      <w:rFonts w:ascii="Times New Roman" w:hAnsi="Times New Roman" w:cs="Times New Roman"/>
      <w:sz w:val="21"/>
      <w:szCs w:val="21"/>
    </w:rPr>
  </w:style>
  <w:style w:type="character" w:customStyle="1" w:styleId="86">
    <w:name w:val="HTML 预设格式 Char"/>
    <w:link w:val="48"/>
    <w:qFormat/>
    <w:locked/>
    <w:uiPriority w:val="99"/>
    <w:rPr>
      <w:rFonts w:ascii="Courier New" w:hAnsi="Courier New" w:cs="Courier New"/>
      <w:kern w:val="2"/>
    </w:rPr>
  </w:style>
  <w:style w:type="character" w:customStyle="1" w:styleId="87">
    <w:name w:val="批注主题 Char"/>
    <w:link w:val="51"/>
    <w:semiHidden/>
    <w:qFormat/>
    <w:locked/>
    <w:uiPriority w:val="99"/>
    <w:rPr>
      <w:rFonts w:ascii="Times New Roman" w:hAnsi="Times New Roman" w:cs="Times New Roman"/>
      <w:b/>
      <w:bCs/>
      <w:kern w:val="2"/>
      <w:sz w:val="21"/>
      <w:szCs w:val="21"/>
    </w:rPr>
  </w:style>
  <w:style w:type="character" w:customStyle="1" w:styleId="88">
    <w:name w:val="正文首行缩进 Char"/>
    <w:link w:val="20"/>
    <w:semiHidden/>
    <w:qFormat/>
    <w:locked/>
    <w:uiPriority w:val="99"/>
    <w:rPr>
      <w:rFonts w:ascii="Times New Roman" w:hAnsi="Times New Roman" w:cs="Times New Roman"/>
      <w:sz w:val="21"/>
      <w:szCs w:val="21"/>
    </w:rPr>
  </w:style>
  <w:style w:type="character" w:customStyle="1" w:styleId="89">
    <w:name w:val="style1"/>
    <w:qFormat/>
    <w:uiPriority w:val="99"/>
  </w:style>
  <w:style w:type="character" w:customStyle="1" w:styleId="90">
    <w:name w:val="纯文本 Char_0_0"/>
    <w:link w:val="91"/>
    <w:qFormat/>
    <w:locked/>
    <w:uiPriority w:val="99"/>
    <w:rPr>
      <w:rFonts w:ascii="宋体" w:hAnsi="Courier New" w:cs="宋体"/>
      <w:kern w:val="2"/>
      <w:sz w:val="21"/>
      <w:szCs w:val="21"/>
    </w:rPr>
  </w:style>
  <w:style w:type="paragraph" w:customStyle="1" w:styleId="91">
    <w:name w:val="纯文本_0_0"/>
    <w:basedOn w:val="92"/>
    <w:link w:val="90"/>
    <w:qFormat/>
    <w:uiPriority w:val="99"/>
    <w:rPr>
      <w:rFonts w:ascii="宋体" w:hAnsi="Courier New" w:cs="宋体"/>
    </w:rPr>
  </w:style>
  <w:style w:type="paragraph" w:customStyle="1" w:styleId="92">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93">
    <w:name w:val="标题 1 Char Char"/>
    <w:qFormat/>
    <w:uiPriority w:val="99"/>
    <w:rPr>
      <w:rFonts w:ascii="宋体" w:hAnsi="宋体" w:eastAsia="宋体" w:cs="宋体"/>
      <w:b/>
      <w:bCs/>
      <w:spacing w:val="-2"/>
      <w:sz w:val="24"/>
      <w:szCs w:val="24"/>
      <w:lang w:val="en-US" w:eastAsia="zh-CN"/>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Style Heading 3 + Char"/>
    <w:link w:val="96"/>
    <w:qFormat/>
    <w:locked/>
    <w:uiPriority w:val="99"/>
    <w:rPr>
      <w:rFonts w:eastAsia="宋体"/>
      <w:b/>
      <w:bCs/>
      <w:kern w:val="2"/>
      <w:sz w:val="28"/>
      <w:szCs w:val="28"/>
      <w:lang w:val="en-US" w:eastAsia="zh-CN"/>
    </w:rPr>
  </w:style>
  <w:style w:type="paragraph" w:customStyle="1" w:styleId="96">
    <w:name w:val="Style Heading 3 +"/>
    <w:basedOn w:val="6"/>
    <w:link w:val="95"/>
    <w:qFormat/>
    <w:uiPriority w:val="99"/>
    <w:pPr>
      <w:adjustRightInd/>
      <w:spacing w:before="120" w:after="120" w:line="120" w:lineRule="atLeast"/>
      <w:textAlignment w:val="auto"/>
    </w:pPr>
    <w:rPr>
      <w:kern w:val="2"/>
      <w:sz w:val="28"/>
      <w:szCs w:val="28"/>
    </w:rPr>
  </w:style>
  <w:style w:type="character" w:customStyle="1" w:styleId="97">
    <w:name w:val="font11"/>
    <w:qFormat/>
    <w:uiPriority w:val="99"/>
    <w:rPr>
      <w:rFonts w:ascii="宋体" w:hAnsi="宋体" w:eastAsia="宋体" w:cs="宋体"/>
      <w:color w:val="000000"/>
      <w:sz w:val="24"/>
      <w:szCs w:val="24"/>
      <w:u w:val="none"/>
    </w:rPr>
  </w:style>
  <w:style w:type="character" w:customStyle="1" w:styleId="98">
    <w:name w:val="正文缩进 Char"/>
    <w:link w:val="15"/>
    <w:qFormat/>
    <w:locked/>
    <w:uiPriority w:val="99"/>
    <w:rPr>
      <w:kern w:val="2"/>
      <w:sz w:val="21"/>
      <w:szCs w:val="21"/>
    </w:rPr>
  </w:style>
  <w:style w:type="character" w:customStyle="1" w:styleId="99">
    <w:name w:val="font01"/>
    <w:qFormat/>
    <w:uiPriority w:val="99"/>
    <w:rPr>
      <w:rFonts w:ascii="宋体" w:hAnsi="宋体" w:eastAsia="宋体" w:cs="宋体"/>
      <w:color w:val="FF0000"/>
      <w:sz w:val="24"/>
      <w:szCs w:val="24"/>
      <w:u w:val="none"/>
    </w:rPr>
  </w:style>
  <w:style w:type="paragraph" w:customStyle="1" w:styleId="100">
    <w:name w:val="简单回函地址"/>
    <w:basedOn w:val="1"/>
    <w:qFormat/>
    <w:uiPriority w:val="99"/>
  </w:style>
  <w:style w:type="paragraph" w:customStyle="1" w:styleId="101">
    <w:name w:val="纯文本2"/>
    <w:basedOn w:val="1"/>
    <w:qFormat/>
    <w:uiPriority w:val="99"/>
    <w:rPr>
      <w:rFonts w:ascii="宋体" w:hAnsi="Courier New" w:cs="宋体"/>
      <w:sz w:val="28"/>
      <w:szCs w:val="28"/>
    </w:rPr>
  </w:style>
  <w:style w:type="paragraph" w:customStyle="1" w:styleId="102">
    <w:name w:val="图文"/>
    <w:basedOn w:val="1"/>
    <w:qFormat/>
    <w:uiPriority w:val="99"/>
    <w:pPr>
      <w:adjustRightInd w:val="0"/>
      <w:snapToGrid w:val="0"/>
      <w:spacing w:after="50" w:line="360" w:lineRule="auto"/>
    </w:pPr>
    <w:rPr>
      <w:sz w:val="24"/>
      <w:szCs w:val="24"/>
    </w:rPr>
  </w:style>
  <w:style w:type="paragraph" w:customStyle="1" w:styleId="103">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04">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05">
    <w:name w:val="1"/>
    <w:basedOn w:val="1"/>
    <w:next w:val="28"/>
    <w:qFormat/>
    <w:uiPriority w:val="99"/>
    <w:rPr>
      <w:rFonts w:ascii="宋体" w:hAnsi="Courier New" w:cs="宋体"/>
    </w:rPr>
  </w:style>
  <w:style w:type="paragraph" w:customStyle="1" w:styleId="106">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7">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09">
    <w:name w:val="Char Char Char1 Char"/>
    <w:basedOn w:val="1"/>
    <w:qFormat/>
    <w:uiPriority w:val="99"/>
  </w:style>
  <w:style w:type="paragraph" w:customStyle="1" w:styleId="110">
    <w:name w:val="列出段落1"/>
    <w:basedOn w:val="1"/>
    <w:qFormat/>
    <w:uiPriority w:val="99"/>
    <w:pPr>
      <w:ind w:firstLine="420" w:firstLineChars="200"/>
    </w:pPr>
  </w:style>
  <w:style w:type="paragraph" w:customStyle="1" w:styleId="111">
    <w:name w:val="Normal_12_0"/>
    <w:qFormat/>
    <w:uiPriority w:val="99"/>
    <w:rPr>
      <w:rFonts w:ascii="黑体" w:hAnsi="黑体" w:eastAsia="黑体" w:cs="黑体"/>
      <w:b/>
      <w:bCs/>
      <w:sz w:val="32"/>
      <w:szCs w:val="32"/>
      <w:lang w:val="en-US" w:eastAsia="zh-CN" w:bidi="ar-SA"/>
    </w:rPr>
  </w:style>
  <w:style w:type="paragraph" w:customStyle="1" w:styleId="112">
    <w:name w:val="p0"/>
    <w:basedOn w:val="1"/>
    <w:qFormat/>
    <w:uiPriority w:val="99"/>
    <w:pPr>
      <w:widowControl/>
    </w:pPr>
    <w:rPr>
      <w:kern w:val="0"/>
    </w:rPr>
  </w:style>
  <w:style w:type="paragraph" w:customStyle="1" w:styleId="113">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4">
    <w:name w:val="列出段落11"/>
    <w:basedOn w:val="1"/>
    <w:qFormat/>
    <w:uiPriority w:val="99"/>
    <w:pPr>
      <w:ind w:firstLine="200" w:firstLineChars="200"/>
    </w:pPr>
    <w:rPr>
      <w:rFonts w:ascii="Calibri" w:hAnsi="Calibri" w:cs="Calibri"/>
    </w:rPr>
  </w:style>
  <w:style w:type="paragraph" w:customStyle="1" w:styleId="115">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默认段落字体 Para Char Char Char Char"/>
    <w:basedOn w:val="1"/>
    <w:qFormat/>
    <w:uiPriority w:val="99"/>
  </w:style>
  <w:style w:type="paragraph" w:customStyle="1" w:styleId="117">
    <w:name w:val="样式 标题 1 + 宋体 段前: 0 磅 段后: 0 磅 行距: 单倍行距"/>
    <w:basedOn w:val="4"/>
    <w:next w:val="1"/>
    <w:qFormat/>
    <w:uiPriority w:val="99"/>
    <w:pPr>
      <w:spacing w:beforeLines="100" w:afterLines="100"/>
    </w:pPr>
    <w:rPr>
      <w:rFonts w:ascii="仿宋_GB2312" w:hAnsi="宋体" w:cs="仿宋_GB2312"/>
    </w:rPr>
  </w:style>
  <w:style w:type="paragraph" w:customStyle="1" w:styleId="118">
    <w:name w:val="样式 标题 2 + 黑色 行距: 1.5 倍行距"/>
    <w:basedOn w:val="5"/>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styleId="119">
    <w:name w:val="List Paragraph"/>
    <w:basedOn w:val="1"/>
    <w:qFormat/>
    <w:uiPriority w:val="99"/>
    <w:pPr>
      <w:ind w:firstLine="420" w:firstLineChars="200"/>
    </w:pPr>
  </w:style>
  <w:style w:type="paragraph" w:customStyle="1" w:styleId="120">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character" w:customStyle="1" w:styleId="121">
    <w:name w:val="font21"/>
    <w:qFormat/>
    <w:uiPriority w:val="99"/>
    <w:rPr>
      <w:rFonts w:ascii="楷体_GB2312" w:eastAsia="楷体_GB2312" w:cs="楷体_GB2312"/>
      <w:color w:val="000000"/>
      <w:sz w:val="24"/>
      <w:szCs w:val="24"/>
      <w:u w:val="none"/>
    </w:rPr>
  </w:style>
  <w:style w:type="paragraph" w:customStyle="1" w:styleId="12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23">
    <w:name w:val="正文_0"/>
    <w:qFormat/>
    <w:uiPriority w:val="99"/>
    <w:rPr>
      <w:rFonts w:ascii="Times New Roman" w:hAnsi="Times New Roman" w:eastAsia="宋体" w:cs="Times New Roman"/>
      <w:sz w:val="21"/>
      <w:szCs w:val="21"/>
      <w:lang w:val="en-US" w:eastAsia="zh-CN" w:bidi="ar-SA"/>
    </w:rPr>
  </w:style>
  <w:style w:type="paragraph" w:customStyle="1" w:styleId="12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2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一级条标题"/>
    <w:basedOn w:val="128"/>
    <w:next w:val="129"/>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28">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29">
    <w:name w:val="段"/>
    <w:basedOn w:val="1"/>
    <w:next w:val="1"/>
    <w:autoRedefine/>
    <w:qFormat/>
    <w:uiPriority w:val="0"/>
    <w:pPr>
      <w:widowControl/>
      <w:autoSpaceDE w:val="0"/>
      <w:autoSpaceDN w:val="0"/>
      <w:ind w:firstLine="200" w:firstLineChars="200"/>
    </w:pPr>
    <w:rPr>
      <w:rFonts w:hint="eastAsia" w:ascii="宋体"/>
    </w:rPr>
  </w:style>
  <w:style w:type="paragraph" w:customStyle="1" w:styleId="130">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31">
    <w:name w:val="正文首行缩进 21"/>
    <w:basedOn w:val="21"/>
    <w:next w:val="119"/>
    <w:autoRedefine/>
    <w:qFormat/>
    <w:uiPriority w:val="99"/>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33FE7-9446-4BEB-B796-E701808F861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29420</Words>
  <Characters>30477</Characters>
  <Lines>237</Lines>
  <Paragraphs>66</Paragraphs>
  <TotalTime>10</TotalTime>
  <ScaleCrop>false</ScaleCrop>
  <LinksUpToDate>false</LinksUpToDate>
  <CharactersWithSpaces>32362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2023-04-17T06:35:00Z</dcterms:created>
  <dc:creator>ql</dc:creator>
  <cp:lastModifiedBy>建军</cp:lastModifiedBy>
  <cp:lastPrinted>2025-07-11T02:44:00Z</cp:lastPrinted>
  <dcterms:modified xsi:type="dcterms:W3CDTF">2025-07-11T03:23:49Z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F9D95D2FB32742F98EF6A60B57D337B7_13</vt:lpwstr>
  </property>
  <property fmtid="{D5CDD505-2E9C-101B-9397-08002B2CF9AE}" pid="4" name="KSOTemplateDocerSaveRecord">
    <vt:lpwstr>eyJoZGlkIjoiNGJkYWM2OTA5YTA3MjUyMTc5ZGEzZjE2YzkzMzQ3YjUiLCJ1c2VySWQiOiIxMTQzOTEzMDk0In0=</vt:lpwstr>
  </property>
</Properties>
</file>